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vt-20260627x10k.htm"/>
        <w:bookmarkStart w:id="1" w:name="ksavt20260627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center"/>
        <w:rPr/>
      </w:pPr>
      <w:r>
        <w:rPr/>
        <w:t>​</w:t>
      </w:r>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20"/>
        </w:rPr>
      </w:pPr>
      <w:bookmarkStart w:id="2" w:name="_d75d1ba8_9e8c_4630_b71a_afd357674a18"/>
      <w:bookmarkEnd w:id="2"/>
      <w:r>
        <w:rPr>
          <w:rFonts w:ascii="Times New Roman;Times;serif" w:hAnsi="Times New Roman;Times;serif"/>
          <w:b/>
          <w:sz w:val="20"/>
        </w:rPr>
        <w:t>UNITED STATES SECURITIES AND EXCHANGE COMMISSION</w:t>
      </w:r>
    </w:p>
    <w:p>
      <w:pPr>
        <w:pStyle w:val="TextBody"/>
        <w:bidi w:val="0"/>
        <w:spacing w:lineRule="auto" w:line="343"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lineRule="atLeast" w:line="142" w:before="0" w:after="0"/>
        <w:ind w:left="0" w:right="0" w:hanging="0"/>
        <w:jc w:val="left"/>
        <w:rPr/>
      </w:pPr>
      <w:r>
        <w:rPr/>
        <w:t>​</w:t>
      </w:r>
    </w:p>
    <w:p>
      <w:pPr>
        <w:pStyle w:val="Normal"/>
        <w:bidi w:val="0"/>
        <w:spacing w:before="0" w:after="0"/>
        <w:jc w:val="left"/>
        <w:rPr>
          <w:sz w:val="4"/>
          <w:szCs w:val="4"/>
        </w:rPr>
      </w:pPr>
      <w:r>
        <w:rPr>
          <w:sz w:val="4"/>
          <w:szCs w:val="4"/>
        </w:rPr>
      </w:r>
      <w:bookmarkStart w:id="3" w:name="Tc_MQ4k9JJGFkq6Rxuu4gus9A_1_2"/>
      <w:bookmarkStart w:id="4" w:name="_4e66e296_eb76_41df_8815_f95640f48698"/>
      <w:bookmarkStart w:id="5" w:name="Tc_MQ4k9JJGFkq6Rxuu4gus9A_1_2"/>
      <w:bookmarkStart w:id="6" w:name="_4e66e296_eb76_41df_8815_f95640f48698"/>
      <w:bookmarkEnd w:id="5"/>
      <w:bookmarkEnd w:id="6"/>
    </w:p>
    <w:tbl>
      <w:tblPr>
        <w:tblW w:w="8781" w:type="dxa"/>
        <w:jc w:val="left"/>
        <w:tblInd w:w="0" w:type="dxa"/>
        <w:tblLayout w:type="fixed"/>
        <w:tblCellMar>
          <w:top w:w="0" w:type="dxa"/>
          <w:left w:w="0" w:type="dxa"/>
          <w:bottom w:w="0" w:type="dxa"/>
          <w:right w:w="0" w:type="dxa"/>
        </w:tblCellMar>
      </w:tblPr>
      <w:tblGrid>
        <w:gridCol w:w="331"/>
        <w:gridCol w:w="109"/>
        <w:gridCol w:w="8341"/>
      </w:tblGrid>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1" w:type="dxa"/>
            <w:tcBorders/>
            <w:vAlign w:val="center"/>
          </w:tcPr>
          <w:p>
            <w:pPr>
              <w:pStyle w:val="TableContents"/>
              <w:bidi w:val="0"/>
              <w:spacing w:before="0" w:after="0"/>
              <w:ind w:left="0" w:right="0" w:hanging="0"/>
              <w:jc w:val="left"/>
              <w:rPr/>
            </w:pPr>
            <w:r>
              <w:rPr/>
              <w:t>​</w:t>
            </w:r>
          </w:p>
        </w:tc>
      </w:tr>
      <w:tr>
        <w:trPr/>
        <w:tc>
          <w:tcPr>
            <w:tcW w:w="331" w:type="dxa"/>
            <w:tcBorders/>
            <w:shd w:fill="FFFFFF" w:val="clear"/>
            <w:vAlign w:val="center"/>
          </w:tcPr>
          <w:p>
            <w:pPr>
              <w:pStyle w:val="TableContents"/>
              <w:pBdr/>
              <w:bidi w:val="0"/>
              <w:spacing w:lineRule="atLeast" w:line="240"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8341"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June 27, 2026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tLeast" w:line="142" w:before="0" w:after="0"/>
        <w:ind w:left="0" w:right="0" w:hanging="0"/>
        <w:jc w:val="left"/>
        <w:rPr/>
      </w:pPr>
      <w:r>
        <w:rPr/>
        <w:t>​</w:t>
      </w:r>
    </w:p>
    <w:p>
      <w:pPr>
        <w:pStyle w:val="Normal"/>
        <w:bidi w:val="0"/>
        <w:spacing w:before="0" w:after="0"/>
        <w:jc w:val="left"/>
        <w:rPr>
          <w:sz w:val="4"/>
          <w:szCs w:val="4"/>
        </w:rPr>
      </w:pPr>
      <w:r>
        <w:rPr>
          <w:sz w:val="4"/>
          <w:szCs w:val="4"/>
        </w:rPr>
      </w:r>
      <w:bookmarkStart w:id="7" w:name="Tc_vu4xtIRXpUOUSq2MMl8d7g_1_2"/>
      <w:bookmarkStart w:id="8" w:name="_b1350d54_d286_4c1a_af95_9853684e0de6"/>
      <w:bookmarkStart w:id="9" w:name="Tc_vu4xtIRXpUOUSq2MMl8d7g_1_2"/>
      <w:bookmarkStart w:id="10" w:name="_b1350d54_d286_4c1a_af95_9853684e0de6"/>
      <w:bookmarkEnd w:id="9"/>
      <w:bookmarkEnd w:id="10"/>
    </w:p>
    <w:tbl>
      <w:tblPr>
        <w:tblW w:w="9111" w:type="dxa"/>
        <w:jc w:val="left"/>
        <w:tblInd w:w="0" w:type="dxa"/>
        <w:tblLayout w:type="fixed"/>
        <w:tblCellMar>
          <w:top w:w="0" w:type="dxa"/>
          <w:left w:w="0" w:type="dxa"/>
          <w:bottom w:w="0" w:type="dxa"/>
          <w:right w:w="0" w:type="dxa"/>
        </w:tblCellMar>
      </w:tblPr>
      <w:tblGrid>
        <w:gridCol w:w="331"/>
        <w:gridCol w:w="109"/>
        <w:gridCol w:w="8671"/>
      </w:tblGrid>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1" w:type="dxa"/>
            <w:tcBorders/>
            <w:vAlign w:val="center"/>
          </w:tcPr>
          <w:p>
            <w:pPr>
              <w:pStyle w:val="TableContents"/>
              <w:bidi w:val="0"/>
              <w:spacing w:before="0" w:after="0"/>
              <w:ind w:left="0" w:right="0" w:hanging="0"/>
              <w:jc w:val="left"/>
              <w:rPr/>
            </w:pPr>
            <w:r>
              <w:rPr/>
              <w:t>​</w:t>
            </w:r>
          </w:p>
        </w:tc>
      </w:tr>
      <w:tr>
        <w:trPr/>
        <w:tc>
          <w:tcPr>
            <w:tcW w:w="331" w:type="dxa"/>
            <w:tcBorders/>
            <w:shd w:fill="FFFFFF" w:val="clear"/>
            <w:vAlign w:val="center"/>
          </w:tcPr>
          <w:p>
            <w:pPr>
              <w:pStyle w:val="TableContents"/>
              <w:pBdr/>
              <w:bidi w:val="0"/>
              <w:spacing w:lineRule="atLeast" w:line="200"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8671"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lineRule="atLeast" w:line="220" w:before="100" w:after="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10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1-4224</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Avnet, Inc.</w:t>
      </w:r>
    </w:p>
    <w:p>
      <w:pPr>
        <w:pStyle w:val="TextBody"/>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(Exact name of registrant as specified in its charter)</w:t>
      </w:r>
    </w:p>
    <w:p>
      <w:pPr>
        <w:pStyle w:val="TextBody"/>
        <w:bidi w:val="0"/>
        <w:spacing w:lineRule="atLeast" w:line="142" w:before="0" w:after="0"/>
        <w:ind w:left="0" w:right="0" w:hanging="0"/>
        <w:jc w:val="center"/>
        <w:rPr/>
      </w:pPr>
      <w:r>
        <w:rPr/>
        <w:t>​</w:t>
      </w:r>
    </w:p>
    <w:tbl>
      <w:tblPr>
        <w:tblW w:w="7383" w:type="dxa"/>
        <w:jc w:val="left"/>
        <w:tblInd w:w="0" w:type="dxa"/>
        <w:tblLayout w:type="fixed"/>
        <w:tblCellMar>
          <w:top w:w="0" w:type="dxa"/>
          <w:left w:w="0" w:type="dxa"/>
          <w:bottom w:w="0" w:type="dxa"/>
          <w:right w:w="0" w:type="dxa"/>
        </w:tblCellMar>
      </w:tblPr>
      <w:tblGrid>
        <w:gridCol w:w="4321"/>
        <w:gridCol w:w="346"/>
        <w:gridCol w:w="2716"/>
      </w:tblGrid>
      <w:tr>
        <w:trPr/>
        <w:tc>
          <w:tcPr>
            <w:tcW w:w="4321" w:type="dxa"/>
            <w:tcBorders/>
            <w:vAlign w:val="center"/>
          </w:tcPr>
          <w:p>
            <w:pPr>
              <w:pStyle w:val="TableContents"/>
              <w:pBdr/>
              <w:bidi w:val="0"/>
              <w:spacing w:before="0" w:after="0"/>
              <w:ind w:left="0" w:right="0" w:hanging="144"/>
              <w:jc w:val="center"/>
              <w:rPr>
                <w:rFonts w:ascii="Times New Roman;Times;serif" w:hAnsi="Times New Roman;Times;serif"/>
                <w:b/>
                <w:sz w:val="16"/>
              </w:rPr>
            </w:pPr>
            <w:r>
              <w:rPr>
                <w:rFonts w:ascii="Times New Roman;Times;serif" w:hAnsi="Times New Roman;Times;serif"/>
                <w:b/>
                <w:sz w:val="16"/>
              </w:rPr>
              <w:t>New York</w:t>
            </w:r>
          </w:p>
          <w:p>
            <w:pPr>
              <w:pStyle w:val="TableContents"/>
              <w:pBdr/>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  ​ ​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11-1890605</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i/>
                <w:sz w:val="16"/>
              </w:rPr>
              <w:t xml:space="preserve">(I.R.S. Employer Identification No.) </w:t>
            </w:r>
            <w:r>
              <w:rPr>
                <w:rFonts w:ascii="Times New Roman;Times;serif" w:hAnsi="Times New Roman;Times;serif"/>
                <w:sz w:val="16"/>
              </w:rPr>
              <w:t> </w:t>
            </w:r>
          </w:p>
        </w:tc>
      </w:tr>
      <w:tr>
        <w:trPr/>
        <w:tc>
          <w:tcPr>
            <w:tcW w:w="4321"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pBdr/>
              <w:bidi w:val="0"/>
              <w:spacing w:before="0" w:after="0"/>
              <w:ind w:left="0" w:right="0" w:hanging="144"/>
              <w:jc w:val="center"/>
              <w:rPr>
                <w:rFonts w:ascii="Times New Roman;Times;serif" w:hAnsi="Times New Roman;Times;serif"/>
                <w:b/>
                <w:sz w:val="16"/>
              </w:rPr>
            </w:pPr>
            <w:r>
              <w:rPr>
                <w:rFonts w:ascii="Times New Roman;Times;serif" w:hAnsi="Times New Roman;Times;serif"/>
                <w:b/>
                <w:sz w:val="16"/>
              </w:rPr>
              <w:t>2211 South 47th Street,</w:t>
            </w:r>
          </w:p>
          <w:p>
            <w:pPr>
              <w:pStyle w:val="TableContents"/>
              <w:pBdr/>
              <w:bidi w:val="0"/>
              <w:spacing w:before="0" w:after="0"/>
              <w:ind w:left="0" w:right="0" w:hanging="144"/>
              <w:jc w:val="center"/>
              <w:rPr>
                <w:rFonts w:ascii="Times New Roman;Times;serif" w:hAnsi="Times New Roman;Times;serif"/>
                <w:b/>
                <w:sz w:val="16"/>
              </w:rPr>
            </w:pPr>
            <w:r>
              <w:rPr>
                <w:rFonts w:ascii="Times New Roman;Times;serif" w:hAnsi="Times New Roman;Times;serif"/>
                <w:b/>
                <w:sz w:val="16"/>
              </w:rPr>
              <w:t>Phoenix, Arizona</w:t>
            </w:r>
          </w:p>
          <w:p>
            <w:pPr>
              <w:pStyle w:val="TableContents"/>
              <w:pBdr/>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85034</w:t>
            </w:r>
          </w:p>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(Zip Code)</w:t>
            </w:r>
          </w:p>
        </w:tc>
      </w:tr>
    </w:tbl>
    <w:p>
      <w:pPr>
        <w:pStyle w:val="TextBody"/>
        <w:bidi w:val="0"/>
        <w:spacing w:before="0" w:after="0"/>
        <w:ind w:left="0" w:right="0" w:hanging="0"/>
        <w:jc w:val="left"/>
        <w:rPr/>
      </w:pPr>
      <w:r>
        <w:rPr/>
        <w:t>​</w:t>
      </w:r>
    </w:p>
    <w:p>
      <w:pPr>
        <w:pStyle w:val="TextBody"/>
        <w:bidi w:val="0"/>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(480) 643-2000</w:t>
      </w:r>
    </w:p>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lineRule="atLeast" w:line="142" w:before="0" w:after="0"/>
        <w:ind w:left="0" w:right="0" w:hanging="0"/>
        <w:jc w:val="center"/>
        <w:rPr/>
      </w:pPr>
      <w:r>
        <w:rPr/>
        <w:t>​</w:t>
      </w:r>
    </w:p>
    <w:p>
      <w:pPr>
        <w:pStyle w:val="Normal"/>
        <w:bidi w:val="0"/>
        <w:spacing w:before="0" w:after="0"/>
        <w:jc w:val="left"/>
        <w:rPr>
          <w:sz w:val="4"/>
          <w:szCs w:val="4"/>
        </w:rPr>
      </w:pPr>
      <w:r>
        <w:rPr>
          <w:sz w:val="4"/>
          <w:szCs w:val="4"/>
        </w:rPr>
      </w:r>
      <w:bookmarkStart w:id="11" w:name="Tc_17BuE4C3BEKSOOGd8q8-4A_1_4"/>
      <w:bookmarkStart w:id="12" w:name="Tc_ZE0dG2JUHE6AIlJk-kUE2Q_1_2"/>
      <w:bookmarkStart w:id="13" w:name="Tc_82TR_8WAnE6OYvDmagnqew_1_0"/>
      <w:bookmarkStart w:id="14" w:name="_0664b937_4088_47b7_af1c_60c007ad684d"/>
      <w:bookmarkStart w:id="15" w:name="Tc_17BuE4C3BEKSOOGd8q8-4A_1_4"/>
      <w:bookmarkStart w:id="16" w:name="Tc_ZE0dG2JUHE6AIlJk-kUE2Q_1_2"/>
      <w:bookmarkStart w:id="17" w:name="Tc_82TR_8WAnE6OYvDmagnqew_1_0"/>
      <w:bookmarkStart w:id="18" w:name="_0664b937_4088_47b7_af1c_60c007ad684d"/>
      <w:bookmarkEnd w:id="15"/>
      <w:bookmarkEnd w:id="16"/>
      <w:bookmarkEnd w:id="17"/>
      <w:bookmarkEnd w:id="18"/>
    </w:p>
    <w:tbl>
      <w:tblPr>
        <w:tblW w:w="8080" w:type="dxa"/>
        <w:jc w:val="left"/>
        <w:tblInd w:w="0" w:type="dxa"/>
        <w:tblLayout w:type="fixed"/>
        <w:tblCellMar>
          <w:top w:w="0" w:type="dxa"/>
          <w:left w:w="0" w:type="dxa"/>
          <w:bottom w:w="0" w:type="dxa"/>
          <w:right w:w="0" w:type="dxa"/>
        </w:tblCellMar>
      </w:tblPr>
      <w:tblGrid>
        <w:gridCol w:w="3031"/>
        <w:gridCol w:w="146"/>
        <w:gridCol w:w="1276"/>
        <w:gridCol w:w="146"/>
        <w:gridCol w:w="348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$1.00 per share</w:t>
            </w:r>
          </w:p>
        </w:tc>
        <w:tc>
          <w:tcPr>
            <w:tcW w:w="1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AVT</w:t>
            </w:r>
          </w:p>
        </w:tc>
        <w:tc>
          <w:tcPr>
            <w:tcW w:w="146"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before="0" w:after="0"/>
        <w:ind w:left="0" w:right="0" w:hanging="0"/>
        <w:jc w:val="left"/>
        <w:rPr/>
      </w:pPr>
      <w:r>
        <w:rPr/>
        <w:t>​</w:t>
      </w:r>
    </w:p>
    <w:p>
      <w:pPr>
        <w:pStyle w:val="TextBody"/>
        <w:bidi w:val="0"/>
        <w:spacing w:lineRule="atLeast" w:line="220" w:before="0" w:after="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100" w:after="0"/>
        <w:ind w:left="0" w:right="0" w:firstLine="475"/>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100" w:after="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xml:space="preserve"> ☑</w:t>
      </w:r>
    </w:p>
    <w:p>
      <w:pPr>
        <w:pStyle w:val="TextBody"/>
        <w:bidi w:val="0"/>
        <w:spacing w:before="100" w:after="0"/>
        <w:ind w:left="0" w:right="0" w:firstLine="48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100" w:after="0"/>
        <w:ind w:left="0" w:right="0" w:firstLine="48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100" w:after="0"/>
        <w:ind w:left="0" w:right="0" w:firstLine="48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0"/>
        <w:ind w:left="0" w:right="0" w:hanging="0"/>
        <w:jc w:val="left"/>
        <w:rPr/>
      </w:pPr>
      <w:r>
        <w:rPr/>
        <w:t>​</w:t>
      </w:r>
    </w:p>
    <w:tbl>
      <w:tblPr>
        <w:tblW w:w="9477" w:type="dxa"/>
        <w:jc w:val="left"/>
        <w:tblInd w:w="0" w:type="dxa"/>
        <w:tblLayout w:type="fixed"/>
        <w:tblCellMar>
          <w:top w:w="0" w:type="dxa"/>
          <w:left w:w="0" w:type="dxa"/>
          <w:bottom w:w="0" w:type="dxa"/>
          <w:right w:w="0" w:type="dxa"/>
        </w:tblCellMar>
      </w:tblPr>
      <w:tblGrid>
        <w:gridCol w:w="1651"/>
        <w:gridCol w:w="346"/>
        <w:gridCol w:w="1216"/>
        <w:gridCol w:w="346"/>
        <w:gridCol w:w="1471"/>
        <w:gridCol w:w="346"/>
        <w:gridCol w:w="1996"/>
        <w:gridCol w:w="109"/>
        <w:gridCol w:w="1996"/>
      </w:tblGrid>
      <w:tr>
        <w:trPr/>
        <w:tc>
          <w:tcPr>
            <w:tcW w:w="16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  ​ ​ ​</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346" w:type="dxa"/>
            <w:tcBorders/>
            <w:vAlign w:val="center"/>
          </w:tcPr>
          <w:p>
            <w:pPr>
              <w:pStyle w:val="TableContents"/>
              <w:bidi w:val="0"/>
              <w:spacing w:before="0" w:after="0"/>
              <w:ind w:left="0" w:right="0" w:hanging="0"/>
              <w:jc w:val="left"/>
              <w:rPr/>
            </w:pPr>
            <w:r>
              <w:rPr/>
              <w:t>  ​ ​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346" w:type="dxa"/>
            <w:tcBorders/>
            <w:vAlign w:val="center"/>
          </w:tcPr>
          <w:p>
            <w:pPr>
              <w:pStyle w:val="TableContents"/>
              <w:bidi w:val="0"/>
              <w:spacing w:before="0" w:after="0"/>
              <w:ind w:left="0" w:right="0" w:hanging="0"/>
              <w:jc w:val="left"/>
              <w:rPr/>
            </w:pPr>
            <w:r>
              <w:rPr/>
              <w:t>  ​ ​ ​</w:t>
            </w:r>
          </w:p>
        </w:tc>
        <w:tc>
          <w:tcPr>
            <w:tcW w:w="19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center"/>
              <w:rPr/>
            </w:pPr>
            <w:r>
              <w:rPr/>
              <w:t>​</w:t>
            </w:r>
          </w:p>
        </w:tc>
        <w:tc>
          <w:tcPr>
            <w:tcW w:w="19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lineRule="atLeast" w:line="220" w:before="0" w:after="80"/>
        <w:ind w:left="0" w:right="0" w:firstLine="475"/>
        <w:jc w:val="both"/>
        <w:rPr>
          <w:rFonts w:ascii="Times New Roman;Times;serif" w:hAnsi="Times New Roman;Times;serif"/>
          <w:sz w:val="14"/>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sz w:val="14"/>
        </w:rPr>
        <w:t xml:space="preserve"> ☐</w:t>
      </w:r>
    </w:p>
    <w:p>
      <w:pPr>
        <w:pStyle w:val="TextBody"/>
        <w:bidi w:val="0"/>
        <w:spacing w:lineRule="atLeast" w:line="220" w:before="0" w:after="8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lineRule="atLeast" w:line="220" w:before="0" w:after="80"/>
        <w:ind w:left="0" w:right="0" w:firstLine="475"/>
        <w:jc w:val="both"/>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lineRule="atLeast" w:line="220" w:before="0" w:after="80"/>
        <w:ind w:left="0" w:right="0" w:firstLine="475"/>
        <w:jc w:val="both"/>
        <w:rPr>
          <w:rFonts w:ascii="Times New Roman;Times;serif" w:hAnsi="Times New Roman;Times;serif"/>
          <w:sz w:val="14"/>
        </w:rPr>
      </w:pPr>
      <w:r>
        <w:rPr>
          <w:rFonts w:ascii="Times New Roman;Times;serif" w:hAnsi="Times New Roman;Times;serif"/>
          <w:sz w:val="16"/>
        </w:rPr>
        <w:t>Indicate by check mark whether any of those error corrections are restatements that require a recovery analysis of incentive-based compensation received by any of the registrant’s executive officers during the relevant recovery period pursuant to Section 240.10D-1(b)</w:t>
      </w:r>
      <w:r>
        <w:rPr>
          <w:rFonts w:ascii="Times New Roman;Times;serif" w:hAnsi="Times New Roman;Times;serif"/>
          <w:sz w:val="14"/>
        </w:rPr>
        <w:t>. ☐</w:t>
      </w:r>
    </w:p>
    <w:p>
      <w:pPr>
        <w:pStyle w:val="TextBody"/>
        <w:bidi w:val="0"/>
        <w:spacing w:lineRule="atLeast" w:line="220" w:before="0" w:after="80"/>
        <w:ind w:left="0" w:right="0" w:firstLine="475"/>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firstLine="475"/>
        <w:jc w:val="both"/>
        <w:rPr>
          <w:rFonts w:ascii="Times New Roman;Times;serif" w:hAnsi="Times New Roman;Times;serif"/>
          <w:sz w:val="16"/>
        </w:rPr>
      </w:pPr>
      <w:r>
        <w:rPr>
          <w:rFonts w:ascii="Times New Roman;Times;serif" w:hAnsi="Times New Roman;Times;serif"/>
          <w:sz w:val="16"/>
        </w:rPr>
        <w:t>The aggregate market value (approximate) of the registrant’s common equity held by non-affiliates based on the closing price of a share of the registrant’s common stock for Nasdaq Global Select Market composite transactions on December 26, 2025 (the last business day of the registrant’s most recently completed second fiscal quarter) was $3,961,019,216.</w:t>
      </w:r>
    </w:p>
    <w:p>
      <w:pPr>
        <w:pStyle w:val="TextBody"/>
        <w:bidi w:val="0"/>
        <w:spacing w:before="0" w:after="80"/>
        <w:ind w:left="0" w:right="0" w:firstLine="480"/>
        <w:jc w:val="both"/>
        <w:rPr>
          <w:rFonts w:ascii="Times New Roman;Times;serif" w:hAnsi="Times New Roman;Times;serif"/>
          <w:sz w:val="16"/>
        </w:rPr>
      </w:pPr>
      <w:r>
        <w:rPr>
          <w:rFonts w:ascii="Times New Roman;Times;serif" w:hAnsi="Times New Roman;Times;serif"/>
          <w:sz w:val="16"/>
        </w:rPr>
        <w:t>As of August 7, 2026, the total number of shares outstanding of the registrant’s Common Stock was 82,072,979 shares, net of treasury shares.</w:t>
      </w:r>
    </w:p>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pBdr>
          <w:top w:val="single" w:sz="8" w:space="1" w:color="000000"/>
        </w:pBdr>
        <w:bidi w:val="0"/>
        <w:spacing w:before="0" w:after="0"/>
        <w:ind w:left="0" w:right="0" w:hanging="0"/>
        <w:jc w:val="center"/>
        <w:rPr>
          <w:rFonts w:ascii="Times New Roman;Times;serif" w:hAnsi="Times New Roman;Times;serif"/>
          <w:sz w:val="16"/>
          <w:bdr w:val="single" w:sz="24" w:space="1" w:color="000000"/>
        </w:rPr>
      </w:pPr>
      <w:r>
        <w:rPr>
          <w:rFonts w:ascii="Times New Roman;Times;serif" w:hAnsi="Times New Roman;Times;serif"/>
          <w:sz w:val="16"/>
          <w:bdr w:val="single" w:sz="24" w:space="1" w:color="000000"/>
        </w:rPr>
        <w:t>Portions of the registrant’s definitive proxy statement (to be filed pursuant to Reg. 14A) relating to the Annual Meeting of Shareholders anticipated to be held on November 20, 2026, are incorporated herein by reference in Part III of this Report.</w:t>
      </w:r>
    </w:p>
    <w:p>
      <w:pPr>
        <w:pStyle w:val="TextBody"/>
        <w:pBdr>
          <w:bottom w:val="single" w:sz="8" w:space="1" w:color="000000"/>
        </w:pBdr>
        <w:bidi w:val="0"/>
        <w:spacing w:lineRule="atLeast" w:line="200"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 w:name="Toc"/>
      <w:bookmarkStart w:id="20" w:name="_0e5f42a6_09d2_464b_83a6_6e6c951a22d4"/>
      <w:bookmarkEnd w:id="19"/>
      <w:bookmarkEnd w:id="20"/>
      <w:r>
        <w:rPr>
          <w:rFonts w:ascii="Times New Roman;Times;serif" w:hAnsi="Times New Roman;Times;serif"/>
          <w:b/>
          <w:sz w:val="20"/>
        </w:rPr>
        <w:t>TABLE OF CONTENTS</w:t>
      </w:r>
    </w:p>
    <w:p>
      <w:pPr>
        <w:pStyle w:val="TextBody"/>
        <w:bidi w:val="0"/>
        <w:spacing w:lineRule="atLeast" w:line="200"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97880" cy="175260"/>
                      <wp:effectExtent l="0" t="0" r="0" b="0"/>
                      <wp:wrapNone/>
                      <wp:docPr id="3" name="Frame3"/>
                      <a:graphic xmlns:a="http://schemas.openxmlformats.org/drawingml/2006/main">
                        <a:graphicData uri="http://schemas.microsoft.com/office/word/2010/wordprocessingShape">
                          <wps:wsp>
                            <wps:cNvSpPr txBox="1"/>
                            <wps:spPr>
                              <a:xfrm>
                                <a:off x="0" y="0"/>
                                <a:ext cx="589788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tLeast" w:line="200"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175260"/>
                      <wp:effectExtent l="0" t="0" r="0" b="0"/>
                      <wp:wrapNone/>
                      <wp:docPr id="4" name="Frame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center"/>
              <w:rPr/>
            </w:pPr>
            <w:r>
              <w:rPr/>
              <w:t>  ​ ​ ​</w:t>
            </w:r>
          </w:p>
        </w:tc>
        <w:tc>
          <w:tcPr>
            <w:tcW w:w="571" w:type="dxa"/>
            <w:tcBorders>
              <w:bottom w:val="single" w:sz="12" w:space="0" w:color="000000"/>
            </w:tcBorders>
            <w:shd w:fill="FFFFFF" w:val="clear"/>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9"/>
              </w:rPr>
            </w:pPr>
            <w:r>
              <w:rPr>
                <w:rFonts w:ascii="Times New Roman;Times;serif" w:hAnsi="Times New Roman;Times;serif"/>
                <w:b/>
                <w:sz w:val="19"/>
              </w:rPr>
              <w:t>Page</w:t>
            </w:r>
          </w:p>
        </w:tc>
      </w:tr>
      <w:tr>
        <w:trPr/>
        <w:tc>
          <w:tcPr>
            <w:tcW w:w="10205" w:type="dxa"/>
            <w:gridSpan w:val="3"/>
            <w:tcBorders/>
            <w:shd w:fill="FFFFFF" w:val="clear"/>
            <w:vAlign w:val="center"/>
          </w:tcPr>
          <w:p>
            <w:pPr>
              <w:pStyle w:val="TableContents"/>
              <w:bidi w:val="0"/>
              <w:spacing w:lineRule="atLeast" w:line="200" w:before="0" w:after="0"/>
              <w:ind w:left="0" w:right="0" w:hanging="0"/>
              <w:jc w:val="center"/>
              <w:rPr/>
            </w:pPr>
            <w:hyperlink w:anchor="PARTI_466467">
              <w:r>
                <w:rPr>
                  <w:rStyle w:val="InternetLink"/>
                  <w:rFonts w:ascii="Times New Roman;Times;serif" w:hAnsi="Times New Roman;Times;serif"/>
                  <w:b/>
                  <w:i w:val="false"/>
                  <w:caps w:val="false"/>
                  <w:smallCaps w:val="false"/>
                  <w:sz w:val="19"/>
                </w:rPr>
                <w:t>PART I</w:t>
              </w:r>
            </w:hyperlink>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Business_669643">
              <w:r>
                <w:rPr>
                  <w:rStyle w:val="InternetLink"/>
                  <w:rFonts w:ascii="Times New Roman;Times;serif" w:hAnsi="Times New Roman;Times;serif"/>
                  <w:b w:val="false"/>
                  <w:i w:val="false"/>
                  <w:caps w:val="false"/>
                  <w:smallCaps w:val="false"/>
                  <w:sz w:val="19"/>
                </w:rPr>
                <w:t>Item 1. Business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3</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ARiskFactors_851020">
              <w:r>
                <w:rPr>
                  <w:rStyle w:val="InternetLink"/>
                  <w:rFonts w:ascii="Times New Roman;Times;serif" w:hAnsi="Times New Roman;Times;serif"/>
                  <w:b w:val="false"/>
                  <w:i w:val="false"/>
                  <w:caps w:val="false"/>
                  <w:smallCaps w:val="false"/>
                  <w:sz w:val="19"/>
                </w:rPr>
                <w:t>Item 1A. Risk Factors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8</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BUnresolvedStaffComments_557759">
              <w:r>
                <w:rPr>
                  <w:rStyle w:val="InternetLink"/>
                  <w:rFonts w:ascii="Times New Roman;Times;serif" w:hAnsi="Times New Roman;Times;serif"/>
                  <w:b w:val="false"/>
                  <w:i w:val="false"/>
                  <w:caps w:val="false"/>
                  <w:smallCaps w:val="false"/>
                  <w:sz w:val="19"/>
                </w:rPr>
                <w:t>Item 1B. Unresolved Staff Comments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17</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19"/>
                </w:rPr>
                <w:t>Item 1C. Cybersecurity</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17</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2Properties_631923">
              <w:r>
                <w:rPr>
                  <w:rStyle w:val="InternetLink"/>
                  <w:rFonts w:ascii="Times New Roman;Times;serif" w:hAnsi="Times New Roman;Times;serif"/>
                  <w:b w:val="false"/>
                  <w:i w:val="false"/>
                  <w:caps w:val="false"/>
                  <w:smallCaps w:val="false"/>
                  <w:sz w:val="19"/>
                </w:rPr>
                <w:t>Item 2. Properties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19</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3LegalProceedings_940969">
              <w:r>
                <w:rPr>
                  <w:rStyle w:val="InternetLink"/>
                  <w:rFonts w:ascii="Times New Roman;Times;serif" w:hAnsi="Times New Roman;Times;serif"/>
                  <w:b w:val="false"/>
                  <w:i w:val="false"/>
                  <w:caps w:val="false"/>
                  <w:smallCaps w:val="false"/>
                  <w:sz w:val="19"/>
                </w:rPr>
                <w:t>Item 3. Legal Proceedings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19</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4MineSafetyDisclosures_728632">
              <w:r>
                <w:rPr>
                  <w:rStyle w:val="InternetLink"/>
                  <w:rFonts w:ascii="Times New Roman;Times;serif" w:hAnsi="Times New Roman;Times;serif"/>
                  <w:b w:val="false"/>
                  <w:i w:val="false"/>
                  <w:caps w:val="false"/>
                  <w:smallCaps w:val="false"/>
                  <w:sz w:val="19"/>
                </w:rPr>
                <w:t>Item 4. Mine Safety Disclosures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19</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10205" w:type="dxa"/>
            <w:gridSpan w:val="3"/>
            <w:tcBorders/>
            <w:shd w:fill="FFFFFF" w:val="clear"/>
            <w:vAlign w:val="center"/>
          </w:tcPr>
          <w:p>
            <w:pPr>
              <w:pStyle w:val="TableContents"/>
              <w:bidi w:val="0"/>
              <w:spacing w:lineRule="atLeast" w:line="200" w:before="0" w:after="0"/>
              <w:ind w:left="0" w:right="0" w:hanging="0"/>
              <w:jc w:val="center"/>
              <w:rPr/>
            </w:pPr>
            <w:hyperlink w:anchor="PARTII_492728">
              <w:r>
                <w:rPr>
                  <w:rStyle w:val="InternetLink"/>
                  <w:rFonts w:ascii="Times New Roman;Times;serif" w:hAnsi="Times New Roman;Times;serif"/>
                  <w:b/>
                  <w:i w:val="false"/>
                  <w:caps w:val="false"/>
                  <w:smallCaps w:val="false"/>
                  <w:sz w:val="19"/>
                </w:rPr>
                <w:t>PART II</w:t>
              </w:r>
            </w:hyperlink>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19"/>
                </w:rPr>
                <w:t>Item 5. Market for Registrant’s Common Equity, Related Stockholder Matters and Issuer Purchases of Equity Securities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20</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6SelectedFinancialData_192009">
              <w:r>
                <w:rPr>
                  <w:rStyle w:val="InternetLink"/>
                  <w:rFonts w:ascii="Times New Roman;Times;serif" w:hAnsi="Times New Roman;Times;serif"/>
                  <w:b w:val="false"/>
                  <w:i w:val="false"/>
                  <w:caps w:val="false"/>
                  <w:smallCaps w:val="false"/>
                  <w:sz w:val="19"/>
                </w:rPr>
                <w:t>Item 6. [Reserved]</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21</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19"/>
                </w:rPr>
                <w:t>Item 7. Management’s Discussion and Analysis of Financial Condition and Results of Operations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22</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19"/>
                </w:rPr>
                <w:t>Item 7A. Quantitative and Qualitative Disclosures About Market Risk</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32</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19"/>
                </w:rPr>
                <w:t>Item 8. Financial Statements and Supplementary Data</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34</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19"/>
                </w:rPr>
                <w:t>Item 9. Changes in and Disagreements with Accountants on Accounting and Financial Disclosure</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75</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9AControlsandProcedures_325858">
              <w:r>
                <w:rPr>
                  <w:rStyle w:val="InternetLink"/>
                  <w:rFonts w:ascii="Times New Roman;Times;serif" w:hAnsi="Times New Roman;Times;serif"/>
                  <w:b w:val="false"/>
                  <w:i w:val="false"/>
                  <w:caps w:val="false"/>
                  <w:smallCaps w:val="false"/>
                  <w:sz w:val="19"/>
                </w:rPr>
                <w:t>Item 9A. Controls and Procedures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75</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9BOtherInformation_311162">
              <w:r>
                <w:rPr>
                  <w:rStyle w:val="InternetLink"/>
                  <w:rFonts w:ascii="Times New Roman;Times;serif" w:hAnsi="Times New Roman;Times;serif"/>
                  <w:b w:val="false"/>
                  <w:i w:val="false"/>
                  <w:caps w:val="false"/>
                  <w:smallCaps w:val="false"/>
                  <w:sz w:val="19"/>
                </w:rPr>
                <w:t>Item 9B. Other Information</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75</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19"/>
                </w:rPr>
                <w:t>Item 9C. Disclosure Regarding Foreign Jurisdictions that Prevent Inspections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76</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10205" w:type="dxa"/>
            <w:gridSpan w:val="3"/>
            <w:tcBorders/>
            <w:shd w:fill="FFFFFF" w:val="clear"/>
            <w:vAlign w:val="center"/>
          </w:tcPr>
          <w:p>
            <w:pPr>
              <w:pStyle w:val="TableContents"/>
              <w:bidi w:val="0"/>
              <w:spacing w:lineRule="atLeast" w:line="200" w:before="0" w:after="0"/>
              <w:ind w:left="0" w:right="0" w:hanging="0"/>
              <w:jc w:val="center"/>
              <w:rPr/>
            </w:pPr>
            <w:hyperlink w:anchor="PARTIII_243199">
              <w:r>
                <w:rPr>
                  <w:rStyle w:val="InternetLink"/>
                  <w:rFonts w:ascii="Times New Roman;Times;serif" w:hAnsi="Times New Roman;Times;serif"/>
                  <w:b/>
                  <w:i w:val="false"/>
                  <w:caps w:val="false"/>
                  <w:smallCaps w:val="false"/>
                  <w:sz w:val="19"/>
                </w:rPr>
                <w:t>PART III</w:t>
              </w:r>
            </w:hyperlink>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19"/>
                </w:rPr>
                <w:t>Item 10. Directors, Executive Officers and Corporate Governance</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76</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1ExecutiveCompensation_430289">
              <w:r>
                <w:rPr>
                  <w:rStyle w:val="InternetLink"/>
                  <w:rFonts w:ascii="Times New Roman;Times;serif" w:hAnsi="Times New Roman;Times;serif"/>
                  <w:b w:val="false"/>
                  <w:i w:val="false"/>
                  <w:caps w:val="false"/>
                  <w:smallCaps w:val="false"/>
                  <w:sz w:val="19"/>
                </w:rPr>
                <w:t>Item 11. Executive Compensation</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76</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19"/>
                </w:rPr>
                <w:t>Item 12. Security Ownership of Certain Beneficial Owners and Management and Related Stockholder Matters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76</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19"/>
                </w:rPr>
                <w:t>Item 13. Certain Relationships and Related Transactions, and Director Independence</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77</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4PrincipalAccountingFeesand_265972">
              <w:r>
                <w:rPr>
                  <w:rStyle w:val="InternetLink"/>
                  <w:rFonts w:ascii="Times New Roman;Times;serif" w:hAnsi="Times New Roman;Times;serif"/>
                  <w:b w:val="false"/>
                  <w:i w:val="false"/>
                  <w:caps w:val="false"/>
                  <w:smallCaps w:val="false"/>
                  <w:sz w:val="19"/>
                </w:rPr>
                <w:t>Item 14. Principal Accounting Fees and Services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77</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10205" w:type="dxa"/>
            <w:gridSpan w:val="3"/>
            <w:tcBorders/>
            <w:shd w:fill="FFFFFF" w:val="clear"/>
            <w:vAlign w:val="center"/>
          </w:tcPr>
          <w:p>
            <w:pPr>
              <w:pStyle w:val="TableContents"/>
              <w:bidi w:val="0"/>
              <w:spacing w:lineRule="atLeast" w:line="200" w:before="0" w:after="0"/>
              <w:ind w:left="0" w:right="0" w:hanging="0"/>
              <w:jc w:val="center"/>
              <w:rPr/>
            </w:pPr>
            <w:hyperlink w:anchor="PARTIV_461467">
              <w:r>
                <w:rPr>
                  <w:rStyle w:val="InternetLink"/>
                  <w:rFonts w:ascii="Times New Roman;Times;serif" w:hAnsi="Times New Roman;Times;serif"/>
                  <w:b/>
                  <w:i w:val="false"/>
                  <w:caps w:val="false"/>
                  <w:smallCaps w:val="false"/>
                  <w:sz w:val="19"/>
                </w:rPr>
                <w:t>PART IV</w:t>
              </w:r>
            </w:hyperlink>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5ExhibitsandFinancial_306219">
              <w:r>
                <w:rPr>
                  <w:rStyle w:val="InternetLink"/>
                  <w:rFonts w:ascii="Times New Roman;Times;serif" w:hAnsi="Times New Roman;Times;serif"/>
                  <w:b w:val="false"/>
                  <w:i w:val="false"/>
                  <w:caps w:val="false"/>
                  <w:smallCaps w:val="false"/>
                  <w:sz w:val="19"/>
                </w:rPr>
                <w:t>Item 15. Exhibits and Financial Statement Schedules</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77</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Item16Form10KSummary">
              <w:r>
                <w:rPr>
                  <w:rStyle w:val="InternetLink"/>
                  <w:rFonts w:ascii="Times New Roman;Times;serif" w:hAnsi="Times New Roman;Times;serif"/>
                  <w:b w:val="false"/>
                  <w:i w:val="false"/>
                  <w:caps w:val="false"/>
                  <w:smallCaps w:val="false"/>
                  <w:sz w:val="19"/>
                </w:rPr>
                <w:t>Item 16. Form 10-K Summary</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81</w:t>
            </w:r>
          </w:p>
        </w:tc>
      </w:tr>
      <w:tr>
        <w:trPr/>
        <w:tc>
          <w:tcPr>
            <w:tcW w:w="9288" w:type="dxa"/>
            <w:tcBorders/>
            <w:shd w:fill="FFFFFF" w:val="clear"/>
            <w:vAlign w:val="center"/>
          </w:tcPr>
          <w:p>
            <w:pPr>
              <w:pStyle w:val="TableContents"/>
              <w:bidi w:val="0"/>
              <w:spacing w:lineRule="atLeast" w:line="200" w:before="0" w:after="0"/>
              <w:ind w:left="0" w:right="0" w:hanging="0"/>
              <w:jc w:val="left"/>
              <w:rPr/>
            </w:pPr>
            <w:r>
              <w:rPr/>
              <w:t>​</w:t>
            </w:r>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pPr>
            <w:r>
              <w:rPr/>
              <w:t>​</w:t>
            </w:r>
          </w:p>
        </w:tc>
      </w:tr>
      <w:tr>
        <w:trPr/>
        <w:tc>
          <w:tcPr>
            <w:tcW w:w="9288" w:type="dxa"/>
            <w:tcBorders/>
            <w:shd w:fill="FFFFFF" w:val="clear"/>
            <w:vAlign w:val="center"/>
          </w:tcPr>
          <w:p>
            <w:pPr>
              <w:pStyle w:val="TableContents"/>
              <w:bidi w:val="0"/>
              <w:spacing w:lineRule="atLeast" w:line="200" w:before="0" w:after="0"/>
              <w:ind w:left="0" w:right="0" w:hanging="0"/>
              <w:jc w:val="left"/>
              <w:rPr/>
            </w:pPr>
            <w:hyperlink w:anchor="PowerOfAttorney">
              <w:r>
                <w:rPr>
                  <w:rStyle w:val="InternetLink"/>
                  <w:rFonts w:ascii="Times New Roman;Times;serif" w:hAnsi="Times New Roman;Times;serif"/>
                  <w:b w:val="false"/>
                  <w:i w:val="false"/>
                  <w:caps w:val="false"/>
                  <w:smallCaps w:val="false"/>
                  <w:sz w:val="19"/>
                </w:rPr>
                <w:t>Signature Page</w:t>
              </w:r>
            </w:hyperlink>
          </w:p>
        </w:tc>
        <w:tc>
          <w:tcPr>
            <w:tcW w:w="346" w:type="dxa"/>
            <w:tcBorders/>
            <w:shd w:fill="FFFFFF" w:val="clear"/>
            <w:vAlign w:val="center"/>
          </w:tcPr>
          <w:p>
            <w:pPr>
              <w:pStyle w:val="TableContents"/>
              <w:bidi w:val="0"/>
              <w:spacing w:lineRule="atLeast" w:line="200" w:before="0" w:after="0"/>
              <w:ind w:left="0" w:right="0" w:hanging="0"/>
              <w:jc w:val="left"/>
              <w:rPr/>
            </w:pPr>
            <w:r>
              <w:rPr/>
              <w:t>​</w:t>
            </w:r>
          </w:p>
        </w:tc>
        <w:tc>
          <w:tcPr>
            <w:tcW w:w="571" w:type="dxa"/>
            <w:tcBorders/>
            <w:shd w:fill="FFFFFF" w:val="clear"/>
            <w:vAlign w:val="center"/>
          </w:tcPr>
          <w:p>
            <w:pPr>
              <w:pStyle w:val="TableContents"/>
              <w:bidi w:val="0"/>
              <w:spacing w:lineRule="atLeast" w:line="200" w:before="0" w:after="0"/>
              <w:ind w:left="0" w:right="0" w:hanging="0"/>
              <w:jc w:val="right"/>
              <w:rPr>
                <w:rFonts w:ascii="Times New Roman;Times;serif" w:hAnsi="Times New Roman;Times;serif"/>
                <w:sz w:val="19"/>
              </w:rPr>
            </w:pPr>
            <w:r>
              <w:rPr>
                <w:rFonts w:ascii="Times New Roman;Times;serif" w:hAnsi="Times New Roman;Times;serif"/>
                <w:sz w:val="19"/>
              </w:rPr>
              <w:t>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21" w:name="PARTI_466467"/>
      <w:bookmarkStart w:id="22" w:name="_9b88ea83_099a_4033_80e0_8efd60e0070a"/>
      <w:bookmarkEnd w:id="21"/>
      <w:bookmarkEnd w:id="22"/>
      <w:r>
        <w:rPr>
          <w:rFonts w:ascii="Times New Roman;Times;serif" w:hAnsi="Times New Roman;Times;serif"/>
          <w:b/>
          <w:sz w:val="20"/>
        </w:rPr>
        <w:t>PART I</w:t>
      </w:r>
    </w:p>
    <w:p>
      <w:pPr>
        <w:pStyle w:val="TextBody"/>
        <w:bidi w:val="0"/>
        <w:spacing w:lineRule="auto" w:line="343" w:before="200" w:after="0"/>
        <w:ind w:left="0" w:right="0" w:hanging="0"/>
        <w:jc w:val="left"/>
        <w:rPr>
          <w:rFonts w:ascii="Times New Roman;Times;serif" w:hAnsi="Times New Roman;Times;serif"/>
          <w:b/>
          <w:sz w:val="20"/>
        </w:rPr>
      </w:pPr>
      <w:bookmarkStart w:id="23" w:name="Item1Business_669643"/>
      <w:bookmarkEnd w:id="23"/>
      <w:r>
        <w:rPr>
          <w:rFonts w:ascii="Times New Roman;Times;serif" w:hAnsi="Times New Roman;Times;serif"/>
          <w:b/>
          <w:sz w:val="20"/>
        </w:rPr>
        <w:t>Item 1. Business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Avnet, Inc. and its consolidated subsidiaries (collectively, the “Company” or “Avnet”), is a leading global electronic component technology distributor and solutions provider that has served customers’ evolving needs for more than a century. Founded in 1921, the Company works with electronic component manufacturers (suppliers) in every major electronic component segment to serve customers in more than 140 countries.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 xml:space="preserve">Avnet serves a wide range of customers: from startups and mid-sized businesses to enterprise-level original equipment manufacturers (“OEMs”), electronic manufacturing services (“EMS”) providers, and original design manufacturers (“ODMs”). </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Organizational Structure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Avnet has two primary operating groups — Electronic Components (“EC”) and Farnell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 Regional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 description of each operating group is presented below. Further financial information by operating group is provided in Note 16 “Segment information” to the consolidated financial statements appearing in Item 8 of this Annual Report on Form 10-K.</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Electronic Components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EC serves a variety of markets ranging from industrial to automotive to defense and aerospace. It offers an array of customer support options throughout the entire product lifecycle, including both turnkey and customized design, supply chain, programming, logistics, and post-sales services.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Within the EC operating group for 2026, net sales of approximately 83% consist of semiconductor products, approximately 15% consist of interconnect, passive, and electromechanical components, and 2% consist of computers and others.</w:t>
      </w:r>
    </w:p>
    <w:p>
      <w:pPr>
        <w:pStyle w:val="TextBody"/>
        <w:bidi w:val="0"/>
        <w:spacing w:lineRule="auto" w:line="343" w:before="200" w:after="0"/>
        <w:ind w:left="0" w:right="0" w:firstLine="120"/>
        <w:jc w:val="left"/>
        <w:rPr>
          <w:rFonts w:ascii="Times New Roman;Times;serif" w:hAnsi="Times New Roman;Times;serif"/>
          <w:i/>
          <w:sz w:val="20"/>
        </w:rPr>
      </w:pPr>
      <w:r>
        <w:rPr>
          <w:rFonts w:ascii="Times New Roman;Times;serif" w:hAnsi="Times New Roman;Times;serif"/>
          <w:i/>
          <w:sz w:val="20"/>
        </w:rPr>
        <w:t>Avnet Design Solutions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 xml:space="preserve">EC offers design support that provides engineers with a host of technical design solutions, which helps EC support a broad range of customers seeking to create complex products that incorporate electronic components. With access to a suite of design tools and engineering support, customers can get product specifications along with evaluation kits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reference designs that 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electronic component selection and accelerate their time to market. EC’s extensive electronic component offerings provide customers access to a diverse range of products from a complete spectrum of suppliers.</w:t>
      </w:r>
    </w:p>
    <w:p>
      <w:pPr>
        <w:pStyle w:val="TextBody"/>
        <w:bidi w:val="0"/>
        <w:spacing w:lineRule="auto" w:line="343" w:before="200" w:after="0"/>
        <w:ind w:left="0" w:right="0" w:firstLine="120"/>
        <w:jc w:val="left"/>
        <w:rPr>
          <w:rFonts w:ascii="Times New Roman;Times;serif" w:hAnsi="Times New Roman;Times;serif"/>
          <w:i/>
          <w:sz w:val="20"/>
        </w:rPr>
      </w:pPr>
      <w:r>
        <w:rPr>
          <w:rFonts w:ascii="Times New Roman;Times;serif" w:hAnsi="Times New Roman;Times;serif"/>
          <w:i/>
          <w:sz w:val="20"/>
        </w:rPr>
        <w:t>Avnet Supply Chain Solutions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EC’s supply chain solutions provide procurement support and warehousing and logistics services to OEMs, EMS providers, and electronic component manufacturers, enabling them to optimize supply chains on a local, regional, or global basis. EC’s internal competencies in supply chain, global warehousing and logistics, information technology, and inventory and asset management, combined with its global footprint and extensive supplier relationships, allows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electronic component management solutions, EC provides various solutions that meet a customer’s requirements and minimize supply chain risk in a variety of scenarios.</w:t>
      </w:r>
    </w:p>
    <w:p>
      <w:pPr>
        <w:pStyle w:val="TextBody"/>
        <w:bidi w:val="0"/>
        <w:spacing w:lineRule="auto" w:line="343" w:before="200" w:after="0"/>
        <w:ind w:left="0" w:right="0" w:firstLine="120"/>
        <w:jc w:val="left"/>
        <w:rPr>
          <w:rFonts w:ascii="Times New Roman;Times;serif" w:hAnsi="Times New Roman;Times;serif"/>
          <w:i/>
          <w:sz w:val="20"/>
        </w:rPr>
      </w:pPr>
      <w:r>
        <w:rPr>
          <w:rFonts w:ascii="Times New Roman;Times;serif" w:hAnsi="Times New Roman;Times;serif"/>
          <w:i/>
          <w:sz w:val="20"/>
        </w:rPr>
        <w:t>Avnet Embedded and Avnet Integrated Solutions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EC provides embedded solutions, including technical design and integration and assembly of embedded products, systems, and solutions for a variety of end markets, including industrial and healthcare. EC also provides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EC also provides integrated solutions and services for software companies that bring their intellectual property to market via hardware solutions, including custom-built servers.</w:t>
      </w:r>
    </w:p>
    <w:p>
      <w:pPr>
        <w:pStyle w:val="TextBody"/>
        <w:bidi w:val="0"/>
        <w:spacing w:lineRule="auto" w:line="343" w:before="200" w:after="0"/>
        <w:ind w:left="0" w:right="0" w:hanging="0"/>
        <w:jc w:val="both"/>
        <w:rPr>
          <w:rFonts w:ascii="Times New Roman;Times;serif" w:hAnsi="Times New Roman;Times;serif"/>
          <w:b/>
          <w:sz w:val="20"/>
        </w:rPr>
      </w:pPr>
      <w:r>
        <w:rPr>
          <w:rFonts w:ascii="Times New Roman;Times;serif" w:hAnsi="Times New Roman;Times;serif"/>
          <w:b/>
          <w:sz w:val="20"/>
        </w:rPr>
        <w:t>Farnell</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Within the Farnell operating group for 2026, net sales of approximately 19% consists of semiconductor products, approximately 36% consists of IP&amp;E components, approximately 13% consists of single-board computers, and approximately 32% consists of other products and services, including test and measurement and maintenance, repair, and operations products.</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Major Products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One of Avnet’s competitive strengths is the breadth and quality of the suppliers whose products it distributes. Products from one supplier were over 10% of consolidated sales during fiscal year 2026 and approximately 10%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consolidated sales during fiscal years 2025 and 2024. Listed in the table below are the major product categories and the Company’s approximate sales of each during the past three fiscal years. “Other” consists primarily of test and measurement and maintenance, repair, and operations (MRO) products.</w:t>
      </w:r>
    </w:p>
    <w:p>
      <w:pPr>
        <w:pStyle w:val="TextBody"/>
        <w:bidi w:val="0"/>
        <w:spacing w:lineRule="atLeast" w:line="200" w:before="0" w:after="0"/>
        <w:ind w:left="0" w:right="0" w:hanging="0"/>
        <w:jc w:val="left"/>
        <w:rPr/>
      </w:pPr>
      <w:r>
        <w:rPr/>
        <w:t>​</w:t>
      </w:r>
    </w:p>
    <w:tbl>
      <w:tblPr>
        <w:tblW w:w="8496" w:type="dxa"/>
        <w:jc w:val="left"/>
        <w:tblInd w:w="0" w:type="dxa"/>
        <w:tblLayout w:type="fixed"/>
        <w:tblCellMar>
          <w:top w:w="0" w:type="dxa"/>
          <w:left w:w="0" w:type="dxa"/>
          <w:bottom w:w="0" w:type="dxa"/>
          <w:right w:w="0" w:type="dxa"/>
        </w:tblCellMar>
      </w:tblPr>
      <w:tblGrid>
        <w:gridCol w:w="4156"/>
        <w:gridCol w:w="346"/>
        <w:gridCol w:w="211"/>
        <w:gridCol w:w="826"/>
        <w:gridCol w:w="346"/>
        <w:gridCol w:w="211"/>
        <w:gridCol w:w="826"/>
        <w:gridCol w:w="346"/>
        <w:gridCol w:w="211"/>
        <w:gridCol w:w="826"/>
        <w:gridCol w:w="19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639060" cy="175260"/>
                      <wp:effectExtent l="0" t="0" r="0" b="0"/>
                      <wp:wrapNone/>
                      <wp:docPr id="5" name="Frame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4510" cy="175260"/>
                      <wp:effectExtent l="0" t="0" r="0" b="0"/>
                      <wp:wrapNone/>
                      <wp:docPr id="8" name="Frame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1" name="Frame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4510" cy="175260"/>
                      <wp:effectExtent l="0" t="0" r="0" b="0"/>
                      <wp:wrapNone/>
                      <wp:docPr id="14" name="Frame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1285" cy="175260"/>
                      <wp:effectExtent l="0" t="0" r="0" b="0"/>
                      <wp:wrapNone/>
                      <wp:docPr id="15" name="Frame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0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c>
          <w:tcPr>
            <w:tcW w:w="191" w:type="dxa"/>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91" w:type="dxa"/>
            <w:tcBorders/>
            <w:vAlign w:val="center"/>
          </w:tcPr>
          <w:p>
            <w:pPr>
              <w:pStyle w:val="TableContents"/>
              <w:bidi w:val="0"/>
              <w:spacing w:before="0" w:after="0"/>
              <w:ind w:left="0" w:right="0" w:hanging="0"/>
              <w:jc w:val="center"/>
              <w:rPr/>
            </w:pPr>
            <w:r>
              <w:rPr/>
              <w:t>​</w:t>
            </w:r>
          </w:p>
        </w:tc>
      </w:tr>
      <w:tr>
        <w:trPr/>
        <w:tc>
          <w:tcPr>
            <w:tcW w:w="849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0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(Millions)</w:t>
            </w:r>
          </w:p>
        </w:tc>
        <w:tc>
          <w:tcPr>
            <w:tcW w:w="1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Semiconductors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19,030.3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Interconnect, passive &amp; electromechanical (IP&amp;E)</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3,745.9</w:t>
            </w:r>
          </w:p>
        </w:tc>
        <w:tc>
          <w:tcPr>
            <w:tcW w:w="191"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191"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23,757.1</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lineRule="atLeast" w:line="220" w:before="200" w:after="0"/>
        <w:ind w:left="0" w:right="0" w:hanging="0"/>
        <w:jc w:val="both"/>
        <w:rPr>
          <w:rFonts w:ascii="Times New Roman;Times;serif" w:hAnsi="Times New Roman;Times;serif"/>
          <w:b/>
          <w:sz w:val="20"/>
        </w:rPr>
      </w:pPr>
      <w:r>
        <w:rPr>
          <w:rFonts w:ascii="Times New Roman;Times;serif" w:hAnsi="Times New Roman;Times;serif"/>
          <w:b/>
          <w:sz w:val="20"/>
        </w:rPr>
        <w:t>Competition &amp; Markets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The electronic components industry is competitive. The Company’s major competitors include: Arrow Electronics, Future Electronics, World Peace Group, and WT Microelectronics for EC; Mouser Electronics, Digi-Key Electronics, and RS Components for Farnell. There are also certain smaller, specialized competitors who generally focus on particular sectors or on narrower geographic locations, markets, or products. As a result of these factors, Avnet’s pricing and product selection and availability must remain competitive.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 key competitive factor in the electronic component distribution industry is the need to carry a sufficient amount and selection of inventory to meet customers’ demand and various delivery requirements. To minimize its exposure related to inventory on hand, the Company purchases most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design support, point of use replenishment, labelling, testing, assembly, programming, supply chain management, and materials management.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 competitive advantage is the breadth of the Company’s supplier product line card. Because of the number of Avnet’s suppliers, many customers can simplify their procurement process and can make all or substantially all of their required electronic component purchases from Avnet, rather than purchasing from several different parties.</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Historically, Avnet’s business has not been materially impacted by seasonality, except for differences in regional sales mixes at different times during the year. Typically, the Americas and EMEA have less sales than Asia in the first half of the fiscal year due to holidays in the December quarter and to a lesser extent vacation periods in the September quarter. Asia typically has lower sales in the second half of the fiscal year, primarily in the March quarter where the region is impacted by lunar new year holidays across the region.</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 xml:space="preserve">Human Capital </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 xml:space="preserve">The Company values its employees and recognizes their significant contributions to the Company’s success. Its core values of integrity, customer focus, ownership, teamwork, and inclusiveness provide a foundation for its culture and are key expectations of employees. The Company’s culture and commitment to its employees are vital to attracting, motivating, and retaining exceptional talent. Consequently, the Company invests in its global workforce to drive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inclusiveness; provide fair and competitive pay and benefits; foster employee development; promote employees health and safety; and understand employees’ experiences and identify opportunities to improve. </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Additional information regarding the Company’s Human Capital programs, initiatives, and metrics can be found on its website, including in its Sustainability Reports accessible on its website. The Sustainability Reports and other information contained on the Company’s website are not incorporated by reference into this Annual Report.</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Number of Employees</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As of June 27, 2026, the Company had a global workforce of approximately 15,040 employees across 48 countries. This included approximately 4,125 employees in the Americas, 6,108 employees in EMEA, and 4,807 employees in Asia.</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Compensation, Benefits and Wellness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strives to pay all its employees competitively and fairly, without regard to gender, race, or other personal characteristics. The Company sets pay ranges based on market data and considers an employee’s role, experience, tenure, job location, and job performance. The Company periodically reviews its compensation practices, both in terms of its overall workforce and individual employees, to help ensure that pay remains competitive and fair.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offers an array of benefits that support employees’ well-being. Through its THRIVE program, the Company offers resources covering (1) physical and mental health, fitness, and well-being; (2) professional growth, skills, and development; (3) total rewards, retirement planning and money management; and (4) community connections, networks, and social interests.</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 xml:space="preserve">Learning and Development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supports career growth and provides an array of resources and opportunities to help employees reach their potential. There is a structured learning framework as employees progress from individual contributor roles to senior management. Learning and development resources include self-paced courses, books, listen and learn events, mentoring programs and internal and external trainings, which cover a variety of technical, business, interpersonal, and leadership topics. The performance management process provides for goal-setting, ongoing conversations and check-ins between employees and their leaders, and includes coaching and training for people managers. Talent and succession planning activities are conducted for the Company’s executive officers and senior leaders at least annually and periodically for other levels of management.</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Health and Safety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aims to create workspaces and practices that foster a safe and secure work environment. In fiscal 2026, continued progress was made with implementing a multi-year plan to improve alignment and consistency of management systems, policies, and procedures; provide comprehensive health and safety training to employees relevant to their specific work functions; drive continual improvement processes with a focus on identified risks; and increase ISO certifications at operational sites. As of June 27, 2026, the Company has 27 operational sites, of which nine are certified to ISO 45001 and 19 are certified to ISO 14001.</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Inclusion</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 xml:space="preserve">The Company strives for (i) an employee population that reflects the diverse communities in which they live, work, and do business, and (ii) a culture that seeks out varying perspectives, which allows the best ideas to come to light.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committed to making employment decisions based on merit and the needs of the Company’s business, while ensuring equal employment opportunities for all applicants and employees regardless of race, gender, national origin, or other protected characteristic. The Company’s Global Inclusion Council, a global cross-functional team of leaders, oversees inclusion efforts. The council meets regularly and engages with colleagues across the Company to connect inclusion-related initiatives to the Company’s broader business strategy. </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The Company’s Equal Employment Opportunity Policy actively promotes inclusion in the Company’s talent management practices. The Company’s commitment to inclusion is evidenced by the makeup of its Board of Directors, which as of June 27, 2026, was 40% women and 50% racially and ethnically diverse (including Middle Eastern origin). In addition, for fiscal years 2021 through 2026, executive’s annual incentive compensation included non-financial performance goals that consist in part on inclusion.</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The Company’s employee-led Employee Resource Groups (ERGs) provide a forum for employees to communicate and exchange ideas, build a network of relationships across the Company, and support each other in personal and career development. The Company’s eight ERGs support the following communities: women, Asian and Pacific Islanders, Blacks, Hispanic and Latinos, U.S. veterans, LGBTQ+, later career employees; and environmental and sustainability causes.</w:t>
      </w:r>
    </w:p>
    <w:p>
      <w:pPr>
        <w:pStyle w:val="TextBody"/>
        <w:bidi w:val="0"/>
        <w:spacing w:lineRule="auto" w:line="343" w:before="200" w:after="0"/>
        <w:ind w:left="0" w:right="0" w:firstLine="115"/>
        <w:jc w:val="left"/>
        <w:rPr>
          <w:rFonts w:ascii="Times New Roman;Times;serif" w:hAnsi="Times New Roman;Times;serif"/>
          <w:i/>
          <w:sz w:val="20"/>
        </w:rPr>
      </w:pPr>
      <w:r>
        <w:rPr>
          <w:rFonts w:ascii="Times New Roman;Times;serif" w:hAnsi="Times New Roman;Times;serif"/>
          <w:i/>
          <w:sz w:val="20"/>
        </w:rPr>
        <w:t>Employee Engagement</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The Company engages with its employees and encourages open and direct feedback through employee engagement surveys. Through such surveys, the Company regularly collects feedback to better understand its employees’ experiences and identify opportunities to improve the work environment, increase employee satisfaction, and strengthen its culture. In fiscal 2026, the Company conducted its regular global employee engagement survey and achieved a participation rate of 70%.</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 copy of any of the Company’s filings with the SEC, or any of the agreements or other documents that constitute exhibits to those filings, can be obtained by request directed to the Company at the following address and telephone number:</w:t>
      </w:r>
    </w:p>
    <w:p>
      <w:pPr>
        <w:pStyle w:val="TextBody"/>
        <w:bidi w:val="0"/>
        <w:spacing w:lineRule="auto" w:line="343" w:before="200" w:after="0"/>
        <w:ind w:left="0" w:right="0" w:hanging="0"/>
        <w:jc w:val="center"/>
        <w:rPr>
          <w:rFonts w:ascii="Times New Roman;Times;serif" w:hAnsi="Times New Roman;Times;serif"/>
          <w:sz w:val="20"/>
        </w:rPr>
      </w:pPr>
      <w:r>
        <w:rPr>
          <w:rFonts w:ascii="Times New Roman;Times;serif" w:hAnsi="Times New Roman;Times;serif"/>
          <w:sz w:val="20"/>
        </w:rPr>
        <w:t>Avnet, Inc.</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2211 South 47</w:t>
      </w:r>
      <w:r>
        <w:rPr>
          <w:rFonts w:ascii="Times New Roman;Times;serif" w:hAnsi="Times New Roman;Times;serif"/>
          <w:sz w:val="15"/>
        </w:rPr>
        <w:t>th</w:t>
      </w:r>
      <w:r>
        <w:rPr>
          <w:rFonts w:ascii="Times New Roman;Times;serif" w:hAnsi="Times New Roman;Times;serif"/>
          <w:sz w:val="20"/>
        </w:rPr>
        <w:t xml:space="preserve"> Street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Phoenix, Arizona 85034</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(480) 643-2000</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Attention: Corporate Secretary</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The Company also makes these filings available, free of charge, through its website (see “Avnet Website”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Avnet Website</w:t>
      </w:r>
    </w:p>
    <w:p>
      <w:pPr>
        <w:pStyle w:val="TextBody"/>
        <w:bidi w:val="0"/>
        <w:spacing w:lineRule="auto" w:line="343" w:before="200" w:after="0"/>
        <w:ind w:left="0" w:right="0" w:firstLine="480"/>
        <w:jc w:val="left"/>
        <w:rPr>
          <w:rFonts w:ascii="Times New Roman;Times;serif" w:hAnsi="Times New Roman;Times;serif"/>
          <w:sz w:val="20"/>
        </w:rPr>
      </w:pPr>
      <w:r>
        <w:rPr>
          <w:rFonts w:ascii="Times New Roman;Times;serif" w:hAnsi="Times New Roman;Times;serif"/>
          <w:sz w:val="20"/>
        </w:rPr>
        <w:t>In addition to the information about the Company contained in this Report, extensive information about the Company can be found at http://www.avnet.com, including information about its management team, products and services, and corporate governance practices.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corporate governance information on the Company’s website includes the current version of the Company’s Corporate Governance Guidelines, the Code of Conduct, and the charters for each of the committees of its Board of Directors. Waivers granted to directors and executive officers under the Code of Conduct, if any, will be posted in this area of the website. These documents can be accessed at ir.avnet.com/documents-charters. Printed versions can be obtained, free of charge, by writing to the Company at the address listed above in “Available Information.”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filings with the SEC, as well as Section 16 filings made by any of the Company’s executive officers or directors with respect to the Company’s common stock, are available on the Company’s website (ir.avnet.com/financial-information/sec-filings) as soon as reasonably practicable after the filing is electronically filed with, or furnished to, the SEC.</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These details about the Company’s website and its content are only for information. The contents of the Company’s website are not, nor shall they be deemed to be, incorporated by reference in this Report.</w:t>
      </w:r>
    </w:p>
    <w:p>
      <w:pPr>
        <w:pStyle w:val="TextBody"/>
        <w:bidi w:val="0"/>
        <w:spacing w:before="0" w:after="0"/>
        <w:ind w:left="0" w:right="0" w:firstLine="475"/>
        <w:jc w:val="both"/>
        <w:rPr/>
      </w:pPr>
      <w:r>
        <w:rPr/>
        <w:t>​</w:t>
      </w:r>
    </w:p>
    <w:p>
      <w:pPr>
        <w:pStyle w:val="TextBody"/>
        <w:bidi w:val="0"/>
        <w:spacing w:before="0" w:after="0"/>
        <w:ind w:left="0" w:right="0" w:hanging="0"/>
        <w:jc w:val="both"/>
        <w:rPr>
          <w:rFonts w:ascii="Times New Roman;Times;serif" w:hAnsi="Times New Roman;Times;serif"/>
          <w:b/>
          <w:sz w:val="20"/>
        </w:rPr>
      </w:pPr>
      <w:bookmarkStart w:id="24" w:name="Item1ARiskFactors_851020"/>
      <w:bookmarkStart w:id="25" w:name="_545e5094_9fe2_46ac_a7c7_e84286682ccd"/>
      <w:bookmarkEnd w:id="24"/>
      <w:bookmarkEnd w:id="25"/>
      <w:r>
        <w:rPr>
          <w:rFonts w:ascii="Times New Roman;Times;serif" w:hAnsi="Times New Roman;Times;serif"/>
          <w:b/>
          <w:sz w:val="20"/>
        </w:rPr>
        <w:t>Item 1A. Risk Factors</w:t>
      </w:r>
    </w:p>
    <w:p>
      <w:pPr>
        <w:pStyle w:val="TextBody"/>
        <w:bidi w:val="0"/>
        <w:spacing w:lineRule="auto" w:line="343" w:before="20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 and Risk Factors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Risks and uncertainties that may cause actual results to differ materially from those contained in the forward-looking statements include the risk factors discussed below as well as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Some of the risks disclosed below may have already occurred, but not to a degree that management considers material unless otherwise noted.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customer needs and consumption models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Changes in customer product demands and consumption models may cause a decline in the Company’s billings, which would have a negative impact on the Company’s financial results. Changes in technology (such as artificial intelligence) could reduce the types or quantity of services that customers require from the Company. While the Company attempts to identify changes in market conditions as soon as possible, the dynamics of the industries in which it operates make it difficult to predict and timely react to such changes, including those relating to product shortages or excess supply. Also, future downturns, inflation, or supply chain challenges, including in the semiconductor, embedded solutions, maintenance, and test and measurement industries, could adversely affect the Company’s relationships with its customers, operating results, and profitability.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Specifically, the semiconductor industry experiences periodic fluctuations in product supply and demand (often associated with changes in economic conditions, technology, and manufacturing capacity) and suppliers may not adequately predict or meet customer demand. Geopolitical uncertainty (including from military conflicts, health-related crises, and international trade disputes) has led, and may continue to lead, to shortages, extended lead times, and unpredictability in the supply of certain semiconductors and other electronic components. In reaction, customers may over order to ensure sufficient inventory, which, when the shortage lessens, may result in order cancellations and decreases. In cases where customers have non-cancellable/ non-returnable orders, customers may not be able or willing to carry out the terms of the orders. The Company’s prices to customers depend on many factors, including product availability, supplier costs, and competitive pressures. The Company may be unable to increase prices to customers to offset higher internal costs, which could reduce margins. During fiscal 2026, 2025, and 2024, sales of semiconductors represented approximately 79%, 78%, and 80% of the Company’s consolidated sales, respectively, and the Company’s sales closely follow the strength or weakness of the semiconductor industry. These conditions make it more difficult to manage the Company’s business and predict future performance.</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Disruptions to key supplier and customer relationships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One of the Company’s competitive strengths is the breadth and quality of the suppliers whose products the Company distributes. For fiscal 2026, one supplier accounted for over 10% of the Company’s consolidated billings. The Company’s contracts with its suppliers vary in duration and are generally terminable by either party at will and upon notice. The Company’s suppliers may terminate or significantly reduce their volume of business with the Company because of a product shortage, an unwillingness to do business with the Company, changes in strategy, or otherwise.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Shortages of products or loss of a supplier may negatively affect the Company’s business and relationships with its customers,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 The competitive landscape has also experienced consolidation among suppliers and capacity constraints, which could negatively impact the Company’s profitability and customer base.</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Further, if key suppliers modify the terms of their contracts (including terms regarding price protection, rights of return, order cancellation rights, delivery commitments, rebates, or other terms that protect or enhance the Company’s gross margins), it could negatively affect the Company’s results of operations, financial condition, or liquidity. The Company may attempt to limit associated risks by passing such terms on to its customers, but this may not be possible.</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Customers, suppliers, and investors are increasingly requesting information and action regarding the Company’s supply chain due diligence, environmental impacts, cybersecurity, and other social and governance practices. Such increased expectations may increase costs and result in reputational damage and loss of business if the Company is perceived to have not met such expectations.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international operations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During fiscal 2026, 2025, and 2024 approximately 78%, 77% and 77%, respectively, of the Company’s sales came from its operations outside the United States. The Company’s operations are subject to a variety of risks that are specific to international operations, including, but not limited to, the following:</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restrictions on the Company’s ability to repatriate funds from its foreign subsidiaries;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and interest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foreign and domestic data privacy regulations, business licensing requirements, environmental regulations, and anti-corruption laws, the failure of which could result in severe penalties, including monetary fines and criminal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complex and changing tax laws and regulations; </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requirements and prohibitions that differ between jurisdictions; </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political instability, terrorism, military conflicts, or civil unrest;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freight costs (both inbound and outbound), limitations on shipping and receiving capacity, and other disruptions in the transportation and shipping infrastructure;</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natural disasters (including due to climate change), pandemics, and other public health crises;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employment practices and labor issues; and</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with local laws.</w:t>
            </w:r>
          </w:p>
        </w:tc>
      </w:tr>
    </w:tbl>
    <w:p>
      <w:pPr>
        <w:pStyle w:val="TextBody"/>
        <w:bidi w:val="0"/>
        <w:spacing w:lineRule="auto" w:line="343" w:before="12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In addition to the cost of compliance, the potential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these measures may not be adequate, and the Company may be materially and adversely impacted in the event of an actual or alleged violation.</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pacing w:val="-2"/>
          <w:sz w:val="20"/>
        </w:rPr>
        <w:t>Tariffs, trade restrictions, sanctions, or changes in trade policies may adversely affect the Company’s sales and profitability. For example, the U.S. administration has made, and continues to make, changes in trade policies, including negotiating or terminating trade agreements, imposing higher tariffs on imports into the United States, and other measures affecting trade between the United States and other countries. Additionally, some countries are changing their trade policies relating to goods imported from the United States. These policies and related geopolitical tensions could dampen consumer demand, increase market volatility, and impact currency exchange rates, each of which could adversely affect the Company’s financial performance. Further, evaluating and complying with new and future trade measures diverts management’s attention from existing initiatives, which may negatively impact the Company’s business operations.</w:t>
      </w:r>
      <w:r>
        <w:rPr>
          <w:rFonts w:ascii="Times New Roman;Times;serif" w:hAnsi="Times New Roman;Times;serif"/>
          <w:sz w:val="20"/>
        </w:rPr>
        <w:t xml:space="preserve"> </w:t>
      </w:r>
      <w:r>
        <w:rPr>
          <w:rFonts w:ascii="Times New Roman;Times;serif" w:hAnsi="Times New Roman;Times;serif"/>
          <w:spacing w:val="-2"/>
          <w:sz w:val="20"/>
        </w:rPr>
        <w:t>The recent U.S. Supreme Court decision invalidating certain tariffs has increased complexity.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 xml:space="preserve">The impact of these trade disruptions is difficult to predict and depends on various factors, including (i) when trade measures are implemented, (ii) the ultimate amount, scope, nature, and duration of tariffs and other trade measures, (iii) and the extent to which price increases, together with mitigation efforts, do not fully offset increased costs. In addition, the impact of trade disruptions on general economic conditions is difficult to predict. </w:t>
      </w:r>
    </w:p>
    <w:p>
      <w:pPr>
        <w:pStyle w:val="TextBody"/>
        <w:bidi w:val="0"/>
        <w:spacing w:lineRule="auto" w:line="343" w:before="12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 xml:space="preserve">The Company employs and continues to develop systems and other measures to mitigate the impact of tariffs. The Company also has contingency plans to respond to a range of economic scenarios. The Company continues to monitor and evaluate changing trade policies, as well as the overall economic environment in the electronic components industry. However, despite these efforts, the Company may not be able to fully mitigate the impact of changes in trade policies or an economic downturn. These actions have resulted in increased costs, which the Company may not be able to pass on to customers; shortages of materials and electronic components; increased cybersecurity attacks; credit market disruptions; and inflation. In addition, increased operational expenses incurred in minimizing the number of products subject to tariffs could adversely affect the Company’s operating profits. These measures have not yet had a material impact, but future actions or escalations that affect trade relations could materially affect the Company’s sales and results of operations. </w:t>
      </w:r>
    </w:p>
    <w:p>
      <w:pPr>
        <w:pStyle w:val="TextBody"/>
        <w:bidi w:val="0"/>
        <w:spacing w:lineRule="auto" w:line="343" w:before="12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Internal information systems failures</w:t>
      </w:r>
    </w:p>
    <w:p>
      <w:pPr>
        <w:pStyle w:val="TextBody"/>
        <w:bidi w:val="0"/>
        <w:spacing w:lineRule="auto" w:line="343" w:before="12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The Company depends on its information systems to facilitate its day-to-day operations and to produce timely, accurate, and reliable information on financial and operational results. Currently, the Company’s global operations are tracked with multiple information systems, including systems from acquired businesses, some of which are subject to ongoing IT projects designed to streamline or optimize the Company’s systems. These IT projects are extremely complex, in part because of wide ranging processes, use of on-premise and cloud environments, the Company’s business operations, and changes in information technology. The Company may not always succeed at these efforts. Implementation or integration difficulties may adversely affect the Company’s ability to complete business transactions and ensure accurate recording and reporting of financial data. In addition, IT projects may not achieve the expected efficiencies and cost savings, which could negatively impact the Company’s financial results. A failure of any of these information systems (including due to power losses, computer and telecommunications failures, cybersecurity incidents, or manmade or natural disasters), or material difficulties in upgrading these information systems, could have an adverse effect on the Company’s business, internal controls, and reporting obligations under federal securities laws.</w:t>
      </w:r>
    </w:p>
    <w:p>
      <w:pPr>
        <w:pStyle w:val="TextBody"/>
        <w:bidi w:val="0"/>
        <w:spacing w:lineRule="auto" w:line="343" w:before="120" w:after="0"/>
        <w:ind w:left="0" w:right="0" w:firstLine="475"/>
        <w:jc w:val="left"/>
        <w:rPr>
          <w:rFonts w:ascii="Times New Roman;Times;serif" w:hAnsi="Times New Roman;Times;serif"/>
          <w:spacing w:val="-2"/>
          <w:sz w:val="20"/>
        </w:rPr>
      </w:pPr>
      <w:r>
        <w:rPr>
          <w:rFonts w:ascii="Times New Roman;Times;serif" w:hAnsi="Times New Roman;Times;serif"/>
          <w:spacing w:val="-2"/>
          <w:sz w:val="20"/>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Logistics disruptions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or significant disruptions of services from the Company’s third-party transportation providers, could cause a delay in expected cost savings or an increase in expenses, which may not be possible to pass on to customers. Such disruptions could result from risks related to information technology, data security, or any of the General Risk Factors, as discussed herein. In addition, as the Company continues to increase capacity at various distribution centers, it may experience operational challenges, increased costs, decreased efficiency, and customer delivery delays and failures. Such operational challenges could have an adverse impact on the Company’s business partners, and on the Company’s business, operations, financial performance, and reputation.</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Data security and privacy threats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Threats to the Company’s data and information technology systems (including cybersecurity attacks such as phishing and ransomware) are becoming more frequent and sophisticated, including through the use of artificial intelligence and machine learning. Threat actors have successfully breached the Company’s systems and processes in various ways, and such cybersecurity breaches expose the Company to significant potential liability and reputational harm. Cybersecurity attacks have not yet materially impacted the Company’s data or the Company’s operations, financial condition, or data security. However, future attacks could have a material impact. Threat actors, including sophisticated nation-state actors, seek unauthorized access to intellectual property, or confidential or proprietary information regarding the Company, its customers, its business partners, or its employees, and may target the Company’s systems for espionage, intellectual property theft, or disruption of operations. They deploy malicious software programs that exploit security vulnerabilities, including ransomware designed to encrypt the Company’s files so an attacker may demand a ransom for restored access. They also seek to misdirect money, sabotage data and systems, takeover internal processes, and induce employees or other system users to disclose sensitive information, including login credentials. In addition, some Company employees continue to work from home on a full-time or hybrid basis, which increases the Company’s vulnerability to cyber and other information technology risks. Further, the Company relies on third-parties, whose systems and controls are outside the Company’s control. A failure, breach, or disruption involving such third parties could materially affect the Company’s operations.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Company seeks to protect and secure its systems and information, prevent and detect evolving threats, and respond to threats as they occur. Measures taken include implementing and enhancing information security controls, such as enterprise-wide firewalls, continuous monitoring, intrusion detection, endpoint protection, email security, disaster recovery, vulnerability management, and cybersecurity training for employees to enhance awareness of general security best practices, financial fraud, and phishing. Despite these efforts, the Company may not always be successful. Threat actors frequently change their techniques and technology (such as implementing artificial intelligence) and, consequently, the Company may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 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 Failure to comply with such requirements could have an adverse effect on the Company’s reputation, business, financial condition, and results of operations, as well as subject the Company to significant fines, litigation losses, third-party damages, and other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Financial Risks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Inventory value decline</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electronic components and integrated products industries are subject to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 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supplier discretion. In addition, certain Company sales are made pursuant to individual purchase orders, rather than through long-term sales contracts. Where there are contracts, such contracts are generally terminable at will upon notice. Unforeseen product developments, inventory value declines, or customer cancellations may adversely affect the Company’s business, results of operations, financial condition, or liquidity.</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Accounts receivable defaults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various financing programs. </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 constraints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In addition to cash on hand, the Company relies on external financing to help satisfy its cash needs. However, various factors affect external financing, including general market conditions, interest rate fluctuations, and the Company’s debt ratings and operating results. Consequently, external financing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at acceptable terms,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As of June 27, 2026, the Company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A portion of the Company’s debt is subject to variable interest rates and an increase in such rates would increase debt service obligations. Any material increase in the Company’s financing costs or loss of access to cost-effective financing could have an adverse effect on its profitability, results of operations, and cash flows.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Financing covenants and restrictions may limit management discretion</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tbl>
      <w:tblPr>
        <w:tblW w:w="2102" w:type="dxa"/>
        <w:jc w:val="left"/>
        <w:tblInd w:w="0" w:type="dxa"/>
        <w:tblLayout w:type="fixed"/>
        <w:tblCellMar>
          <w:top w:w="0" w:type="dxa"/>
          <w:left w:w="0" w:type="dxa"/>
          <w:bottom w:w="0" w:type="dxa"/>
          <w:right w:w="0" w:type="dxa"/>
        </w:tblCellMar>
      </w:tblPr>
      <w:tblGrid>
        <w:gridCol w:w="271"/>
        <w:gridCol w:w="1831"/>
      </w:tblGrid>
      <w:tr>
        <w:trPr/>
        <w:tc>
          <w:tcPr>
            <w:tcW w:w="271"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liens on assets;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restricted payments (including, under certain circumstances, paying dividends on, redeeming, or repurchasing common stock);</w:t>
            </w:r>
          </w:p>
        </w:tc>
      </w:tr>
    </w:tbl>
    <w:tbl>
      <w:tblPr>
        <w:tblW w:w="2537" w:type="dxa"/>
        <w:jc w:val="left"/>
        <w:tblInd w:w="0" w:type="dxa"/>
        <w:tblLayout w:type="fixed"/>
        <w:tblCellMar>
          <w:top w:w="0" w:type="dxa"/>
          <w:left w:w="0" w:type="dxa"/>
          <w:bottom w:w="0" w:type="dxa"/>
          <w:right w:w="0" w:type="dxa"/>
        </w:tblCellMar>
      </w:tblPr>
      <w:tblGrid>
        <w:gridCol w:w="271"/>
        <w:gridCol w:w="2266"/>
      </w:tblGrid>
      <w:tr>
        <w:trPr/>
        <w:tc>
          <w:tcPr>
            <w:tcW w:w="271" w:type="dxa"/>
            <w:tcBorders/>
            <w:vAlign w:val="center"/>
          </w:tcPr>
          <w:p>
            <w:pPr>
              <w:pStyle w:val="TableContents"/>
              <w:bidi w:val="0"/>
              <w:spacing w:before="0" w:after="283"/>
              <w:jc w:val="left"/>
              <w:rPr/>
            </w:pPr>
            <w:r>
              <w:rPr/>
              <w:t>●</w:t>
            </w:r>
          </w:p>
        </w:tc>
        <w:tc>
          <w:tcPr>
            <w:tcW w:w="2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6812" w:type="dxa"/>
        <w:jc w:val="left"/>
        <w:tblInd w:w="0" w:type="dxa"/>
        <w:tblLayout w:type="fixed"/>
        <w:tblCellMar>
          <w:top w:w="0" w:type="dxa"/>
          <w:left w:w="0" w:type="dxa"/>
          <w:bottom w:w="0" w:type="dxa"/>
          <w:right w:w="0" w:type="dxa"/>
        </w:tblCellMar>
      </w:tblPr>
      <w:tblGrid>
        <w:gridCol w:w="271"/>
        <w:gridCol w:w="6541"/>
      </w:tblGrid>
      <w:tr>
        <w:trPr/>
        <w:tc>
          <w:tcPr>
            <w:tcW w:w="271" w:type="dxa"/>
            <w:tcBorders/>
            <w:vAlign w:val="center"/>
          </w:tcPr>
          <w:p>
            <w:pPr>
              <w:pStyle w:val="TableContents"/>
              <w:bidi w:val="0"/>
              <w:spacing w:before="0" w:after="283"/>
              <w:jc w:val="left"/>
              <w:rPr/>
            </w:pPr>
            <w:r>
              <w:rPr/>
              <w:t>●</w:t>
            </w:r>
          </w:p>
        </w:tc>
        <w:tc>
          <w:tcPr>
            <w:tcW w:w="6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transfer all, or substantially all, of the Company’s assets;</w:t>
            </w:r>
          </w:p>
        </w:tc>
      </w:tr>
    </w:tbl>
    <w:tbl>
      <w:tblPr>
        <w:tblW w:w="2402" w:type="dxa"/>
        <w:jc w:val="left"/>
        <w:tblInd w:w="0" w:type="dxa"/>
        <w:tblLayout w:type="fixed"/>
        <w:tblCellMar>
          <w:top w:w="0" w:type="dxa"/>
          <w:left w:w="0" w:type="dxa"/>
          <w:bottom w:w="0" w:type="dxa"/>
          <w:right w:w="0" w:type="dxa"/>
        </w:tblCellMar>
      </w:tblPr>
      <w:tblGrid>
        <w:gridCol w:w="271"/>
        <w:gridCol w:w="2131"/>
      </w:tblGrid>
      <w:tr>
        <w:trPr/>
        <w:tc>
          <w:tcPr>
            <w:tcW w:w="271" w:type="dxa"/>
            <w:tcBorders/>
            <w:vAlign w:val="center"/>
          </w:tcPr>
          <w:p>
            <w:pPr>
              <w:pStyle w:val="TableContents"/>
              <w:bidi w:val="0"/>
              <w:spacing w:before="0" w:after="283"/>
              <w:jc w:val="left"/>
              <w:rPr/>
            </w:pPr>
            <w:r>
              <w:rPr/>
              <w:t>●</w:t>
            </w:r>
          </w:p>
        </w:tc>
        <w:tc>
          <w:tcPr>
            <w:tcW w:w="2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 or</w:t>
            </w:r>
          </w:p>
        </w:tc>
      </w:tr>
    </w:tbl>
    <w:tbl>
      <w:tblPr>
        <w:tblW w:w="4037" w:type="dxa"/>
        <w:jc w:val="left"/>
        <w:tblInd w:w="0" w:type="dxa"/>
        <w:tblLayout w:type="fixed"/>
        <w:tblCellMar>
          <w:top w:w="0" w:type="dxa"/>
          <w:left w:w="0" w:type="dxa"/>
          <w:bottom w:w="0" w:type="dxa"/>
          <w:right w:w="0" w:type="dxa"/>
        </w:tblCellMar>
      </w:tblPr>
      <w:tblGrid>
        <w:gridCol w:w="271"/>
        <w:gridCol w:w="3766"/>
      </w:tblGrid>
      <w:tr>
        <w:trPr/>
        <w:tc>
          <w:tcPr>
            <w:tcW w:w="271" w:type="dxa"/>
            <w:tcBorders/>
            <w:vAlign w:val="center"/>
          </w:tcPr>
          <w:p>
            <w:pPr>
              <w:pStyle w:val="TableContents"/>
              <w:bidi w:val="0"/>
              <w:spacing w:before="0" w:after="283"/>
              <w:jc w:val="left"/>
              <w:rPr/>
            </w:pPr>
            <w:r>
              <w:rPr/>
              <w:t>●</w:t>
            </w:r>
          </w:p>
        </w:tc>
        <w:tc>
          <w:tcPr>
            <w:tcW w:w="3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certain transactions with affiliates.</w:t>
            </w:r>
          </w:p>
        </w:tc>
      </w:tr>
    </w:tbl>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may be in default under certain of its credit facilities if its leverage ratio exceeds a certain level. In such an event, lenders may accelerate payment, other lenders may declare a cross-default, and the Company may be unable to continue to utilize these facilities, which could cause the Company to have insufficient cash to make interest payments, to repay indebtedness, or for general corporate needs.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As a result of these covenants and restrictions, the Company may be limited in the future in how it conducts its business and may be unable to raise additional debt, repurchase common stock, pay a dividend, compete effectively, or make further investments.</w:t>
      </w:r>
    </w:p>
    <w:p>
      <w:pPr>
        <w:pStyle w:val="TextBody"/>
        <w:bidi w:val="0"/>
        <w:spacing w:lineRule="auto" w:line="343" w:before="200" w:after="0"/>
        <w:ind w:left="0" w:right="0" w:hanging="0"/>
        <w:jc w:val="left"/>
        <w:rPr>
          <w:rFonts w:ascii="inherit" w:hAnsi="inherit"/>
          <w:b/>
          <w:i/>
          <w:sz w:val="20"/>
        </w:rPr>
      </w:pPr>
      <w:r>
        <w:rPr>
          <w:rFonts w:ascii="inherit" w:hAnsi="inherit"/>
          <w:b/>
          <w:i/>
          <w:sz w:val="20"/>
        </w:rPr>
        <w:t>Tax law changes and compliance</w:t>
      </w:r>
    </w:p>
    <w:p>
      <w:pPr>
        <w:pStyle w:val="TextBody"/>
        <w:bidi w:val="0"/>
        <w:spacing w:lineRule="auto" w:line="343" w:before="120" w:after="0"/>
        <w:ind w:left="0" w:right="0" w:firstLine="475"/>
        <w:jc w:val="left"/>
        <w:rPr>
          <w:rFonts w:ascii="inherit" w:hAnsi="inherit"/>
          <w:sz w:val="20"/>
        </w:rPr>
      </w:pPr>
      <w:r>
        <w:rPr>
          <w:rFonts w:ascii="inherit" w:hAnsi="inherit"/>
          <w:sz w:val="20"/>
        </w:rPr>
        <w:t xml:space="preserve">As a multinational corporation, the Company is subject to the tax laws and regulations of the United States and many foreign jurisdictions. From time to time, governments enact or revise tax laws and regulations, which are further subject to interpretations, guidance, amendments, and technical corrections from international, federal, and state tax authorities. Such changes to tax law may adversely affect the Company’s cash flow, costs of share buybacks, and effective tax rate, including through decreases in allowable deductions and higher tax rates. </w:t>
      </w:r>
    </w:p>
    <w:p>
      <w:pPr>
        <w:pStyle w:val="TextBody"/>
        <w:bidi w:val="0"/>
        <w:spacing w:lineRule="auto" w:line="343" w:before="120" w:after="0"/>
        <w:ind w:left="0" w:right="0" w:firstLine="475"/>
        <w:jc w:val="left"/>
        <w:rPr>
          <w:rFonts w:ascii="inherit" w:hAnsi="inherit"/>
          <w:sz w:val="20"/>
        </w:rPr>
      </w:pPr>
      <w:r>
        <w:rPr>
          <w:rFonts w:ascii="inherit" w:hAnsi="inherit"/>
          <w:sz w:val="20"/>
        </w:rPr>
        <w:t>Many countries have adopted provisions to align their international tax rules with the Base Erosion and Profit Shifting Project, led by the Organisation for Economic Co-operation and Development (“OECD”), which applied to the Company as of fiscal year 2026. The project aims to standardize and modernize global corporate tax policy, and levies a 15% global minimum corporate tax rate on a country-by-country basis on companies with revenue over a set threshold. Various jurisdictions are adopting related regulations at different times and in varying forms. Conflicting regulations or interpretations could increase risk of double taxation, compliance complexity, and disputes with taxing authorities. Furthermore, many countries are independently evaluating their corporate tax policy, which could result in tax legislation and enforcement that adversely impacts the Company’s tax provision and value of deferred assets and liabilities.</w:t>
      </w:r>
    </w:p>
    <w:p>
      <w:pPr>
        <w:pStyle w:val="TextBody"/>
        <w:bidi w:val="0"/>
        <w:spacing w:lineRule="auto" w:line="343" w:before="120" w:after="0"/>
        <w:ind w:left="0" w:right="0" w:firstLine="475"/>
        <w:jc w:val="left"/>
        <w:rPr>
          <w:rFonts w:ascii="inherit" w:hAnsi="inherit"/>
          <w:sz w:val="20"/>
        </w:rPr>
      </w:pPr>
      <w:r>
        <w:rPr>
          <w:rFonts w:ascii="inherit" w:hAnsi="inherit"/>
          <w:sz w:val="20"/>
        </w:rPr>
        <w:t xml:space="preserve">The tax laws and regulations of the various countries where the Company has operations are extremely complex and subject to varying interpretations. The Company believes that its historical tax positions are sound and consistent with applicable law, and that it has adequately reserved for taxes. However, taxing authorities may challenge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inherit" w:hAnsi="inherit"/>
          <w:sz w:val="20"/>
        </w:rPr>
      </w:pPr>
      <w:r>
        <w:rPr>
          <w:rFonts w:ascii="inherit" w:hAnsi="inherit"/>
          <w:sz w:val="20"/>
        </w:rPr>
        <w:t>positions and the Company may not be successful in defending against any such challenges. The Company’s future income tax expense could be adversely affected by changes in the mix of earnings in countries with differing statutory tax rates, changes in the valuation of deferred tax assets, and liabilities and changes to its operating structure.</w:t>
      </w:r>
    </w:p>
    <w:p>
      <w:pPr>
        <w:pStyle w:val="TextBody"/>
        <w:bidi w:val="0"/>
        <w:spacing w:lineRule="auto" w:line="343" w:before="200" w:after="0"/>
        <w:ind w:left="0" w:right="0" w:hanging="0"/>
        <w:jc w:val="left"/>
        <w:rPr>
          <w:rFonts w:ascii="inherit" w:hAnsi="inherit"/>
          <w:b/>
          <w:i/>
          <w:sz w:val="20"/>
        </w:rPr>
      </w:pPr>
      <w:r>
        <w:rPr>
          <w:rFonts w:ascii="inherit" w:hAnsi="inherit"/>
          <w:b/>
          <w:i/>
          <w:sz w:val="20"/>
        </w:rPr>
        <w:t>Constraints on internal controls</w:t>
      </w:r>
    </w:p>
    <w:p>
      <w:pPr>
        <w:pStyle w:val="TextBody"/>
        <w:bidi w:val="0"/>
        <w:spacing w:lineRule="auto" w:line="343" w:before="120" w:after="0"/>
        <w:ind w:left="0" w:right="0" w:firstLine="475"/>
        <w:jc w:val="left"/>
        <w:rPr>
          <w:rFonts w:ascii="inherit" w:hAnsi="inherit"/>
          <w:sz w:val="20"/>
        </w:rPr>
      </w:pPr>
      <w:r>
        <w:rPr>
          <w:rFonts w:ascii="inherit" w:hAnsi="inherit"/>
          <w:sz w:val="20"/>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but are limited by human error, circumventing or overriding controls, and fraud. As a result, the Company may not identify all material activity or all immaterial activity that could aggregate into a material 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pStyle w:val="TextBody"/>
        <w:bidi w:val="0"/>
        <w:spacing w:lineRule="auto" w:line="343" w:before="200" w:after="0"/>
        <w:ind w:left="0" w:right="0" w:hanging="0"/>
        <w:jc w:val="left"/>
        <w:rPr>
          <w:rFonts w:ascii="inherit" w:hAnsi="inherit"/>
          <w:b/>
          <w:i/>
          <w:sz w:val="20"/>
        </w:rPr>
      </w:pPr>
      <w:r>
        <w:rPr>
          <w:rFonts w:ascii="inherit" w:hAnsi="inherit"/>
          <w:b/>
          <w:i/>
          <w:sz w:val="20"/>
        </w:rPr>
        <w:t>Acquisition expected benefits shortfall</w:t>
      </w:r>
    </w:p>
    <w:p>
      <w:pPr>
        <w:pStyle w:val="TextBody"/>
        <w:bidi w:val="0"/>
        <w:spacing w:lineRule="auto" w:line="343" w:before="120" w:after="0"/>
        <w:ind w:left="0" w:right="0" w:firstLine="475"/>
        <w:jc w:val="left"/>
        <w:rPr>
          <w:rFonts w:ascii="inherit" w:hAnsi="inherit"/>
          <w:sz w:val="20"/>
        </w:rPr>
      </w:pPr>
      <w:r>
        <w:rPr>
          <w:rFonts w:ascii="inherit" w:hAnsi="inherit"/>
          <w:sz w:val="20"/>
        </w:rPr>
        <w:t>The Company has made, and expects to make, strategic acquisitions or investments globally to further its strategic objectives and support key business initiatives. Acquisitions and investments involve risks and uncertainties, some of which may differ from those associated with the Company’s historical operations. Examples include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operations and initiatives. As a result, the Company’s profitability may be negatively impacted. In addition, the Company may not successfully integrate the acquired businesses, or the integration may be more difficult, costly, or time-consuming than anticipated. Further, any litigation involving the potential acquisition or acquired entity may increase expenses associated with the acquisition, cause a delay in completing the acquisition, or impact the ability to integrate the acquired entity, all of which may impact the Company’s profitability. The Company may experience disruptions that could, depending on the size of the acquisition, have an adverse effect on its business, especially where an acquisition target may have pre-existing regulatory issues or deficiencies, or material weaknesses in internal controls over financial reporting. Furthermore, the Company may not realize all benefits anticipated from its acquisitions, which could adversely affect the Company’s financial performance.</w:t>
      </w:r>
    </w:p>
    <w:p>
      <w:pPr>
        <w:pStyle w:val="TextBody"/>
        <w:bidi w:val="0"/>
        <w:spacing w:lineRule="auto" w:line="343" w:before="200" w:after="0"/>
        <w:ind w:left="0" w:right="0" w:hanging="0"/>
        <w:jc w:val="left"/>
        <w:rPr>
          <w:rFonts w:ascii="inherit" w:hAnsi="inherit"/>
          <w:b/>
          <w:sz w:val="20"/>
        </w:rPr>
      </w:pPr>
      <w:r>
        <w:rPr>
          <w:rFonts w:ascii="inherit" w:hAnsi="inherit"/>
          <w:b/>
          <w:sz w:val="20"/>
        </w:rPr>
        <w:t>Legal and Regulatory Risks</w:t>
      </w:r>
    </w:p>
    <w:p>
      <w:pPr>
        <w:pStyle w:val="TextBody"/>
        <w:bidi w:val="0"/>
        <w:spacing w:lineRule="auto" w:line="343" w:before="200" w:after="0"/>
        <w:ind w:left="0" w:right="0" w:hanging="0"/>
        <w:jc w:val="left"/>
        <w:rPr>
          <w:rFonts w:ascii="Times New Roman;Times;serif" w:hAnsi="Times New Roman;Times;serif"/>
          <w:sz w:val="20"/>
        </w:rPr>
      </w:pPr>
      <w:r>
        <w:rPr>
          <w:rFonts w:ascii="inherit" w:hAnsi="inherit"/>
          <w:b/>
          <w:i/>
          <w:sz w:val="20"/>
        </w:rPr>
        <w:t>Legal proceedings</w:t>
      </w:r>
      <w:r>
        <w:rPr>
          <w:rFonts w:ascii="Times New Roman;Times;serif" w:hAnsi="Times New Roman;Times;serif"/>
          <w:sz w:val="20"/>
        </w:rPr>
        <w:t xml:space="preserve"> </w:t>
      </w:r>
      <w:r>
        <w:rPr>
          <w:rFonts w:ascii="inherit" w:hAnsi="inherit"/>
          <w:b/>
          <w:i/>
          <w:sz w:val="20"/>
        </w:rPr>
        <w:t>costs and damages</w:t>
      </w:r>
    </w:p>
    <w:p>
      <w:pPr>
        <w:pStyle w:val="TextBody"/>
        <w:bidi w:val="0"/>
        <w:spacing w:lineRule="auto" w:line="343" w:before="120" w:after="0"/>
        <w:ind w:left="0" w:right="0" w:firstLine="475"/>
        <w:jc w:val="left"/>
        <w:rPr>
          <w:rFonts w:ascii="inherit" w:hAnsi="inherit"/>
          <w:sz w:val="20"/>
        </w:rPr>
      </w:pPr>
      <w:r>
        <w:rPr>
          <w:rFonts w:ascii="inherit" w:hAnsi="inherit"/>
          <w:sz w:val="20"/>
        </w:rPr>
        <w:t xml:space="preserve">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inherit" w:hAnsi="inherit"/>
          <w:sz w:val="20"/>
        </w:rPr>
      </w:pPr>
      <w:r>
        <w:rPr>
          <w:rFonts w:ascii="inherit" w:hAnsi="inherit"/>
          <w:sz w:val="20"/>
        </w:rPr>
        <w:t xml:space="preserve">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 </w:t>
      </w:r>
    </w:p>
    <w:p>
      <w:pPr>
        <w:pStyle w:val="TextBody"/>
        <w:bidi w:val="0"/>
        <w:spacing w:lineRule="auto" w:line="343" w:before="200" w:after="0"/>
        <w:ind w:left="0" w:right="0" w:hanging="0"/>
        <w:jc w:val="left"/>
        <w:rPr>
          <w:rFonts w:ascii="Times New Roman;Times;serif" w:hAnsi="Times New Roman;Times;serif"/>
          <w:sz w:val="20"/>
        </w:rPr>
      </w:pPr>
      <w:r>
        <w:rPr>
          <w:rFonts w:ascii="inherit" w:hAnsi="inherit"/>
          <w:b/>
          <w:i/>
          <w:sz w:val="20"/>
        </w:rPr>
        <w:t>Regulatory</w:t>
      </w:r>
      <w:r>
        <w:rPr>
          <w:rFonts w:ascii="Times New Roman;Times;serif" w:hAnsi="Times New Roman;Times;serif"/>
          <w:sz w:val="20"/>
        </w:rPr>
        <w:t xml:space="preserve"> </w:t>
      </w:r>
      <w:r>
        <w:rPr>
          <w:rFonts w:ascii="inherit" w:hAnsi="inherit"/>
          <w:b/>
          <w:i/>
          <w:sz w:val="20"/>
        </w:rPr>
        <w:t>non-compliance</w:t>
      </w:r>
    </w:p>
    <w:p>
      <w:pPr>
        <w:pStyle w:val="TextBody"/>
        <w:bidi w:val="0"/>
        <w:spacing w:lineRule="auto" w:line="343" w:before="120" w:after="0"/>
        <w:ind w:left="0" w:right="0" w:firstLine="475"/>
        <w:jc w:val="left"/>
        <w:rPr>
          <w:rFonts w:ascii="inherit" w:hAnsi="inherit"/>
          <w:sz w:val="20"/>
        </w:rPr>
      </w:pPr>
      <w:r>
        <w:rPr>
          <w:rFonts w:ascii="inherit" w:hAnsi="inherit"/>
          <w:sz w:val="20"/>
        </w:rPr>
        <w:t>The Company is subject to laws and regulations addressing a variety of issues, including import and export regulations, environmental impacts and related disclosures, data privacy, workplace safety, and supply chain regulations. While the Company strives to fully comply with all applicable regulations, certain of these regulations are subject to differing interpretations and conflicts among various jurisdictions or may impose liability without fault. Additionally, the Company may be held responsible for the prior activities of an entity it acquired.</w:t>
      </w:r>
    </w:p>
    <w:p>
      <w:pPr>
        <w:pStyle w:val="TextBody"/>
        <w:bidi w:val="0"/>
        <w:spacing w:lineRule="auto" w:line="343" w:before="120" w:after="0"/>
        <w:ind w:left="0" w:right="0" w:firstLine="475"/>
        <w:jc w:val="left"/>
        <w:rPr>
          <w:rFonts w:ascii="inherit" w:hAnsi="inherit"/>
          <w:sz w:val="20"/>
        </w:rPr>
      </w:pPr>
      <w:r>
        <w:rPr>
          <w:rFonts w:ascii="inherit" w:hAnsi="inherit"/>
          <w:sz w:val="20"/>
        </w:rPr>
        <w:t>Failure to comply with these regulations could result in substantial costs, fines, and civil or criminal sanctions, as well as third-party claims for property damage or personal injury. Future regulations may become more stringent over time, imposing greater compliance costs, and increasing risks, penalties and reputational harm associated with violations.</w:t>
      </w:r>
    </w:p>
    <w:p>
      <w:pPr>
        <w:pStyle w:val="TextBody"/>
        <w:bidi w:val="0"/>
        <w:spacing w:lineRule="auto" w:line="343" w:before="200" w:after="0"/>
        <w:ind w:left="0" w:right="0" w:hanging="0"/>
        <w:jc w:val="left"/>
        <w:rPr>
          <w:rFonts w:ascii="inherit" w:hAnsi="inherit"/>
          <w:b/>
          <w:sz w:val="20"/>
        </w:rPr>
      </w:pPr>
      <w:r>
        <w:rPr>
          <w:rFonts w:ascii="inherit" w:hAnsi="inherit"/>
          <w:b/>
          <w:sz w:val="20"/>
        </w:rPr>
        <w:t>General Risk Factors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Negative impacts of economic or geopolitical uncertainty, or a health crisis, on operations and financial results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Economic weakness and geopolitical uncertainty (including from military conflicts and international trade disputes), as well as health-related crises (including pandemics and epidemics), have resulted, and may result in the future, in a variety of adverse impacts on the Company and its customers and suppliers. Such adverse impacts include decreased sales, margins, and earnings; increased logistics costs; demand uncertainty; constrained workforce participation; global supply chain disruptions; and logistics and distribution system disruptions. Such crises and uncertainties could also result in, or heighten the risks of, customer bankruptcies, customer delayed or defaulted payments, delays in product deliveries, financial market disruption and volatility, and other risk factors described in the Company’s Annual Report. As a result, the Company may need to impair assets (including goodwill, intangible assets, and other long-lived assets), implement restructuring actions, and reduce expenses in response to decreased sales or margins.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(including when customers decrease orders, cancel existing orders, or are unable to fulfill their obligations under non-cancelable/ non-return orders) and collect customer receivables, which may result in provisions to create reserves, write-offs, reduced access to liquidity, higher financing costs, and increased pressure on cash flows.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An increase in or prolonged period of inflation could affect the Company’s profitability and cash flows, due to higher wages, higher operating expenses, higher financing costs, and higher supplier prices. Inflation may also adversely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affect foreign exchange rates. The Company may be unable to pass along such higher costs to its customers, which may result in lower gross profit margins. In addition, inflation may adversely affect customers’ financing costs, cash flows, and profitability, which could adversely impact their operations and the Company’s ability to offer credit and collect receivables.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market for the Company’s products and services is very competitive and subject to technological advances (including artificial intelligence), new competitors, non-traditional competitors, and changes in industry standards.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including by adopting or enhancing digital capabilities, could adversely affect its business and prospects. Furthermore, the Company’s efforts to compete in the marketplace could cause deterioration of gross profit margins and, thus, overall profitability.</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pStyle w:val="TextBody"/>
        <w:bidi w:val="0"/>
        <w:spacing w:lineRule="auto" w:line="343" w:before="200" w:after="0"/>
        <w:ind w:left="0" w:right="0" w:hanging="0"/>
        <w:jc w:val="left"/>
        <w:rPr>
          <w:rFonts w:ascii="inherit" w:hAnsi="inherit"/>
          <w:b/>
          <w:i/>
          <w:sz w:val="20"/>
        </w:rPr>
      </w:pPr>
      <w:r>
        <w:rPr>
          <w:rFonts w:ascii="inherit" w:hAnsi="inherit"/>
          <w:b/>
          <w:i/>
          <w:sz w:val="20"/>
        </w:rPr>
        <w:t>Employee retention and hiring constraints</w:t>
      </w:r>
    </w:p>
    <w:p>
      <w:pPr>
        <w:pStyle w:val="TextBody"/>
        <w:bidi w:val="0"/>
        <w:spacing w:lineRule="auto" w:line="343" w:before="120" w:after="0"/>
        <w:ind w:left="0" w:right="0" w:firstLine="475"/>
        <w:jc w:val="left"/>
        <w:rPr>
          <w:rFonts w:ascii="inherit" w:hAnsi="inherit"/>
          <w:sz w:val="20"/>
        </w:rPr>
      </w:pPr>
      <w:r>
        <w:rPr>
          <w:rFonts w:ascii="inherit" w:hAnsi="inherit"/>
          <w:sz w:val="20"/>
        </w:rPr>
        <w:t>The Company’s success depends on its ability to attract, engage, develop, and retain qualified employees in a competitive labor market. Key talent acquisition may be impacted by immigration restrictions, shifting workforce demographics, and evolving skill requirements driven by technological change, including artificial intelligence. Restructuring activities and position eliminations may also affect the Company’s brand reputation as an employer, employee morale, and retention, particularly in areas where employees are represented by works councils and unions. Any challenges in maintaining a skilled and engaged workforce could adversely affect the Company’s business, financial condition, and results of operations.</w:t>
      </w:r>
    </w:p>
    <w:p>
      <w:pPr>
        <w:pStyle w:val="TextBody"/>
        <w:bidi w:val="0"/>
        <w:spacing w:before="0" w:after="0"/>
        <w:ind w:left="0" w:right="0" w:firstLine="475"/>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26" w:name="Item1BUnresolvedStaffComments_557759"/>
      <w:bookmarkStart w:id="27" w:name="_c1cfdad7_c8c5_45f7_9cd0_ebe8762d6791"/>
      <w:bookmarkEnd w:id="26"/>
      <w:bookmarkEnd w:id="27"/>
      <w:r>
        <w:rPr>
          <w:rFonts w:ascii="Times New Roman;Times;serif" w:hAnsi="Times New Roman;Times;serif"/>
          <w:b/>
          <w:sz w:val="20"/>
        </w:rPr>
        <w:t>Item 1B. Unresolved Staff Comments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28" w:name="Item1CCybersecurity"/>
      <w:bookmarkStart w:id="29" w:name="_706b00c6_83a4_4d1a_9172_71afb95f1b32"/>
      <w:bookmarkEnd w:id="28"/>
      <w:bookmarkEnd w:id="29"/>
      <w:r>
        <w:rPr>
          <w:rFonts w:ascii="Times New Roman;Times;serif" w:hAnsi="Times New Roman;Times;serif"/>
          <w:b/>
          <w:sz w:val="20"/>
        </w:rPr>
        <w:t>Item 1C. Cybersecurity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recognizes the importance of assessing, identifying, and managing material risks associated with cybersecurity threats, as defined in Item 106(a) of Regulation S-K. These risks include operational risks; intellectual property theft; fraud; extortion; harm to employees or customers; legal risks, including violations of privacy or data protection laws; and reputational risks. The Company has implemented several cybersecurity processes, technologies, and controls to aid in its efforts.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Global Cybersecurity &amp; Compliance (GC&amp;C) team maintains a comprehensive cybersecurity program that includes policies, procedures, and standards to govern the safe processing, storage, and transmission of data. GC&amp;C team members have extensive knowledge and experience regarding cybersecurity and the Company’s information technology systems. The GC&amp;C team leader reports directly to the Company’s Chief Information Officer. The cybersecurity program was developed using practices anchored on the National Institute of Standards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Technology (NIST) Cyber Security Framework (CSF) and seeks to align to the additional cybersecurity measures of NIST 800-171 and ISO27001. Cybersecurity controls are governed by Avnet’s Global Information Security Policy (GISP).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processes for overseeing and identifying cybersecurity threats, vulnerabilities, and controls associated with third-party service providers, including evaluating providers’ (i) cybersecurity ratings, (ii) public disclosures related to cybersecurity, (iii) cybersecurity questionnaire responses, and (iv) cybersecurity and IT certifications.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provides quarterly updates to, and receives oversight from, the Technology and Risk Committee on the Company’s cybersecurity program, cybersecurity incidents, and the cybersecurity threat landscape. Responsible members of management provide updates to the Company’s senior executive team regarding all cybersecurity incidents, the cybersecurity program, and the threat landscape.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enterprise risk management program (ERM) considers cybersecurity risks (including likelihood, potential severity, and mitigation) alongside other enterprise-wide risks as part of its overall ERM process. The GC&amp;C team administers an IT risk management program that identifies and assesses cybersecurity risks. Its assessments are shared with the Company’s enterprise risk management council (ERM Council).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GC&amp;C team applies an incident response procedure. Among other things, the team appropriately escalates some incidents in real-time, depending on the incident’s potential impact and scope. Further, the GC&amp;C team regularly collaborates with other departments—such as legal, corporate security, and human resources—when assessing, identifying, and managing cybersecurity incidents. The Company also retains external cybersecurity response consultants to assist internal resources as needed.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regularly tests the effectiveness of its security program through internal audit and external assessments. The Company makes investments for continual improvements in risk and vulnerability mitigation, including ongoing monitoring, network and system updates, and employee cybersecurity awareness training.</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cybersecurity assessments and auditing include: </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Regular penetration tests conducted by external consultants;</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Regular maturity assessments conducted by external consultants;</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Quarterly self-assessments of internal cybersecurity capabilities; and</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Ongoing internal audits of cybersecurity systems and practices.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employee communication and training program includes: </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Annual tabletop exercises performed with its executive team;</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Annual tabletop exercises with its cybersecurity incident response team;</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Annually distributing the Global Information Security Policy (GISP) to all employees;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120" w:after="0"/>
              <w:jc w:val="left"/>
              <w:rPr/>
            </w:pPr>
            <w:r>
              <w:rPr/>
              <w:t>•</w:t>
            </w:r>
          </w:p>
        </w:tc>
        <w:tc>
          <w:tcPr>
            <w:tcW w:w="9885" w:type="dxa"/>
            <w:tcBorders/>
            <w:vAlign w:val="center"/>
          </w:tcPr>
          <w:p>
            <w:pPr>
              <w:pStyle w:val="TableContents"/>
              <w:bidi w:val="0"/>
              <w:spacing w:before="120" w:after="0"/>
              <w:jc w:val="left"/>
              <w:rPr>
                <w:rFonts w:ascii="Times New Roman;Times;serif" w:hAnsi="Times New Roman;Times;serif"/>
                <w:sz w:val="20"/>
              </w:rPr>
            </w:pPr>
            <w:r>
              <w:rPr>
                <w:rFonts w:ascii="Times New Roman;Times;serif" w:hAnsi="Times New Roman;Times;serif"/>
                <w:sz w:val="20"/>
              </w:rPr>
              <w:t>New hire and biennial computer-based training on data privacy and cybersecurity for all employees, with in-person training for high-risk positions;</w:t>
            </w:r>
          </w:p>
        </w:tc>
      </w:tr>
    </w:tbl>
    <w:p>
      <w:pPr>
        <w:pStyle w:val="TextBody"/>
        <w:bidi w:val="0"/>
        <w:spacing w:before="120" w:after="0"/>
        <w:ind w:left="0" w:right="0" w:hanging="0"/>
        <w:jc w:val="left"/>
        <w:rPr/>
      </w:pPr>
      <w:r>
        <w:rPr>
          <w:caps w:val="false"/>
          <w:smallCaps w:val="false"/>
        </w:rPr>
        <w:t>•</w:t>
      </w:r>
      <w:r>
        <w:rPr>
          <w:rFonts w:ascii="Times New Roman;Times;serif" w:hAnsi="Times New Roman;Times;serif"/>
          <w:sz w:val="20"/>
        </w:rPr>
        <w:t>Cybersecurity awareness training videos available to employees and updated quarterly;</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Phishing simulations conducted with employees monthly; and</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Newsletters distributed to all employees on relevant cybersecurity threats.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Please refer to Item 1.A, Risk Factors (Data security and privacy threats) for a discussion of whether cybersecurity threats have or will materially affect the Company, as well as the potential impact on the Company’s operations and financial condition.</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30" w:name="Item2Properties_631923"/>
      <w:bookmarkStart w:id="31" w:name="_3aef704a_c118_4c66_b447_61b7061bee30"/>
      <w:bookmarkEnd w:id="30"/>
      <w:bookmarkEnd w:id="31"/>
      <w:r>
        <w:rPr>
          <w:rFonts w:ascii="Times New Roman;Times;serif" w:hAnsi="Times New Roman;Times;serif"/>
          <w:b/>
          <w:sz w:val="20"/>
        </w:rPr>
        <w:t>Item 2. Properties</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sz w:val="20"/>
        </w:rPr>
        <w:t>The Company’s Corporate and EC Americas headquarters are in Phoenix, Arizona. The Company owns and leases approximately 2.1 million and 4.1 million square feet of space, respectively, of which approximately 24% is in the United States. The facilities consist of office, warehousing, integration and value-added operations. The Company believes that the facilities are well maintained and adequate for current and future operating needs. The following table summarizes the square footage of the Company’s facilities by region as of June 27, 2026 (in millions):</w:t>
      </w:r>
    </w:p>
    <w:tbl>
      <w:tblPr>
        <w:tblW w:w="2602" w:type="dxa"/>
        <w:jc w:val="left"/>
        <w:tblInd w:w="0" w:type="dxa"/>
        <w:tblLayout w:type="fixed"/>
        <w:tblCellMar>
          <w:top w:w="0" w:type="dxa"/>
          <w:left w:w="0" w:type="dxa"/>
          <w:bottom w:w="0" w:type="dxa"/>
          <w:right w:w="0" w:type="dxa"/>
        </w:tblCellMar>
      </w:tblPr>
      <w:tblGrid>
        <w:gridCol w:w="871"/>
        <w:gridCol w:w="346"/>
        <w:gridCol w:w="1231"/>
        <w:gridCol w:w="154"/>
      </w:tblGrid>
      <w:tr>
        <w:trPr/>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3085" cy="175260"/>
                      <wp:effectExtent l="0" t="0" r="0" b="0"/>
                      <wp:wrapNone/>
                      <wp:docPr id="16" name="Frame1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1685" cy="175260"/>
                      <wp:effectExtent l="0" t="0" r="0" b="0"/>
                      <wp:wrapNone/>
                      <wp:docPr id="18" name="Frame1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175260"/>
                      <wp:effectExtent l="0" t="0" r="0" b="0"/>
                      <wp:wrapNone/>
                      <wp:docPr id="19" name="Frame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Square</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2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Footage</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54"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before="0" w:after="0"/>
        <w:ind w:left="0" w:right="0" w:firstLine="475"/>
        <w:jc w:val="both"/>
        <w:rPr/>
      </w:pPr>
      <w:r>
        <w:rPr/>
        <w:t>​</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See Note 5, “Property, plant and equipment, net” and Note 11, “Leases” to the Company’s consolidated financial statements included in Item 8 of this Annual Report on Form 10-K for additional information on the Company’s properties. </w:t>
      </w:r>
    </w:p>
    <w:p>
      <w:pPr>
        <w:pStyle w:val="TextBody"/>
        <w:bidi w:val="0"/>
        <w:spacing w:before="0" w:after="0"/>
        <w:ind w:left="0" w:right="0" w:firstLine="475"/>
        <w:jc w:val="both"/>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32" w:name="Item3LegalProceedings_940969"/>
      <w:bookmarkStart w:id="33" w:name="_46ac7667_edac_42b4_9fa6_cc8f1faca536"/>
      <w:bookmarkEnd w:id="32"/>
      <w:bookmarkEnd w:id="33"/>
      <w:r>
        <w:rPr>
          <w:rFonts w:ascii="Times New Roman;Times;serif" w:hAnsi="Times New Roman;Times;serif"/>
          <w:b/>
          <w:sz w:val="20"/>
        </w:rPr>
        <w:t>Item 3. Legal Proceedings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lineRule="auto" w:line="343" w:before="200" w:after="0"/>
        <w:ind w:left="0" w:right="0" w:hanging="0"/>
        <w:jc w:val="both"/>
        <w:rPr>
          <w:rFonts w:ascii="Times New Roman;Times;serif" w:hAnsi="Times New Roman;Times;serif"/>
          <w:b/>
          <w:sz w:val="20"/>
        </w:rPr>
      </w:pPr>
      <w:bookmarkStart w:id="34" w:name="Item4MineSafetyDisclosures_728632"/>
      <w:bookmarkStart w:id="35" w:name="_016401bb_9bf0_4b0f_b18a_f67f15cbf096"/>
      <w:bookmarkEnd w:id="34"/>
      <w:bookmarkEnd w:id="35"/>
      <w:r>
        <w:rPr>
          <w:rFonts w:ascii="Times New Roman;Times;serif" w:hAnsi="Times New Roman;Times;serif"/>
          <w:b/>
          <w:sz w:val="20"/>
        </w:rPr>
        <w:t>Item 4. Mine Safety Disclosures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36" w:name="PARTII_492728"/>
      <w:bookmarkStart w:id="37" w:name="_9a570e43_0117_43b2_b14e_bc724a542d65"/>
      <w:bookmarkEnd w:id="36"/>
      <w:bookmarkEnd w:id="37"/>
      <w:r>
        <w:rPr>
          <w:rFonts w:ascii="Times New Roman;Times;serif" w:hAnsi="Times New Roman;Times;serif"/>
          <w:b/>
          <w:sz w:val="20"/>
        </w:rPr>
        <w:t>PART II</w:t>
      </w:r>
    </w:p>
    <w:p>
      <w:pPr>
        <w:pStyle w:val="TextBody"/>
        <w:bidi w:val="0"/>
        <w:spacing w:lineRule="auto" w:line="343" w:before="200" w:after="0"/>
        <w:ind w:left="0" w:right="0" w:hanging="0"/>
        <w:jc w:val="left"/>
        <w:rPr>
          <w:rFonts w:ascii="Times New Roman;Times;serif" w:hAnsi="Times New Roman;Times;serif"/>
          <w:sz w:val="20"/>
        </w:rPr>
      </w:pPr>
      <w:bookmarkStart w:id="38" w:name="Item5MarketforRegistrantsCommonEquityRel"/>
      <w:bookmarkEnd w:id="38"/>
      <w:r>
        <w:rPr>
          <w:rFonts w:ascii="Times New Roman;Times;serif" w:hAnsi="Times New Roman;Times;serif"/>
          <w:b/>
          <w:sz w:val="20"/>
        </w:rPr>
        <w:t>Item 5. Market for Registrant’s Common Equity, Related Stockholder</w:t>
      </w:r>
      <w:r>
        <w:rPr>
          <w:rFonts w:ascii="Times New Roman;Times;serif" w:hAnsi="Times New Roman;Times;serif"/>
          <w:sz w:val="20"/>
        </w:rPr>
        <w:t xml:space="preserve"> </w:t>
      </w:r>
      <w:r>
        <w:rPr>
          <w:rFonts w:ascii="Times New Roman;Times;serif" w:hAnsi="Times New Roman;Times;serif"/>
          <w:b/>
          <w:sz w:val="20"/>
        </w:rPr>
        <w:t>Matters and Issuer Purchases of Equity Securities</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common stock is listed on the Nasdaq Global Select Market under the symbol AVT.</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Record Holders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As of August 7, 2026, there were 1,160 registered holders of record of Avnet’s common stock.</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Stock Performance Graphs and Cumulative Total Returns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TD Synnex Corporation). The graph assumes that the value of the investment in Avnet’s common stock, in each index, and in the peer group (including reinvestment of dividends) was $100 on 7/3/2021 and tracks it through 6/27/2026.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pPr>
      <w:r>
        <w:rPr/>
        <w:drawing>
          <wp:inline distT="0" distB="0" distL="0" distR="0">
            <wp:extent cx="6035040" cy="4584065"/>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6035040" cy="458406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lineRule="atLeast" w:line="200" w:before="0" w:after="0"/>
        <w:ind w:left="0" w:right="0" w:hanging="0"/>
        <w:jc w:val="left"/>
        <w:rPr/>
      </w:pPr>
      <w:r>
        <w:rPr/>
        <w:t>​</w:t>
      </w:r>
    </w:p>
    <w:tbl>
      <w:tblPr>
        <w:tblW w:w="9307" w:type="dxa"/>
        <w:jc w:val="left"/>
        <w:tblInd w:w="0" w:type="dxa"/>
        <w:tblLayout w:type="fixed"/>
        <w:tblCellMar>
          <w:top w:w="0" w:type="dxa"/>
          <w:left w:w="0" w:type="dxa"/>
          <w:bottom w:w="0" w:type="dxa"/>
          <w:right w:w="0" w:type="dxa"/>
        </w:tblCellMar>
      </w:tblPr>
      <w:tblGrid>
        <w:gridCol w:w="1651"/>
        <w:gridCol w:w="226"/>
        <w:gridCol w:w="285"/>
        <w:gridCol w:w="570"/>
        <w:gridCol w:w="346"/>
        <w:gridCol w:w="211"/>
        <w:gridCol w:w="676"/>
        <w:gridCol w:w="346"/>
        <w:gridCol w:w="211"/>
        <w:gridCol w:w="676"/>
        <w:gridCol w:w="346"/>
        <w:gridCol w:w="228"/>
        <w:gridCol w:w="732"/>
        <w:gridCol w:w="346"/>
        <w:gridCol w:w="228"/>
        <w:gridCol w:w="732"/>
        <w:gridCol w:w="346"/>
        <w:gridCol w:w="228"/>
        <w:gridCol w:w="732"/>
        <w:gridCol w:w="19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48385" cy="175260"/>
                      <wp:effectExtent l="0" t="0" r="0" b="0"/>
                      <wp:wrapNone/>
                      <wp:docPr id="21" name="Frame20"/>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3510" cy="175260"/>
                      <wp:effectExtent l="0" t="0" r="0" b="0"/>
                      <wp:wrapNone/>
                      <wp:docPr id="22"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0975" cy="175260"/>
                      <wp:effectExtent l="0" t="0" r="0" b="0"/>
                      <wp:wrapNone/>
                      <wp:docPr id="23" name="Frame2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1950" cy="175260"/>
                      <wp:effectExtent l="0" t="0" r="0" b="0"/>
                      <wp:wrapNone/>
                      <wp:docPr id="24" name="Frame23"/>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7"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29260" cy="175260"/>
                      <wp:effectExtent l="0" t="0" r="0" b="0"/>
                      <wp:wrapNone/>
                      <wp:docPr id="30"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4780" cy="175260"/>
                      <wp:effectExtent l="0" t="0" r="0" b="0"/>
                      <wp:wrapNone/>
                      <wp:docPr id="32" name="Frame3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64820" cy="175260"/>
                      <wp:effectExtent l="0" t="0" r="0" b="0"/>
                      <wp:wrapNone/>
                      <wp:docPr id="33" name="Frame32"/>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4780" cy="175260"/>
                      <wp:effectExtent l="0" t="0" r="0" b="0"/>
                      <wp:wrapNone/>
                      <wp:docPr id="35" name="Frame3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4820" cy="175260"/>
                      <wp:effectExtent l="0" t="0" r="0" b="0"/>
                      <wp:wrapNone/>
                      <wp:docPr id="36" name="Frame35"/>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4780" cy="175260"/>
                      <wp:effectExtent l="0" t="0" r="0" b="0"/>
                      <wp:wrapNone/>
                      <wp:docPr id="38" name="Frame3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4820" cy="175260"/>
                      <wp:effectExtent l="0" t="0" r="0" b="0"/>
                      <wp:wrapNone/>
                      <wp:docPr id="39" name="Frame3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1285" cy="175260"/>
                      <wp:effectExtent l="0" t="0" r="0" b="0"/>
                      <wp:wrapNone/>
                      <wp:docPr id="40" name="Frame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7/3/2021</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7/2/2022</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7/1/2023</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6/29/2024</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6/28/2025</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6/27/2026</w:t>
            </w:r>
          </w:p>
        </w:tc>
        <w:tc>
          <w:tcPr>
            <w:tcW w:w="191" w:type="dxa"/>
            <w:tcBorders/>
            <w:vAlign w:val="center"/>
          </w:tcPr>
          <w:p>
            <w:pPr>
              <w:pStyle w:val="TableContents"/>
              <w:bidi w:val="0"/>
              <w:spacing w:before="0" w:after="0"/>
              <w:ind w:left="0" w:right="0" w:hanging="0"/>
              <w:jc w:val="center"/>
              <w:rPr/>
            </w:pPr>
            <w:r>
              <w:rPr/>
              <w:t> </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tc>
        <w:tc>
          <w:tcPr>
            <w:tcW w:w="226" w:type="dxa"/>
            <w:tcBorders/>
            <w:shd w:fill="CCEEFF" w:val="clear"/>
            <w:vAlign w:val="center"/>
          </w:tcPr>
          <w:p>
            <w:pPr>
              <w:pStyle w:val="TableContents"/>
              <w:bidi w:val="0"/>
              <w:spacing w:before="0" w:after="0"/>
              <w:ind w:left="0" w:right="0" w:hanging="0"/>
              <w:jc w:val="center"/>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132.63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138.84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145.69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244.51</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Composite</w:t>
            </w:r>
          </w:p>
        </w:tc>
        <w:tc>
          <w:tcPr>
            <w:tcW w:w="22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95.69</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142.78</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179.25</w:t>
            </w:r>
          </w:p>
        </w:tc>
        <w:tc>
          <w:tcPr>
            <w:tcW w:w="191" w:type="dxa"/>
            <w:tcBorders/>
            <w:vAlign w:val="center"/>
          </w:tcPr>
          <w:p>
            <w:pPr>
              <w:pStyle w:val="TableContents"/>
              <w:bidi w:val="0"/>
              <w:spacing w:before="0" w:after="0"/>
              <w:ind w:left="0" w:right="0" w:hanging="0"/>
              <w:jc w:val="center"/>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Peer Group</w:t>
            </w:r>
          </w:p>
        </w:tc>
        <w:tc>
          <w:tcPr>
            <w:tcW w:w="226" w:type="dxa"/>
            <w:tcBorders/>
            <w:shd w:fill="CCEEFF" w:val="clear"/>
            <w:vAlign w:val="center"/>
          </w:tcPr>
          <w:p>
            <w:pPr>
              <w:pStyle w:val="TableContents"/>
              <w:bidi w:val="0"/>
              <w:spacing w:before="0" w:after="0"/>
              <w:ind w:left="0" w:right="0" w:hanging="0"/>
              <w:jc w:val="center"/>
              <w:rPr/>
            </w:pPr>
            <w:r>
              <w:rPr/>
              <w:t>​</w:t>
            </w:r>
          </w:p>
        </w:tc>
        <w:tc>
          <w:tcPr>
            <w:tcW w:w="28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109.49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127.14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128.45</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202.37</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rFonts w:ascii="Times New Roman;Times;serif" w:hAnsi="Times New Roman;Times;serif"/>
          <w:sz w:val="18"/>
        </w:rPr>
      </w:pPr>
      <w:r>
        <w:rPr>
          <w:rFonts w:ascii="Times New Roman;Times;serif" w:hAnsi="Times New Roman;Times;serif"/>
          <w:i/>
          <w:sz w:val="18"/>
        </w:rPr>
        <w:t>The stock price performance included in this graph is not necessarily indicative of future stock price performance</w:t>
      </w:r>
      <w:r>
        <w:rPr>
          <w:rFonts w:ascii="Times New Roman;Times;serif" w:hAnsi="Times New Roman;Times;serif"/>
          <w:sz w:val="20"/>
        </w:rPr>
        <w:t>.</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sz w:val="20"/>
        </w:rPr>
        <w:t>The Company’s Board of Directors has approved the repurchase plan of up to an aggregate of $600 million of common stock. During the fourth quarter of fiscal 2026, the Company did not repurchase any shares under the share repurchase program.</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lineRule="auto" w:line="343" w:before="0" w:after="0"/>
        <w:ind w:left="0" w:right="0" w:firstLine="475"/>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200"/>
        <w:ind w:left="0" w:right="0" w:hanging="0"/>
        <w:jc w:val="left"/>
        <w:rPr>
          <w:rFonts w:ascii="Times New Roman;Times;serif" w:hAnsi="Times New Roman;Times;serif"/>
          <w:b/>
          <w:sz w:val="20"/>
        </w:rPr>
      </w:pPr>
      <w:bookmarkStart w:id="39" w:name="Item6SelectedFinancialData_192009"/>
      <w:bookmarkStart w:id="40" w:name="_204d588e_c0db_4010_b21c_652c12aa75f8"/>
      <w:bookmarkEnd w:id="39"/>
      <w:bookmarkEnd w:id="40"/>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bookmarkStart w:id="41" w:name="Item7ManagementsDiscussionandAnalysisofF"/>
      <w:bookmarkStart w:id="42" w:name="_24993d00_3ffa_4d8a_8c10_b6517356a571"/>
      <w:bookmarkEnd w:id="41"/>
      <w:bookmarkEnd w:id="42"/>
      <w:r>
        <w:rPr>
          <w:rFonts w:ascii="Times New Roman;Times;serif" w:hAnsi="Times New Roman;Times;serif"/>
          <w:b/>
          <w:sz w:val="20"/>
        </w:rPr>
        <w:t xml:space="preserve">Item 7. </w:t>
      </w:r>
      <w:r>
        <w:rPr>
          <w:rFonts w:ascii="Times New Roman;Times;serif" w:hAnsi="Times New Roman;Times;serif"/>
          <w:b/>
          <w:i/>
          <w:sz w:val="20"/>
        </w:rPr>
        <w:t>Management’s Discussion and Analysis of Financial Condition and</w:t>
      </w:r>
      <w:r>
        <w:rPr>
          <w:rFonts w:ascii="Times New Roman;Times;serif" w:hAnsi="Times New Roman;Times;serif"/>
          <w:sz w:val="20"/>
        </w:rPr>
        <w:t xml:space="preserve"> </w:t>
      </w:r>
      <w:r>
        <w:rPr>
          <w:rFonts w:ascii="Times New Roman;Times;serif" w:hAnsi="Times New Roman;Times;serif"/>
          <w:b/>
          <w:i/>
          <w:sz w:val="20"/>
        </w:rPr>
        <w:t>Results of Operations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Discussions of fiscal 2024 items and year-to-year comparisons between fiscal years 2025 and 2024 are not included in this Form 10-K and can be found in “Management’s Discussion and Analysis of Financial Condition and Results of Operations” in Part II, Item 7 of the Company’s Annual Report on Form 10-K for the fiscal year ended June 28, 2025. The Company operates on a “52/53 week” fiscal year. Fiscal years 2026, 2025 and 2024 each contained 52 weeks.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EMEA and Asia, are referred to as “constant currency.”</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In addition to disclosing financial results that are determined in accordance with generally accepted accounting principles in the U.S. (“GAAP”), the Company also discloses certain non-GAAP financial information, including:</w:t>
      </w:r>
    </w:p>
    <w:tbl>
      <w:tblPr>
        <w:tblW w:w="10205" w:type="dxa"/>
        <w:jc w:val="left"/>
        <w:tblInd w:w="0" w:type="dxa"/>
        <w:tblLayout w:type="fixed"/>
        <w:tblCellMar>
          <w:top w:w="28" w:type="dxa"/>
          <w:left w:w="28" w:type="dxa"/>
          <w:bottom w:w="28" w:type="dxa"/>
          <w:right w:w="28"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70"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Adjusted operating income,” which is operating income excluding (i) restructuring, integration and other expenses, and (ii) amortization of acquired intangible assets. </w:t>
            </w:r>
          </w:p>
        </w:tc>
      </w:tr>
    </w:tbl>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following table provides a reconciliation of operating income to adjusted operating income:</w:t>
      </w:r>
    </w:p>
    <w:p>
      <w:pPr>
        <w:pStyle w:val="TextBody"/>
        <w:bidi w:val="0"/>
        <w:spacing w:lineRule="auto" w:line="343" w:before="0" w:after="0"/>
        <w:ind w:left="0" w:right="0" w:firstLine="475"/>
        <w:jc w:val="both"/>
        <w:rPr/>
      </w:pPr>
      <w:r>
        <w:rPr/>
        <w:t>​</w:t>
      </w:r>
    </w:p>
    <w:tbl>
      <w:tblPr>
        <w:tblW w:w="7975" w:type="dxa"/>
        <w:jc w:val="left"/>
        <w:tblInd w:w="0" w:type="dxa"/>
        <w:tblLayout w:type="fixed"/>
        <w:tblCellMar>
          <w:top w:w="0" w:type="dxa"/>
          <w:left w:w="0" w:type="dxa"/>
          <w:bottom w:w="0" w:type="dxa"/>
          <w:right w:w="0" w:type="dxa"/>
        </w:tblCellMar>
      </w:tblPr>
      <w:tblGrid>
        <w:gridCol w:w="3856"/>
        <w:gridCol w:w="346"/>
        <w:gridCol w:w="211"/>
        <w:gridCol w:w="781"/>
        <w:gridCol w:w="346"/>
        <w:gridCol w:w="211"/>
        <w:gridCol w:w="781"/>
        <w:gridCol w:w="346"/>
        <w:gridCol w:w="211"/>
        <w:gridCol w:w="88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448560" cy="175260"/>
                      <wp:effectExtent l="0" t="0" r="0" b="0"/>
                      <wp:wrapNone/>
                      <wp:docPr id="41" name="Frame40"/>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4"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5935" cy="175260"/>
                      <wp:effectExtent l="0" t="0" r="0" b="0"/>
                      <wp:wrapNone/>
                      <wp:docPr id="47" name="Frame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2610" cy="175260"/>
                      <wp:effectExtent l="0" t="0" r="0" b="0"/>
                      <wp:wrapNone/>
                      <wp:docPr id="50" name="Frame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7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97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7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acquired intangible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Adjusted operating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860,945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624,033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900,047</w:t>
            </w:r>
          </w:p>
        </w:tc>
      </w:tr>
    </w:tbl>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pStyle w:val="TextBody"/>
        <w:bidi w:val="0"/>
        <w:spacing w:lineRule="auto" w:line="343" w:before="200" w:after="200"/>
        <w:ind w:left="0" w:right="0" w:hanging="0"/>
        <w:jc w:val="both"/>
        <w:rPr>
          <w:rFonts w:ascii="Times New Roman;Times;serif" w:hAnsi="Times New Roman;Times;serif"/>
          <w:b/>
          <w:sz w:val="20"/>
        </w:rPr>
      </w:pPr>
      <w:r>
        <w:rPr>
          <w:rFonts w:ascii="Times New Roman;Times;serif" w:hAnsi="Times New Roman;Times;serif"/>
          <w:b/>
          <w:sz w:val="20"/>
        </w:rPr>
        <w:t>Industry outlook</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operations subject it to tariffs and other trade protection measures. The U.S. administration has instituted certain changes, and may make additional changes, in trade policies that include the negotiation or termination of trade agreements, higher tariffs on imports into the U.S., and other measures affecting trade between the U.S. and other countries from which the Company imports. Due in part to these measures, some countries are changing their trade policies relating to goods imported from the U.S. These global trade disruptions and geopolitical tensions, together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200"/>
        <w:ind w:left="0" w:right="0" w:hanging="0"/>
        <w:jc w:val="left"/>
        <w:rPr>
          <w:rFonts w:ascii="Times New Roman;Times;serif" w:hAnsi="Times New Roman;Times;serif"/>
          <w:sz w:val="20"/>
        </w:rPr>
      </w:pPr>
      <w:r>
        <w:rPr>
          <w:rFonts w:ascii="Times New Roman;Times;serif" w:hAnsi="Times New Roman;Times;serif"/>
          <w:sz w:val="20"/>
        </w:rPr>
        <w:t>any related downturns in the global economy, could dampen customer demand, increase market volatility, and impact currency exchange rates, all of which could materially and adversely affect the Company’s financial performance.</w:t>
      </w:r>
    </w:p>
    <w:p>
      <w:pPr>
        <w:pStyle w:val="TextBody"/>
        <w:bidi w:val="0"/>
        <w:spacing w:lineRule="auto" w:line="343" w:before="0" w:after="200"/>
        <w:ind w:left="0" w:right="0" w:firstLine="475"/>
        <w:jc w:val="left"/>
        <w:rPr>
          <w:rFonts w:ascii="Times New Roman;Times;serif" w:hAnsi="Times New Roman;Times;serif"/>
          <w:sz w:val="20"/>
        </w:rPr>
      </w:pPr>
      <w:r>
        <w:rPr>
          <w:rFonts w:ascii="Times New Roman;Times;serif" w:hAnsi="Times New Roman;Times;serif"/>
          <w:sz w:val="20"/>
        </w:rPr>
        <w:t xml:space="preserve">In February 2026, the U.S. Supreme Court issued a ruling striking down tariffs imposed under the International Emergency Economic Powers Act (IEEPA), including, among others, tariffs on imports of certain Canadian, Chinese, and Mexican goods, a universal baseline tariff on imports from most countries, and reciprocal tariffs on select countries. The global tariff landscape continues to shift rapidly, with changes impacting businesses and markets around the world. </w:t>
      </w:r>
    </w:p>
    <w:p>
      <w:pPr>
        <w:pStyle w:val="TextBody"/>
        <w:bidi w:val="0"/>
        <w:spacing w:lineRule="auto" w:line="343" w:before="0" w:after="200"/>
        <w:ind w:left="0" w:right="0" w:firstLine="475"/>
        <w:jc w:val="left"/>
        <w:rPr>
          <w:rFonts w:ascii="Times New Roman;Times;serif" w:hAnsi="Times New Roman;Times;serif"/>
          <w:sz w:val="20"/>
        </w:rPr>
      </w:pPr>
      <w:r>
        <w:rPr>
          <w:rFonts w:ascii="Times New Roman;Times;serif" w:hAnsi="Times New Roman;Times;serif"/>
          <w:sz w:val="20"/>
        </w:rPr>
        <w:t xml:space="preserve">The Company continues to monitor the situation, including any potential refunds of such tariffs, and evaluate the impact on its results of operations. No potential refunds have been recorded in the Consolidated Financial Statements as the Company cannot reasonably estimate the financial impact. </w:t>
      </w:r>
    </w:p>
    <w:p>
      <w:pPr>
        <w:pStyle w:val="TextBody"/>
        <w:bidi w:val="0"/>
        <w:spacing w:lineRule="auto" w:line="343" w:before="0" w:after="200"/>
        <w:ind w:left="0" w:right="0" w:firstLine="475"/>
        <w:jc w:val="left"/>
        <w:rPr>
          <w:rFonts w:ascii="Times New Roman;Times;serif" w:hAnsi="Times New Roman;Times;serif"/>
          <w:sz w:val="20"/>
        </w:rPr>
      </w:pPr>
      <w:r>
        <w:rPr>
          <w:rFonts w:ascii="Times New Roman;Times;serif" w:hAnsi="Times New Roman;Times;serif"/>
          <w:sz w:val="20"/>
        </w:rPr>
        <w:t>Sales related to customer billings for various tariffs were less than one percent of total sales for fiscal 2026, fiscal 2025 and fiscal 2024.</w:t>
      </w:r>
    </w:p>
    <w:p>
      <w:pPr>
        <w:pStyle w:val="TextBody"/>
        <w:bidi w:val="0"/>
        <w:spacing w:lineRule="auto" w:line="343" w:before="0" w:after="200"/>
        <w:ind w:left="0" w:right="0" w:firstLine="475"/>
        <w:jc w:val="left"/>
        <w:rPr>
          <w:rFonts w:ascii="Times New Roman;Times;serif" w:hAnsi="Times New Roman;Times;serif"/>
          <w:sz w:val="20"/>
        </w:rPr>
      </w:pPr>
      <w:r>
        <w:rPr>
          <w:rFonts w:ascii="Times New Roman;Times;serif" w:hAnsi="Times New Roman;Times;serif"/>
          <w:sz w:val="20"/>
        </w:rPr>
        <w:t>During fiscal 2026, the Company’s financial performance improved as demand for electronic components strengthened resulting in year-over-year sales growth across all regions and improved days of inventory on hand. The Company expects sales in the first quarter of fiscal 2027 will grow approximately 10% compared to fourth quarter of fiscal 2026 sales with expected sales growth across all Electronic Components regions and Farnell.</w:t>
      </w:r>
    </w:p>
    <w:p>
      <w:pPr>
        <w:pStyle w:val="TextBody"/>
        <w:bidi w:val="0"/>
        <w:spacing w:lineRule="auto" w:line="343"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tbl>
      <w:tblPr>
        <w:tblW w:w="8036" w:type="dxa"/>
        <w:jc w:val="left"/>
        <w:tblInd w:w="0" w:type="dxa"/>
        <w:tblLayout w:type="fixed"/>
        <w:tblCellMar>
          <w:top w:w="0" w:type="dxa"/>
          <w:left w:w="0" w:type="dxa"/>
          <w:bottom w:w="0" w:type="dxa"/>
          <w:right w:w="0" w:type="dxa"/>
        </w:tblCellMar>
      </w:tblPr>
      <w:tblGrid>
        <w:gridCol w:w="3361"/>
        <w:gridCol w:w="109"/>
        <w:gridCol w:w="196"/>
        <w:gridCol w:w="601"/>
        <w:gridCol w:w="256"/>
        <w:gridCol w:w="109"/>
        <w:gridCol w:w="196"/>
        <w:gridCol w:w="601"/>
        <w:gridCol w:w="256"/>
        <w:gridCol w:w="109"/>
        <w:gridCol w:w="196"/>
        <w:gridCol w:w="511"/>
        <w:gridCol w:w="361"/>
        <w:gridCol w:w="109"/>
        <w:gridCol w:w="727"/>
        <w:gridCol w:w="338"/>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34235" cy="175260"/>
                      <wp:effectExtent l="0" t="0" r="0" b="0"/>
                      <wp:wrapNone/>
                      <wp:docPr id="51" name="Frame50"/>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1635" cy="175260"/>
                      <wp:effectExtent l="0" t="0" r="0" b="0"/>
                      <wp:wrapNone/>
                      <wp:docPr id="54" name="Frame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2560" cy="175260"/>
                      <wp:effectExtent l="0" t="0" r="0" b="0"/>
                      <wp:wrapNone/>
                      <wp:docPr id="55" name="Frame5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81635" cy="175260"/>
                      <wp:effectExtent l="0" t="0" r="0" b="0"/>
                      <wp:wrapNone/>
                      <wp:docPr id="58" name="Frame5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2560" cy="175260"/>
                      <wp:effectExtent l="0" t="0" r="0" b="0"/>
                      <wp:wrapNone/>
                      <wp:docPr id="59" name="Frame5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24485" cy="175260"/>
                      <wp:effectExtent l="0" t="0" r="0" b="0"/>
                      <wp:wrapNone/>
                      <wp:docPr id="62" name="Frame6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9235" cy="175260"/>
                      <wp:effectExtent l="0" t="0" r="0" b="0"/>
                      <wp:wrapNone/>
                      <wp:docPr id="63"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1645" cy="175260"/>
                      <wp:effectExtent l="0" t="0" r="0" b="0"/>
                      <wp:wrapNone/>
                      <wp:docPr id="65" name="Frame64"/>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4630" cy="175260"/>
                      <wp:effectExtent l="0" t="0" r="0" b="0"/>
                      <wp:wrapNone/>
                      <wp:docPr id="66" name="Frame6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66"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0"/>
              <w:ind w:left="0" w:right="0" w:hanging="0"/>
              <w:jc w:val="left"/>
              <w:rPr/>
            </w:pPr>
            <w:r>
              <w:rPr/>
              <w:t>​</w:t>
            </w:r>
          </w:p>
        </w:tc>
        <w:tc>
          <w:tcPr>
            <w:tcW w:w="105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87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 %</w:t>
            </w:r>
          </w:p>
        </w:tc>
      </w:tr>
      <w:tr>
        <w:trPr/>
        <w:tc>
          <w:tcPr>
            <w:tcW w:w="8036"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4675" w:type="dxa"/>
            <w:gridSpan w:val="15"/>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 in millions, unless otherwise stated)</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27,633</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2,882</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38"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1,762</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338"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integration, and other expenses</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38"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w:t>
            </w:r>
          </w:p>
        </w:tc>
        <w:tc>
          <w:tcPr>
            <w:tcW w:w="338"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Adjusted operating income</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861</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624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237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38.0</w:t>
            </w:r>
          </w:p>
        </w:tc>
        <w:tc>
          <w:tcPr>
            <w:tcW w:w="338"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w:t>
            </w:r>
          </w:p>
        </w:tc>
        <w:tc>
          <w:tcPr>
            <w:tcW w:w="338"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financing expenses, net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38"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1,185.2</w:t>
            </w:r>
          </w:p>
        </w:tc>
        <w:tc>
          <w:tcPr>
            <w:tcW w:w="338"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38"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c>
          <w:tcPr>
            <w:tcW w:w="338"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Metrics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0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0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6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margin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margin</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Adjusted operating income margin</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3.1</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2.8</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bps</w:t>
            </w:r>
          </w:p>
        </w:tc>
        <w:tc>
          <w:tcPr>
            <w:tcW w:w="109"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0.3</w:t>
            </w:r>
          </w:p>
        </w:tc>
        <w:tc>
          <w:tcPr>
            <w:tcW w:w="338"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115"/>
        <w:jc w:val="left"/>
        <w:rPr>
          <w:rFonts w:ascii="Times New Roman;Times;serif" w:hAnsi="Times New Roman;Times;serif"/>
          <w:b/>
          <w:i/>
          <w:sz w:val="20"/>
        </w:rPr>
      </w:pPr>
      <w:r>
        <w:rPr>
          <w:rFonts w:ascii="Times New Roman;Times;serif" w:hAnsi="Times New Roman;Times;serif"/>
          <w:b/>
          <w:i/>
          <w:sz w:val="20"/>
        </w:rPr>
        <w:t>Sales</w:t>
      </w:r>
    </w:p>
    <w:p>
      <w:pPr>
        <w:pStyle w:val="TextBody"/>
        <w:bidi w:val="0"/>
        <w:spacing w:lineRule="auto" w:line="343" w:before="200" w:after="0"/>
        <w:ind w:left="0" w:right="0" w:firstLine="120"/>
        <w:jc w:val="center"/>
        <w:rPr>
          <w:rFonts w:ascii="Times New Roman;Times;serif" w:hAnsi="Times New Roman;Times;serif"/>
          <w:b/>
          <w:sz w:val="20"/>
        </w:rPr>
      </w:pPr>
      <w:r>
        <w:rPr>
          <w:rFonts w:ascii="Times New Roman;Times;serif" w:hAnsi="Times New Roman;Times;serif"/>
          <w:b/>
          <w:sz w:val="20"/>
        </w:rPr>
        <w:t>Analysis of Sales: By Operating Group and Geography</w:t>
      </w:r>
    </w:p>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The table below provides sales change rates for fiscal 2026 as compared to fiscal 2025 as reported and on a constant currency basis by geographic region and operating group.</w:t>
      </w:r>
    </w:p>
    <w:tbl>
      <w:tblPr>
        <w:tblW w:w="9618" w:type="dxa"/>
        <w:jc w:val="left"/>
        <w:tblInd w:w="0" w:type="dxa"/>
        <w:tblLayout w:type="fixed"/>
        <w:tblCellMar>
          <w:top w:w="0" w:type="dxa"/>
          <w:left w:w="0" w:type="dxa"/>
          <w:bottom w:w="0" w:type="dxa"/>
          <w:right w:w="0" w:type="dxa"/>
        </w:tblCellMar>
      </w:tblPr>
      <w:tblGrid>
        <w:gridCol w:w="2326"/>
        <w:gridCol w:w="226"/>
        <w:gridCol w:w="196"/>
        <w:gridCol w:w="736"/>
        <w:gridCol w:w="346"/>
        <w:gridCol w:w="421"/>
        <w:gridCol w:w="301"/>
        <w:gridCol w:w="346"/>
        <w:gridCol w:w="196"/>
        <w:gridCol w:w="736"/>
        <w:gridCol w:w="286"/>
        <w:gridCol w:w="421"/>
        <w:gridCol w:w="301"/>
        <w:gridCol w:w="346"/>
        <w:gridCol w:w="665"/>
        <w:gridCol w:w="475"/>
        <w:gridCol w:w="109"/>
        <w:gridCol w:w="650"/>
        <w:gridCol w:w="535"/>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77010" cy="175260"/>
                      <wp:effectExtent l="0" t="0" r="0" b="0"/>
                      <wp:wrapNone/>
                      <wp:docPr id="67" name="Frame66"/>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8"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67360" cy="175260"/>
                      <wp:effectExtent l="0" t="0" r="0" b="0"/>
                      <wp:wrapNone/>
                      <wp:docPr id="70" name="Frame6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67335" cy="175260"/>
                      <wp:effectExtent l="0" t="0" r="0" b="0"/>
                      <wp:wrapNone/>
                      <wp:docPr id="72" name="Frame7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1135" cy="175260"/>
                      <wp:effectExtent l="0" t="0" r="0" b="0"/>
                      <wp:wrapNone/>
                      <wp:docPr id="73" name="Frame7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7360" cy="175260"/>
                      <wp:effectExtent l="0" t="0" r="0" b="0"/>
                      <wp:wrapNone/>
                      <wp:docPr id="76" name="Frame7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1610" cy="175260"/>
                      <wp:effectExtent l="0" t="0" r="0" b="0"/>
                      <wp:wrapNone/>
                      <wp:docPr id="77" name="Frame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7335" cy="175260"/>
                      <wp:effectExtent l="0" t="0" r="0" b="0"/>
                      <wp:wrapNone/>
                      <wp:docPr id="78" name="Frame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1135" cy="175260"/>
                      <wp:effectExtent l="0" t="0" r="0" b="0"/>
                      <wp:wrapNone/>
                      <wp:docPr id="79" name="Frame7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22275" cy="175260"/>
                      <wp:effectExtent l="0" t="0" r="0" b="0"/>
                      <wp:wrapNone/>
                      <wp:docPr id="81" name="Frame80"/>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01625" cy="175260"/>
                      <wp:effectExtent l="0" t="0" r="0" b="0"/>
                      <wp:wrapNone/>
                      <wp:docPr id="82" name="Frame81"/>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12750" cy="175260"/>
                      <wp:effectExtent l="0" t="0" r="0" b="0"/>
                      <wp:wrapNone/>
                      <wp:docPr id="84" name="Frame83"/>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39725" cy="175260"/>
                      <wp:effectExtent l="0" t="0" r="0" b="0"/>
                      <wp:wrapNone/>
                      <wp:docPr id="85" name="Frame84"/>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286" w:type="dxa"/>
            <w:gridSpan w:val="11"/>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w:t>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Year-Year %</w:t>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286"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 in</w:t>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  ​ ​</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286" w:type="dxa"/>
            <w:tcBorders/>
            <w:vAlign w:val="center"/>
          </w:tcPr>
          <w:p>
            <w:pPr>
              <w:pStyle w:val="TableContents"/>
              <w:bidi w:val="0"/>
              <w:spacing w:before="0" w:after="0"/>
              <w:ind w:left="0" w:right="0" w:hanging="0"/>
              <w:jc w:val="center"/>
              <w:rPr/>
            </w:pPr>
            <w:r>
              <w:rPr/>
              <w:t>  ​ ​</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Year-Year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Constant</w:t>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9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86" w:type="dxa"/>
            <w:tcBorders/>
            <w:vAlign w:val="center"/>
          </w:tcPr>
          <w:p>
            <w:pPr>
              <w:pStyle w:val="TableContents"/>
              <w:bidi w:val="0"/>
              <w:spacing w:before="0" w:after="0"/>
              <w:ind w:left="0" w:right="0" w:hanging="0"/>
              <w:jc w:val="center"/>
              <w:rPr/>
            </w:pPr>
            <w:r>
              <w:rPr/>
              <w:t>​</w:t>
            </w:r>
          </w:p>
        </w:tc>
        <w:tc>
          <w:tcPr>
            <w:tcW w:w="7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1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Currency</w:t>
            </w:r>
          </w:p>
        </w:tc>
      </w:tr>
      <w:tr>
        <w:trPr/>
        <w:tc>
          <w:tcPr>
            <w:tcW w:w="9618"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286" w:type="dxa"/>
            <w:gridSpan w:val="11"/>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in millions)</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left"/>
              <w:rPr>
                <w:color w:val="575757"/>
              </w:rPr>
            </w:pPr>
            <w:r>
              <w:rPr>
                <w:color w:val="575757"/>
              </w:rPr>
              <w:t>​</w:t>
            </w:r>
          </w:p>
        </w:tc>
        <w:tc>
          <w:tcPr>
            <w:tcW w:w="535" w:type="dxa"/>
            <w:tcBorders/>
            <w:vAlign w:val="center"/>
          </w:tcPr>
          <w:p>
            <w:pPr>
              <w:pStyle w:val="TableContents"/>
              <w:bidi w:val="0"/>
              <w:spacing w:before="0" w:after="0"/>
              <w:ind w:left="0" w:right="0" w:hanging="0"/>
              <w:jc w:val="left"/>
              <w:rPr>
                <w:color w:val="575757"/>
              </w:rPr>
            </w:pPr>
            <w:r>
              <w:rPr>
                <w:color w:val="575757"/>
              </w:rPr>
              <w:t>​</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Sales by Operating Group:</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5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35"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EC</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25,851.9</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20,755.0</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4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5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Farnell</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1,780.8</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1,445.8</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4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Avnet</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27,632.7</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22,200.8</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w:t>
            </w:r>
          </w:p>
        </w:tc>
        <w:tc>
          <w:tcPr>
            <w:tcW w:w="4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5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535"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Sales by Geographic Region:</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left"/>
              <w:rPr>
                <w:color w:val="575757"/>
              </w:rPr>
            </w:pPr>
            <w:r>
              <w:rPr>
                <w:color w:val="575757"/>
              </w:rPr>
              <w:t>​</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Americas</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6,480.8</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5,300.0</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4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EMEA</w:t>
            </w:r>
          </w:p>
        </w:tc>
        <w:tc>
          <w:tcPr>
            <w:tcW w:w="2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7,725.1</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6,409.6</w:t>
            </w:r>
          </w:p>
        </w:tc>
        <w:tc>
          <w:tcPr>
            <w:tcW w:w="28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4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5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w:t>
            </w:r>
          </w:p>
        </w:tc>
        <w:tc>
          <w:tcPr>
            <w:tcW w:w="2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13,426.8</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10,491.2</w:t>
            </w:r>
          </w:p>
        </w:tc>
        <w:tc>
          <w:tcPr>
            <w:tcW w:w="28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w:t>
            </w:r>
          </w:p>
        </w:tc>
        <w:tc>
          <w:tcPr>
            <w:tcW w:w="4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Avnet</w:t>
            </w:r>
          </w:p>
        </w:tc>
        <w:tc>
          <w:tcPr>
            <w:tcW w:w="22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27,632.7</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22,200.8</w:t>
            </w:r>
          </w:p>
        </w:tc>
        <w:tc>
          <w:tcPr>
            <w:tcW w:w="286"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650" w:type="dxa"/>
            <w:tcBorders/>
            <w:vAlign w:val="center"/>
          </w:tcPr>
          <w:p>
            <w:pPr>
              <w:pStyle w:val="TableContents"/>
              <w:bidi w:val="0"/>
              <w:spacing w:before="0" w:after="0"/>
              <w:ind w:left="0" w:right="0" w:hanging="0"/>
              <w:jc w:val="left"/>
              <w:rPr>
                <w:color w:val="575757"/>
              </w:rPr>
            </w:pPr>
            <w:r>
              <w:rPr>
                <w:color w:val="575757"/>
              </w:rPr>
              <w:t>​</w:t>
            </w:r>
          </w:p>
        </w:tc>
        <w:tc>
          <w:tcPr>
            <w:tcW w:w="535"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Avnet’s sales for fiscal 2026 were $27.63 billion, an increase of $5.43 billion, or 24.5%, from fiscal 2025 sales of $22.20 billion, with growth across all EC regions and Farnell. Sales in constant currency increased 22.4% year over year, driven by strong performance in both EC and Farnell operating groups across all end markets served.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EC sales in fiscal 2026 were $25.85 billion, representing a $5.10 billion increase, or 24.6% increase over prior year sales of $20.75 billion. EC sales increased 22.6% year over year in constant currency. All three EC regions contributed to this growth led by the Company’s Asia region. The increase in EC sales was mainly attributable to increased sales volumes and the mix of higher-priced components and to a lesser extent from increase in prices for certain memory-related products.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Farnell sales in fiscal 2026 were $1.78 billion, representing an increase of $335.0 million or 23.2%, compared to prior year sales of $1.45 billion. The year-over-year increase in sales in fiscal 2026 is primarily due to improvement in demand for single board computers and on-the-board electronic components. The increase in sales at Farnell was primarily driven by an increase in volume as increases in components pricing including certain memory-related products was a smaller contributor to sales growth during fiscal 2026.</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 xml:space="preserve">Gross Profit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gross profit and gross margin are primarily affected by sales volume, product mix, customer mix and pricing, and geographic sales mix. Gross profit increased $496.9 million, or 20.8% to $2.88 billion in fiscal 2026, compared to $2.38 billion in fiscal 2025. This increase was primarily driven by higher sales in both operating groups, partially offset by year-over-year lower gross profit margin in the EC operating group. Gross profit margin decreased to 10.4% in fiscal 2026 or 31 basis points from fiscal 2025 gross profit margin of 10.7%.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 xml:space="preserve">EC gross profit margin declined in fiscal 2026 compared with fiscal 2025 primarily due to a higher mix of sales from the lower-margin Asia region and changes in product and customer mix in the Western regions. Asia represented approximately 51% of EC sales in fiscal 2026, compared with 49% in fiscal 2025. EC gross profit margin decreased 44 basis points to 9.24% in fiscal 2026 from 9.68% in fiscal 2025.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Farnell gross profit margin was 27.73% in fiscal 2026, up 168 basis points year over year, primarily due to a higher mix of on-the-board electronic components and, to a lesser extent, an increase in component pricing for certain memory-related products during fiscal 2026.</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Selling, general and administrative expenses (“SG&amp;A expenses”) in fiscal 2026 were $2.02 billion, an increase of $260.0 million, or 14.8%, from fiscal 2025. The year-over-year increase in SG&amp;A expenses is primarily due to increases in variable operating expenses associated with higher sales volumes and the impact of changes in foreign currency translation rates.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Metrics that management monitors with respect to its operating expenses are SG&amp;A expenses as a percentage of sales and as a percentage of gross profit. In fiscal 2026, SG&amp;A expenses were 7.3% of sales 70.2% of gross profit, compared with 7.9% and 73.9%, respectively, in fiscal 2025. The year-over-year decrease in SG&amp;A expenses as a percentage of sales and gross profit was primarily due to increased sales without a corresponding increase in SG&amp;A expenses, partially offset by the decline in gross profit margin in EC as discussed above.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See Note 16 “Segment information” to the Company’s consolidated financial statements included in Item 8 of this Annual Report on Form 10-K for the amount of selling, general and administrative expenses by operating group.</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Restructuring, Integration and Other Expenses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recorded total restructuring, integration, and other expenses in fiscal 2026 of $134.7 million consisting of $87.7 million of severance and other restructuring related expenses, and $47.0 million of integration and other costs primarily related to start-up costs associated with a new distribution center in EMEA, partially offset by a benefit due to a change in estimate from the settlement of an audit in Mexico. The largest component of the severance expense in fiscal 2026, was due to the announced closure of a distribution center in Germany that impacted approximately 350 employees. The closure is expected to be completed in the third quarter of fiscal 2027.</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after-tax impact of restructuring, integration, and other expenses were $96.1 million and $1.15 per share on a diluted basis.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fiscal 2025 the Company recorded restructuring, integration, and other expenses of $108.3 million, which consists of restructuring costs of $56.1 million, integration and other costs of $14.5 million, a benefit of $6.0 million for changes in estimates for costs associated with prior year restructuring actions, and $43.7 million of other costs primarily related to the estimated contingent liability associated with the consumption tax audit in Mexico.</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See Note 17, “Restructuring expenses” to the Company’s consolidated financial statements included in Item 8 of this Annual Report on Form 10-K for additional information related to restructuring expenses. </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 xml:space="preserve">Operating Income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Operating income increased $210.5 million, or 40.9%, to $724.8 million in fiscal 2026, compared with $514.3 million in fiscal 2025. Operating income margin increased 30 basis points to 2.6% in fiscal 2026 from 2.3% in fiscal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2025. Adjusted operating income for fiscal 2026 was $860.9 million, an increase of $236.9 million or 38.0%, from fiscal 2025 adjusted operating income. Adjusted operating income margin increased 31 basis points to 3.1% in fiscal 2026 compared to 2.8% in fiscal 2025. These increases were primarily driven by operating leverage from higher sales.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EC operating income increased 26.9% to $898.5 million, and EC operating income margin increased 7 basis points to 3.5% in fiscal 2026. Farnell operating income increased 221.7% to $105.7 million in fiscal 2026. Farnell operating income margin increased 366 basis points to 5.9% in fiscal 2026. The increases in operating income and operating income margin in Farnell are due to higher sales and higher gross profit margin.</w:t>
      </w:r>
    </w:p>
    <w:p>
      <w:pPr>
        <w:pStyle w:val="TextBody"/>
        <w:bidi w:val="0"/>
        <w:spacing w:lineRule="auto" w:line="343" w:before="200" w:after="0"/>
        <w:ind w:left="0" w:right="0" w:firstLine="115"/>
        <w:jc w:val="left"/>
        <w:rPr>
          <w:rFonts w:ascii="Times New Roman;Times;serif" w:hAnsi="Times New Roman;Times;serif"/>
          <w:sz w:val="20"/>
        </w:rPr>
      </w:pPr>
      <w:r>
        <w:rPr>
          <w:rFonts w:ascii="Times New Roman;Times;serif" w:hAnsi="Times New Roman;Times;serif"/>
          <w:b/>
          <w:i/>
          <w:sz w:val="20"/>
        </w:rPr>
        <w:t>Interest and Other Financing Expenses, Net</w:t>
      </w:r>
      <w:r>
        <w:rPr>
          <w:rFonts w:ascii="Times New Roman;Times;serif" w:hAnsi="Times New Roman;Times;serif"/>
          <w:sz w:val="20"/>
        </w:rPr>
        <w:t xml:space="preserve"> </w:t>
      </w:r>
      <w:r>
        <w:rPr>
          <w:rFonts w:ascii="Times New Roman;Times;serif" w:hAnsi="Times New Roman;Times;serif"/>
          <w:b/>
          <w:i/>
          <w:sz w:val="20"/>
        </w:rPr>
        <w:t>and Other Expense, Net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Interest and other financing expenses for fiscal 2026 was $250.7 million, an increase of $4.3 million, or 1.8%, compared with interest and other financing expenses of $246.4 million in fiscal 2025. The increase in interest and other financing expenses in fiscal 2026 compared to fiscal 2025 is primarily a result of higher average borrowings.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had other expenses of $6.6 million in fiscal 2026, compared to other expenses of $17.3 million in fiscal 2025. The decrease in other expenses is primarily due to differences in foreign currency translation losses between the years.</w:t>
      </w:r>
    </w:p>
    <w:p>
      <w:pPr>
        <w:pStyle w:val="TextBody"/>
        <w:bidi w:val="0"/>
        <w:spacing w:lineRule="auto" w:line="343" w:before="200" w:after="0"/>
        <w:ind w:left="0" w:right="0" w:firstLine="115"/>
        <w:jc w:val="left"/>
        <w:rPr>
          <w:rFonts w:ascii="Times New Roman;Times;serif" w:hAnsi="Times New Roman;Times;serif"/>
          <w:b/>
          <w:i/>
          <w:sz w:val="20"/>
        </w:rPr>
      </w:pPr>
      <w:r>
        <w:rPr>
          <w:rFonts w:ascii="Times New Roman;Times;serif" w:hAnsi="Times New Roman;Times;serif"/>
          <w:b/>
          <w:i/>
          <w:sz w:val="20"/>
        </w:rPr>
        <w:t xml:space="preserve">Income Tax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Income tax expenses were $133.0 million in fiscal 2026, reflecting an effective tax rate of 28.5% as compared to income tax expenses of $10.4 million in fiscal 2025, reflecting an effective tax rate of 4.1%. The increase in the effective tax rate in fiscal 2026 as compared to fiscal 2025 was primarily related to the tax attribute carryforwards that were generated in fiscal 2025, but not in fiscal 2026.</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See Note 9, “Income taxes” to the Company’s consolidated financial statements included in Item 8 of this Annual Report on Form 10-K for further discussion on the effective tax rate.</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As a result of the factors described in the preceding sections of this MD&amp;A, the Company’s net income in fiscal 2026 was $334.4 million, or earnings per share on a diluted basis of $4.01, compared with fiscal 2025 net income of $240.2 million, or earnings per share on a diluted basis of $2.75.</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lineRule="auto" w:line="343" w:before="200" w:after="0"/>
        <w:ind w:left="0" w:right="0" w:firstLine="12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Net cash used for operating activities was $280.9 million in fiscal 2026, compared with net cash provided by operating activities of $724.5 million in fiscal 2025. The $1.01 billion year-over-year decrease in operating cash flow was primarily due to cash used for working capital in fiscal 2026 to support sales growth. Cash used for working capital and other was $802.4 million during fiscal 2026, compared with cash generated from working capital of $402.2 million in fiscal 2025, primarily reflecting higher inventory purchases, the timing of payments for inventory purchases and higher accounts receivable due to increased sales and cash collection timing. The Company used $61.4 million of cash from operations to settle the consumption tax audit in Mexico during fiscal 2026. Other, net in fiscal 2025 included a $9.2 million gain recognized on the sale of a building during fiscal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12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Net cash provided by debt financing activities was $568.9 million in fiscal 2026, primarily reflecting $633.8 million of net proceeds from the issuance of Convertible Notes, $270.2 million of proceeds from term loans, $157.9 million of net borrowings under the Credit Facility, and $57.0 million of proceeds from other debts. These cash inflows were partially offset by the repayment of the $550.0 million 4.63% Notes in April 2026. In comparison, net debt repayments were $274.9 million in fiscal 2025.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repurchased $138.3 million of common stock under its share repurchase plan during fiscal 2026, compared with $303.5 million during fiscal 2025. The Company paid cash dividends of $1.40 per share, or $114.4 million, during fiscal 2026, compared with $1.32 per share, or $113.3 million, during fiscal 2025. </w:t>
      </w:r>
    </w:p>
    <w:p>
      <w:pPr>
        <w:pStyle w:val="TextBody"/>
        <w:bidi w:val="0"/>
        <w:spacing w:lineRule="auto" w:line="343" w:before="200" w:after="0"/>
        <w:ind w:left="0" w:right="0" w:firstLine="12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Net cash used in investing activities decreased by $65.7 million during fiscal 2026, compared to fiscal 2025, primarily due to lower capital expenditures.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Financing Transactions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maintains a diversified financing structure, including both short-term and long-term arrangements to support its operating requirements and supplement cash generated from operating activities. The Company seeks to reduce reliance on any single source of financing and to lower overall funding costs. These arrangements include public debt (“Notes”), convertible debt, short-term and long-term bank and term loans, a revolving credit facility (the “Credit Facility”), and an accounts receivable securitization program (the “Securitization Program”).</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various lines of credit, financing arrangements, and other forms of bank debt in the U.S. and various foreign locations to fund the working capital, foreign exchange, overdraft, capital expenditure, and letter of credit needs of its wholly owned subsidiaries. Outstanding borrowings under such forms of debt at the end of fiscal 2026 was $162.6 million.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As an alternative form of liquidity outside of the United States, primarily in the Asia region,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Fees for the sales of trade accounts receivable are classified within “Interest and other financing expenses, net” in the consolidated financial statements.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See Note 7, “Debt” to the Company’s consolidated financial statements included in Item 8 of this Annual Report on Form 10-K for additional information on financing transactions including the Credit Facility, the Securitization Program and the outstanding Notes as of June 27, 2026.</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Covenants and Conditions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Credit Facility includes covenants that limit, among other items, the Company’s ability to incur debt, repurchase shares, pay dividends, make investments and incur capital expenditures. The Credit Facility also includes a financial covenant requiring the Company to maintain a leverage ratio below a specified threshold. The Company was in compliance with all such covenants as of June 27, 2026.</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Securitization Program includes covenants related to the quality of the receivables sold. If these covenants are not satisfied, the Company may be unable to borrow additional funds, and the financial institutions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deem the noncompliance an amortization event under the Securitization Program agreements, which would permit the financial institutions to liquidate the accounts receivables to cover any outstanding borrowings. Circumstances that could affect the Company’s ability to satisfy these covenants and related conditions may be affected by the Company’s ongoing profitability, as well as other economic, market, and industry factors. The Company was in compliance with all such covenants as of June 27, 2026.</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Management does not believe that the covenants under the Credit Facility or Securitization Program limit the Company’s ability to pursue its intended business strategy or its future financing needs.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Liquidity</w:t>
      </w:r>
      <w:r>
        <w:rPr>
          <w:rFonts w:ascii="Times New Roman;Times;serif" w:hAnsi="Times New Roman;Times;serif"/>
          <w:sz w:val="20"/>
        </w:rPr>
        <w:t xml:space="preserve"> below for further discussion of the Company’s availability under these various facilities.</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held cash and cash equivalents of $155.4 million as of June 27, 2026, of which $146.4 million was held outside the United States. As of June 28, 2025, the Company held cash and cash equivalents of $192.4 million, of which $181.8 million was held outside of the United States.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periods of weakening demand in the electronic components industry, the Company typically generates cash from operating activities. Conversely, during periods of higher growth, the Company generally uses cash to fund working capital requirements. For the fiscal year ended June 27, 2026, the Company used $280.9 million of cash in operating activities.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liquidity is affected by a variety of factors, including normal business operations and general economic, financial, competitive, legislative and regulatory conditions, many of which are outside the Company’s control. Cash balances held outside the United States that cannot be remitted in a tax-efficient manner are generally used to support local working capital requirements, including inventory purchases, capital expenditures and other foreign business needs. In addition, local government regulations may restrict the Company’s ability to transfer funds among jurisdictions under certain circumstances. Management does not believe these restrictions would limit the Company’s ability to execute its intended business strategy.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September 2025, the Company issued $650 million aggregate principal amount of convertible senior notes due 2030. The Company used the net proceeds to (i) reduce the Credit Facility by $533.8 million and (ii) repurchase $100 million of the Company’s common stock in privately negotiated transactions entered into in connection with the convertible debt offering.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July 2026, subsequent to the end of fiscal 2026, the Company amended and extended its trade accounts receivable securitization program for two years. The amendment increased the maximum purchase limit under the Receivables Purchase Agreement from $500.0 million to $700.0 million, extended the facility termination date to July 1, 2028, and excluded certain receivables from the agreement. On August 12, 2026, subsequent to the end of fiscal 2026, the Company entered into a credit agreement (“2026 Term Loan”) for $375 million. The loan is priced at a variable interest rate and matures in July 2028. See Item 9B (other information) of this Annual Report for additional information regarding the 2026 Term Loan.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As of June 27, 2026, there were $557.0 million of borrowings outstanding under the Credit Facility and $0.8 million in letters of credit issued, and $500.0 million outstanding under the Securitization Program. During fiscal 2026, the Company had an average daily balance outstanding under the Credit Facility of approximately $744.8 million and $476.8 million under the Securitization Program. During fiscal 2025, the Company had an average daily balance outstanding under the Credit Facility of approximately $1.00 billion and $490.5 million under the Securitization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Program. As of June 27, 2026, the combined availability under the Credit Facility and the Securitization Program was $1.19 billion. Availability under the Securitization Program is subject to the Company having sufficient eligible trade accounts receivable in the United States to support desired borrowings.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the following contractual obligations outstanding as of June 27, 2026 (in millions):</w:t>
      </w:r>
    </w:p>
    <w:p>
      <w:pPr>
        <w:pStyle w:val="TextBody"/>
        <w:bidi w:val="0"/>
        <w:spacing w:lineRule="atLeast" w:line="200" w:before="0" w:after="0"/>
        <w:ind w:left="0" w:right="0" w:hanging="0"/>
        <w:jc w:val="left"/>
        <w:rPr/>
      </w:pPr>
      <w:r>
        <w:rPr/>
        <w:t>​</w:t>
      </w:r>
    </w:p>
    <w:tbl>
      <w:tblPr>
        <w:tblW w:w="9960" w:type="dxa"/>
        <w:jc w:val="left"/>
        <w:tblInd w:w="0" w:type="dxa"/>
        <w:tblLayout w:type="fixed"/>
        <w:tblCellMar>
          <w:top w:w="0" w:type="dxa"/>
          <w:left w:w="0" w:type="dxa"/>
          <w:bottom w:w="0" w:type="dxa"/>
          <w:right w:w="0" w:type="dxa"/>
        </w:tblCellMar>
      </w:tblPr>
      <w:tblGrid>
        <w:gridCol w:w="4111"/>
        <w:gridCol w:w="346"/>
        <w:gridCol w:w="211"/>
        <w:gridCol w:w="721"/>
        <w:gridCol w:w="346"/>
        <w:gridCol w:w="243"/>
        <w:gridCol w:w="657"/>
        <w:gridCol w:w="109"/>
        <w:gridCol w:w="239"/>
        <w:gridCol w:w="646"/>
        <w:gridCol w:w="109"/>
        <w:gridCol w:w="211"/>
        <w:gridCol w:w="721"/>
        <w:gridCol w:w="109"/>
        <w:gridCol w:w="267"/>
        <w:gridCol w:w="723"/>
        <w:gridCol w:w="19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10485" cy="175260"/>
                      <wp:effectExtent l="0" t="0" r="0" b="0"/>
                      <wp:wrapNone/>
                      <wp:docPr id="86" name="Frame8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57835" cy="175260"/>
                      <wp:effectExtent l="0" t="0" r="0" b="0"/>
                      <wp:wrapNone/>
                      <wp:docPr id="89" name="Frame8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05" cy="175260"/>
                      <wp:effectExtent l="0" t="0" r="0" b="0"/>
                      <wp:wrapNone/>
                      <wp:docPr id="91" name="Frame9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17195" cy="175260"/>
                      <wp:effectExtent l="0" t="0" r="0" b="0"/>
                      <wp:wrapNone/>
                      <wp:docPr id="92" name="Frame9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1765" cy="175260"/>
                      <wp:effectExtent l="0" t="0" r="0" b="0"/>
                      <wp:wrapNone/>
                      <wp:docPr id="94" name="Frame9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10210" cy="175260"/>
                      <wp:effectExtent l="0" t="0" r="0" b="0"/>
                      <wp:wrapNone/>
                      <wp:docPr id="95" name="Frame9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57835" cy="175260"/>
                      <wp:effectExtent l="0" t="0" r="0" b="0"/>
                      <wp:wrapNone/>
                      <wp:docPr id="98" name="Frame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69545" cy="175260"/>
                      <wp:effectExtent l="0" t="0" r="0" b="0"/>
                      <wp:wrapNone/>
                      <wp:docPr id="100" name="Frame9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9105" cy="175260"/>
                      <wp:effectExtent l="0" t="0" r="0" b="0"/>
                      <wp:wrapNone/>
                      <wp:docPr id="101" name="Frame10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1285" cy="175260"/>
                      <wp:effectExtent l="0" t="0" r="0" b="0"/>
                      <wp:wrapNone/>
                      <wp:docPr id="102" name="Frame1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034"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Payments due by period</w:t>
            </w:r>
          </w:p>
        </w:tc>
        <w:tc>
          <w:tcPr>
            <w:tcW w:w="191"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 years</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3-5 years</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41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Long-term debt obligations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733.9</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1,512.9</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on long-term debt obligations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91"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obligations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672" w:type="dxa"/>
        <w:jc w:val="left"/>
        <w:tblInd w:w="0" w:type="dxa"/>
        <w:tblLayout w:type="fixed"/>
        <w:tblCellMar>
          <w:top w:w="0" w:type="dxa"/>
          <w:left w:w="0" w:type="dxa"/>
          <w:bottom w:w="0" w:type="dxa"/>
          <w:right w:w="0" w:type="dxa"/>
        </w:tblCellMar>
      </w:tblPr>
      <w:tblGrid>
        <w:gridCol w:w="286"/>
        <w:gridCol w:w="838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8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amounts due within one year and excludes unamortized discount and issuance costs on debt.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interest expense due on debt by using fixed interest rates for fixed rate debt and assuming the same interest rate at the end of fiscal 2026 for variable rate debt.</w:t>
            </w:r>
          </w:p>
        </w:tc>
      </w:tr>
    </w:tbl>
    <w:tbl>
      <w:tblPr>
        <w:tblW w:w="4952" w:type="dxa"/>
        <w:jc w:val="left"/>
        <w:tblInd w:w="0" w:type="dxa"/>
        <w:tblLayout w:type="fixed"/>
        <w:tblCellMar>
          <w:top w:w="0" w:type="dxa"/>
          <w:left w:w="0" w:type="dxa"/>
          <w:bottom w:w="0" w:type="dxa"/>
          <w:right w:w="0" w:type="dxa"/>
        </w:tblCellMar>
      </w:tblPr>
      <w:tblGrid>
        <w:gridCol w:w="286"/>
        <w:gridCol w:w="466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4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imputed interest on operating lease liabilities.</w:t>
            </w:r>
          </w:p>
        </w:tc>
      </w:tr>
    </w:tbl>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purchases inventories in the normal course of business throughout the year through the issuance of purchase orders to suppliers. During fiscal 2026, the Company’s cost of sales, substantially all of which related to the underlying purchase of inventories was $24.8 billion and the Company had $6.1 billion of inventories as of June 27, 2026. The Company expects to continue to purchase sufficient inventory to meet its customers’ demands in fiscal year 2027, some of which relates to outstanding purchase orders at the end of fiscal 2026. Outstanding purchase orders with suppliers may be non-cancellable/non-returnable at the point where such orders are issued or may become non-cancellable at some point in the future, typically within 30 days to 90 days from the requested delivery date of inventories.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At June 27, 2026, the Company had an estimated liability for income tax contingencies of $123.9 million, which is not included in the above table. The settlement period for the remaining amount of the unrecognized tax benefits, including related accrued interest and penalties, cannot be determined, and therefore was not included in the table.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As of June 27, 2026, the Company may repurchase up to an aggregate of $225.8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fiscal 2026, the Company repurchased $138.3 million of common stock.</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historically paid quarterly cash dividends on shares of its common stock, and future dividends are subject to approval by the Board of Directors. During the fourth quarter of fiscal 2026, the Board of Directors approved a dividend of $0.35 per share, which resulted in $28.7 million of dividend payments during the quarter.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During fiscal 2027 the Company may use cash for investing and financing activities including the payment of cash dividends and capital expenditures for distribution centers and information systems including digital tools and capabilities. The Company may also use cash in fiscal 2027 for share repurchases and for acquisitions.</w:t>
      </w:r>
    </w:p>
    <w:p>
      <w:pPr>
        <w:pStyle w:val="TextBody"/>
        <w:bidi w:val="0"/>
        <w:spacing w:lineRule="auto" w:line="343" w:before="20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2026 relate to the valuation of inventories and accounting for income taxes.</w:t>
      </w:r>
    </w:p>
    <w:p>
      <w:pPr>
        <w:pStyle w:val="TextBody"/>
        <w:bidi w:val="0"/>
        <w:spacing w:lineRule="auto" w:line="343" w:before="200" w:after="0"/>
        <w:ind w:left="0" w:right="0" w:firstLine="115"/>
        <w:jc w:val="left"/>
        <w:rPr>
          <w:rFonts w:ascii="Times New Roman;Times;serif" w:hAnsi="Times New Roman;Times;serif"/>
          <w:b/>
          <w:i/>
          <w:sz w:val="20"/>
        </w:rPr>
      </w:pPr>
      <w:r>
        <w:rPr>
          <w:rFonts w:ascii="Times New Roman;Times;serif" w:hAnsi="Times New Roman;Times;serif"/>
          <w:b/>
          <w:i/>
          <w:sz w:val="20"/>
        </w:rPr>
        <w:t>Valuation of Inventories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 provide certain protections to the Company for product obsolescence and price erosion in the form of rights of return, stock rotation rights, obsolescence allowances, industry specific supplier rebate programs and price protections. Because of the large number of products and suppliers and the complexity of managing the process around price protections, supplier rebate programs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changes or actual market conditions are less favorable than assumed, then management evaluates whether additional write-downs of inventories are required. In any case, actual net realizable values could be different from those currently estimated.</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Accounting for Income Taxes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Management’s judgment is required in determining income tax expense, unrecognized tax benefit liabilities, deferred tax assets and liabilities, and valuation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 may result in changes in estimates to such unrecognized tax benefit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See Note 9, “Income taxes” to the Company’s consolidated financial statements included in Item 8 of this Annual Report on Form 10-K for further discussion on income tax expense, valuation allowances and unrecognized tax benefits. </w:t>
      </w:r>
    </w:p>
    <w:p>
      <w:pPr>
        <w:pStyle w:val="TextBody"/>
        <w:bidi w:val="0"/>
        <w:spacing w:lineRule="auto" w:line="343" w:before="120" w:after="0"/>
        <w:ind w:left="0" w:right="0" w:firstLine="475"/>
        <w:jc w:val="left"/>
        <w:rPr/>
      </w:pPr>
      <w:r>
        <w:rPr/>
        <w:t>​</w:t>
      </w:r>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and in January 2025, the FASB issued ASU 2025-01, </w:t>
      </w:r>
      <w:r>
        <w:rPr>
          <w:rFonts w:ascii="Times New Roman;Times;serif" w:hAnsi="Times New Roman;Times;serif"/>
          <w:i/>
          <w:sz w:val="20"/>
        </w:rPr>
        <w:t>Income Statement - Reporting Comprehensive Income - Expense Disaggregation Disclosures: Clarifying the Effective Date</w:t>
      </w:r>
      <w:r>
        <w:rPr>
          <w:rFonts w:ascii="Times New Roman;Times;serif" w:hAnsi="Times New Roman;Times;serif"/>
          <w:sz w:val="20"/>
        </w:rPr>
        <w:t xml:space="preserve"> (“ASU 2025-01”). The guidance is designed to improve financial reporting by requiring public business entities to disclose additional information about specific expense categories in the financial statement notes at interim and annual reporting periods. ASU No. 2024-03, as clarified by ASU 2025-01, will be effective for the Company in fiscal year 2028 and early adoption is permitted. The Company is currently evaluating the impact of adopting ASU No. 2024-03 on its disclosures.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No. 2025-05”). This update introduces a practical expedient available to all entities when estimating expected credit losses on current accounts receivable and contract assets arising from revenue recognized under ASC 606, </w:t>
      </w:r>
      <w:r>
        <w:rPr>
          <w:rFonts w:ascii="Times New Roman;Times;serif" w:hAnsi="Times New Roman;Times;serif"/>
          <w:i/>
          <w:sz w:val="20"/>
        </w:rPr>
        <w:t>Revenue from Contracts with Customers.</w:t>
      </w:r>
      <w:r>
        <w:rPr>
          <w:rFonts w:ascii="Times New Roman;Times;serif" w:hAnsi="Times New Roman;Times;serif"/>
          <w:sz w:val="20"/>
        </w:rPr>
        <w:t xml:space="preserve"> With this expedient, entities may assume that the current conditions used to determine credit loss allowances for these assets will remain unchanged for the remainder of their lives. ASU 2025-05 will be effective for the Company starting in fiscal 2027, including interim periods in that year. Entities that choose to apply the practical expedient, along with any related accounting policy elections, must do so prospectively. The Company is currently assessing the potential effects of adopting ASU 2025-05 on its consolidated financial statements and disclosures.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 Internal-Use Software,</w:t>
      </w:r>
      <w:r>
        <w:rPr>
          <w:rFonts w:ascii="Times New Roman;Times;serif" w:hAnsi="Times New Roman;Times;serif"/>
          <w:sz w:val="20"/>
        </w:rPr>
        <w:t xml:space="preserve"> </w:t>
      </w:r>
      <w:r>
        <w:rPr>
          <w:rFonts w:ascii="Times New Roman;Times;serif" w:hAnsi="Times New Roman;Times;serif"/>
          <w:i/>
          <w:sz w:val="20"/>
        </w:rPr>
        <w:t>(Subtopic 350-40): Targeted Improvements to the Accounting for Internal-Use Software</w:t>
      </w:r>
      <w:r>
        <w:rPr>
          <w:rFonts w:ascii="Times New Roman;Times;serif" w:hAnsi="Times New Roman;Times;serif"/>
          <w:sz w:val="20"/>
        </w:rPr>
        <w:t xml:space="preserve"> (“ASU No. 2025-06”). This update modernizes the outdated guidance for accounting for software costs by aligning the accounting with how software is developed today. The effective date for the standard is for fiscal years beginning after December 15, 2027, the Company’s Fiscal 2029, and interim periods within those fiscal years. Early adoption is permitted. The amendments in this ASU should be applied either prospectively, retrospectively, or utilizing a modified transition approach. The Company is in the process of analyzing the impact of ASU No. 2025-06 on its consolidated financial statements and related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Derivatives and Hedging (Topic 815): Hedge Accounting Improvements</w:t>
      </w:r>
      <w:r>
        <w:rPr>
          <w:rFonts w:ascii="Times New Roman;Times;serif" w:hAnsi="Times New Roman;Times;serif"/>
          <w:sz w:val="20"/>
        </w:rPr>
        <w:t xml:space="preserve"> (“ASU No. 2025-09”), which make certain targeted improvements to simplify the application of the hedge accounting guidance and to address several incremental hedge accounting issues arising from the global reference rate reform initiative. Among other amendments, these improvements include expanding the hedged risks permitted to be aggregated in a group of individual forecasted transactions in a cash flow hedge and clarifying the circumstance under which a group of individual forecasted transactions can be considered to have a similar risk exposure. The amendments in ASU 2025-09 are effective for annual periods beginning after December 15, 2026, and interim periods within those annual reporting periods, which for the Company would be the fiscal first quarter ending September 25, 2027. Early adoption is permitted and the amendments should be applied on a prospective basis for all hedging relationships. The Company is currently evaluating the impact the new accounting standard could have on its hedge accounting policies and related disclosures.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xml:space="preserve"> (“ASU No. 2025-11”). This update enhances the clarity and organization of interim reporting and the applicability of Topic 270. It also clarifies the required form and content of interim financial statements, including requiring entities to disclose events since the end of the last annual reporting period that have a material impact on the entity. The standard is effective for interim reporting periods within annual periods beginning after December 15, 2027, which for the Company would be the first quarter of fiscal 2029, with early adoption permitted. Entities may apply the update either prospectively or retrospectively. The Company is in the process of evaluating the impact of adopting ASU No. 2025-11 on its consolidated financial statements and related disclosures.</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43" w:name="Item7AQuantitativeandQualitativeDisclosu"/>
      <w:bookmarkStart w:id="44" w:name="_7ba1e8ff_3fad_4e81_8d31_a9ffd135c7bb"/>
      <w:bookmarkEnd w:id="43"/>
      <w:bookmarkEnd w:id="44"/>
      <w:r>
        <w:rPr>
          <w:rFonts w:ascii="Times New Roman;Times;serif" w:hAnsi="Times New Roman;Times;serif"/>
          <w:b/>
          <w:sz w:val="20"/>
        </w:rPr>
        <w:t>Item 7A. Quantitative and Qualitative Disclosures About Market Risk</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seeks to reduce earnings and cash flow volatility associated with changes in interest rates and foreign currency exchange rates by entering financial arrangements, from time to time, which are intended to provide an economic hedge against all, or a portion of, the risks associated with such volatility. The Company continues to have exposure to such risks to the extent they are not economically hedged.</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sz w:val="20"/>
        </w:rPr>
        <w:t>The following table sets forth the scheduled maturities of the Company’s debt outstanding at June 27, 2026 (dollars in millions):</w:t>
      </w:r>
    </w:p>
    <w:p>
      <w:pPr>
        <w:pStyle w:val="TextBody"/>
        <w:bidi w:val="0"/>
        <w:spacing w:lineRule="auto" w:line="343" w:before="0" w:after="0"/>
        <w:ind w:left="0" w:right="0" w:firstLine="475"/>
        <w:jc w:val="both"/>
        <w:rPr/>
      </w:pPr>
      <w:r>
        <w:rPr/>
        <w:t>​</w:t>
      </w:r>
    </w:p>
    <w:tbl>
      <w:tblPr>
        <w:tblW w:w="9932" w:type="dxa"/>
        <w:jc w:val="left"/>
        <w:tblInd w:w="0" w:type="dxa"/>
        <w:tblLayout w:type="fixed"/>
        <w:tblCellMar>
          <w:top w:w="0" w:type="dxa"/>
          <w:left w:w="0" w:type="dxa"/>
          <w:bottom w:w="0" w:type="dxa"/>
          <w:right w:w="0" w:type="dxa"/>
        </w:tblCellMar>
      </w:tblPr>
      <w:tblGrid>
        <w:gridCol w:w="1561"/>
        <w:gridCol w:w="346"/>
        <w:gridCol w:w="211"/>
        <w:gridCol w:w="571"/>
        <w:gridCol w:w="346"/>
        <w:gridCol w:w="211"/>
        <w:gridCol w:w="571"/>
        <w:gridCol w:w="346"/>
        <w:gridCol w:w="211"/>
        <w:gridCol w:w="466"/>
        <w:gridCol w:w="346"/>
        <w:gridCol w:w="211"/>
        <w:gridCol w:w="571"/>
        <w:gridCol w:w="346"/>
        <w:gridCol w:w="211"/>
        <w:gridCol w:w="571"/>
        <w:gridCol w:w="346"/>
        <w:gridCol w:w="275"/>
        <w:gridCol w:w="746"/>
        <w:gridCol w:w="346"/>
        <w:gridCol w:w="211"/>
        <w:gridCol w:w="721"/>
        <w:gridCol w:w="191"/>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91235" cy="175260"/>
                      <wp:effectExtent l="0" t="0" r="0" b="0"/>
                      <wp:wrapNone/>
                      <wp:docPr id="103" name="Frame10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95910" cy="175260"/>
                      <wp:effectExtent l="0" t="0" r="0" b="0"/>
                      <wp:wrapNone/>
                      <wp:docPr id="112" name="Frame1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5" name="Frame1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8"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4625" cy="175260"/>
                      <wp:effectExtent l="0" t="0" r="0" b="0"/>
                      <wp:wrapNone/>
                      <wp:docPr id="120" name="Frame11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73710" cy="175260"/>
                      <wp:effectExtent l="0" t="0" r="0" b="0"/>
                      <wp:wrapNone/>
                      <wp:docPr id="121" name="Frame120"/>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57835" cy="175260"/>
                      <wp:effectExtent l="0" t="0" r="0" b="0"/>
                      <wp:wrapNone/>
                      <wp:docPr id="124" name="Frame1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1285" cy="175260"/>
                      <wp:effectExtent l="0" t="0" r="0" b="0"/>
                      <wp:wrapNone/>
                      <wp:docPr id="125" name="Frame12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34" w:type="dxa"/>
            <w:gridSpan w:val="20"/>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w:t>
            </w:r>
          </w:p>
        </w:tc>
        <w:tc>
          <w:tcPr>
            <w:tcW w:w="191" w:type="dxa"/>
            <w:tcBorders/>
            <w:vAlign w:val="center"/>
          </w:tcPr>
          <w:p>
            <w:pPr>
              <w:pStyle w:val="TableContents"/>
              <w:bidi w:val="0"/>
              <w:spacing w:before="0" w:after="0"/>
              <w:ind w:left="0" w:right="0" w:hanging="0"/>
              <w:jc w:val="center"/>
              <w:rPr/>
            </w:pPr>
            <w:r>
              <w:rPr/>
              <w:t> </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2027</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2028</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2029</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2030</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2031</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Thereafter</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91" w:type="dxa"/>
            <w:tcBorders/>
            <w:vAlign w:val="center"/>
          </w:tcPr>
          <w:p>
            <w:pPr>
              <w:pStyle w:val="TableContents"/>
              <w:bidi w:val="0"/>
              <w:spacing w:before="0" w:after="0"/>
              <w:ind w:left="0" w:right="0" w:hanging="0"/>
              <w:jc w:val="center"/>
              <w:rPr/>
            </w:pPr>
            <w:r>
              <w:rPr/>
              <w:t> </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Fixed rate debt</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1,771.4</w:t>
            </w:r>
          </w:p>
        </w:tc>
        <w:tc>
          <w:tcPr>
            <w:tcW w:w="191" w:type="dxa"/>
            <w:tcBorders/>
            <w:vAlign w:val="center"/>
          </w:tcPr>
          <w:p>
            <w:pPr>
              <w:pStyle w:val="TableContents"/>
              <w:bidi w:val="0"/>
              <w:spacing w:before="0" w:after="0"/>
              <w:ind w:left="0" w:right="0" w:hanging="0"/>
              <w:jc w:val="lef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Floating 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1,462.0</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4712" w:type="dxa"/>
        <w:jc w:val="left"/>
        <w:tblInd w:w="0" w:type="dxa"/>
        <w:tblLayout w:type="fixed"/>
        <w:tblCellMar>
          <w:top w:w="0" w:type="dxa"/>
          <w:left w:w="0" w:type="dxa"/>
          <w:bottom w:w="0" w:type="dxa"/>
          <w:right w:w="0" w:type="dxa"/>
        </w:tblCellMar>
      </w:tblPr>
      <w:tblGrid>
        <w:gridCol w:w="346"/>
        <w:gridCol w:w="43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unamortized discounts and issuance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The following table sets forth the carrying value and fair value of the Company’s debt and the average interest rates at June 27, 2026, and June 28, 2025 (dollars in millions):</w:t>
      </w:r>
    </w:p>
    <w:p>
      <w:pPr>
        <w:pStyle w:val="TextBody"/>
        <w:bidi w:val="0"/>
        <w:spacing w:lineRule="atLeast" w:line="200" w:before="0" w:after="0"/>
        <w:ind w:left="0" w:right="0" w:hanging="0"/>
        <w:jc w:val="left"/>
        <w:rPr/>
      </w:pPr>
      <w:r>
        <w:rPr/>
        <w:t>​</w:t>
      </w:r>
    </w:p>
    <w:tbl>
      <w:tblPr>
        <w:tblW w:w="8916" w:type="dxa"/>
        <w:jc w:val="left"/>
        <w:tblInd w:w="0" w:type="dxa"/>
        <w:tblLayout w:type="fixed"/>
        <w:tblCellMar>
          <w:top w:w="0" w:type="dxa"/>
          <w:left w:w="0" w:type="dxa"/>
          <w:bottom w:w="0" w:type="dxa"/>
          <w:right w:w="0" w:type="dxa"/>
        </w:tblCellMar>
      </w:tblPr>
      <w:tblGrid>
        <w:gridCol w:w="1786"/>
        <w:gridCol w:w="109"/>
        <w:gridCol w:w="242"/>
        <w:gridCol w:w="828"/>
        <w:gridCol w:w="416"/>
        <w:gridCol w:w="346"/>
        <w:gridCol w:w="335"/>
        <w:gridCol w:w="1151"/>
        <w:gridCol w:w="406"/>
        <w:gridCol w:w="242"/>
        <w:gridCol w:w="828"/>
        <w:gridCol w:w="415"/>
        <w:gridCol w:w="346"/>
        <w:gridCol w:w="288"/>
        <w:gridCol w:w="987"/>
        <w:gridCol w:w="1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134110" cy="175260"/>
                      <wp:effectExtent l="0" t="0" r="0" b="0"/>
                      <wp:wrapNone/>
                      <wp:docPr id="126" name="Frame12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3670" cy="175260"/>
                      <wp:effectExtent l="0" t="0" r="0" b="0"/>
                      <wp:wrapNone/>
                      <wp:docPr id="128" name="Frame12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25780" cy="175260"/>
                      <wp:effectExtent l="0" t="0" r="0" b="0"/>
                      <wp:wrapNone/>
                      <wp:docPr id="129" name="Frame12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4160" cy="175260"/>
                      <wp:effectExtent l="0" t="0" r="0" b="0"/>
                      <wp:wrapNone/>
                      <wp:docPr id="130" name="Frame129"/>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725" cy="175260"/>
                      <wp:effectExtent l="0" t="0" r="0" b="0"/>
                      <wp:wrapNone/>
                      <wp:docPr id="132" name="Frame13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30885" cy="175260"/>
                      <wp:effectExtent l="0" t="0" r="0" b="0"/>
                      <wp:wrapNone/>
                      <wp:docPr id="133" name="Frame13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57810" cy="175260"/>
                      <wp:effectExtent l="0" t="0" r="0" b="0"/>
                      <wp:wrapNone/>
                      <wp:docPr id="134" name="Frame13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3670" cy="175260"/>
                      <wp:effectExtent l="0" t="0" r="0" b="0"/>
                      <wp:wrapNone/>
                      <wp:docPr id="135" name="Frame13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5780" cy="175260"/>
                      <wp:effectExtent l="0" t="0" r="0" b="0"/>
                      <wp:wrapNone/>
                      <wp:docPr id="136" name="Frame13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63525" cy="175260"/>
                      <wp:effectExtent l="0" t="0" r="0" b="0"/>
                      <wp:wrapNone/>
                      <wp:docPr id="137" name="Frame13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880" cy="175260"/>
                      <wp:effectExtent l="0" t="0" r="0" b="0"/>
                      <wp:wrapNone/>
                      <wp:docPr id="139" name="Frame13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6745" cy="175260"/>
                      <wp:effectExtent l="0" t="0" r="0" b="0"/>
                      <wp:wrapNone/>
                      <wp:docPr id="140" name="Frame139"/>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1285" cy="175260"/>
                      <wp:effectExtent l="0" t="0" r="0" b="0"/>
                      <wp:wrapNone/>
                      <wp:docPr id="141" name="Frame14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8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center"/>
              <w:rPr/>
            </w:pPr>
            <w:r>
              <w:rPr/>
              <w:t>  ​ ​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w:t>
            </w:r>
          </w:p>
        </w:tc>
        <w:tc>
          <w:tcPr>
            <w:tcW w:w="406" w:type="dxa"/>
            <w:tcBorders/>
            <w:vAlign w:val="center"/>
          </w:tcPr>
          <w:p>
            <w:pPr>
              <w:pStyle w:val="TableContents"/>
              <w:bidi w:val="0"/>
              <w:spacing w:before="0" w:after="0"/>
              <w:ind w:left="0" w:right="0" w:hanging="0"/>
              <w:jc w:val="center"/>
              <w:rPr/>
            </w:pPr>
            <w:r>
              <w:rPr/>
              <w:t>​</w:t>
            </w:r>
          </w:p>
        </w:tc>
        <w:tc>
          <w:tcPr>
            <w:tcW w:w="148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46" w:type="dxa"/>
            <w:tcBorders/>
            <w:vAlign w:val="center"/>
          </w:tcPr>
          <w:p>
            <w:pPr>
              <w:pStyle w:val="TableContents"/>
              <w:bidi w:val="0"/>
              <w:spacing w:before="0" w:after="0"/>
              <w:ind w:left="0" w:right="0" w:hanging="0"/>
              <w:jc w:val="center"/>
              <w:rPr/>
            </w:pPr>
            <w:r>
              <w:rPr/>
              <w:t>  ​ ​ ​</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w:t>
            </w:r>
          </w:p>
        </w:tc>
        <w:tc>
          <w:tcPr>
            <w:tcW w:w="191" w:type="dxa"/>
            <w:tcBorders/>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86"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 June 27, 2026</w:t>
            </w:r>
          </w:p>
        </w:tc>
        <w:tc>
          <w:tcPr>
            <w:tcW w:w="346" w:type="dxa"/>
            <w:tcBorders/>
            <w:vAlign w:val="center"/>
          </w:tcPr>
          <w:p>
            <w:pPr>
              <w:pStyle w:val="TableContents"/>
              <w:bidi w:val="0"/>
              <w:spacing w:before="0" w:after="0"/>
              <w:ind w:left="0" w:right="0" w:hanging="0"/>
              <w:jc w:val="center"/>
              <w:rPr/>
            </w:pPr>
            <w:r>
              <w:rPr/>
              <w:t>​</w:t>
            </w:r>
          </w:p>
        </w:tc>
        <w:tc>
          <w:tcPr>
            <w:tcW w:w="14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 June 27, 2026</w:t>
            </w:r>
          </w:p>
        </w:tc>
        <w:tc>
          <w:tcPr>
            <w:tcW w:w="406" w:type="dxa"/>
            <w:tcBorders/>
            <w:vAlign w:val="center"/>
          </w:tcPr>
          <w:p>
            <w:pPr>
              <w:pStyle w:val="TableContents"/>
              <w:bidi w:val="0"/>
              <w:spacing w:before="0" w:after="0"/>
              <w:ind w:left="0" w:right="0" w:hanging="0"/>
              <w:jc w:val="center"/>
              <w:rPr/>
            </w:pPr>
            <w:r>
              <w:rPr/>
              <w:t>  ​ ​ ​ ​</w:t>
            </w:r>
          </w:p>
        </w:tc>
        <w:tc>
          <w:tcPr>
            <w:tcW w:w="1485"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 June 28, 2025</w:t>
            </w:r>
          </w:p>
        </w:tc>
        <w:tc>
          <w:tcPr>
            <w:tcW w:w="346" w:type="dxa"/>
            <w:tcBorders/>
            <w:vAlign w:val="center"/>
          </w:tcPr>
          <w:p>
            <w:pPr>
              <w:pStyle w:val="TableContents"/>
              <w:bidi w:val="0"/>
              <w:spacing w:before="0" w:after="0"/>
              <w:ind w:left="0" w:right="0" w:hanging="0"/>
              <w:jc w:val="center"/>
              <w:rPr/>
            </w:pPr>
            <w:r>
              <w:rPr/>
              <w:t>​</w:t>
            </w:r>
          </w:p>
        </w:tc>
        <w:tc>
          <w:tcPr>
            <w:tcW w:w="12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191" w:type="dxa"/>
            <w:tcBorders/>
            <w:vAlign w:val="center"/>
          </w:tcPr>
          <w:p>
            <w:pPr>
              <w:pStyle w:val="TableContents"/>
              <w:bidi w:val="0"/>
              <w:spacing w:before="0" w:after="0"/>
              <w:ind w:left="0" w:right="0" w:hanging="0"/>
              <w:jc w:val="center"/>
              <w:rPr/>
            </w:pPr>
            <w:r>
              <w:rPr/>
              <w:t> </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87"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Fixed rate debt</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1,771.4</w:t>
            </w:r>
          </w:p>
        </w:tc>
        <w:tc>
          <w:tcPr>
            <w:tcW w:w="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2,015.0</w:t>
            </w:r>
          </w:p>
        </w:tc>
        <w:tc>
          <w:tcPr>
            <w:tcW w:w="40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1,674.9</w:t>
            </w:r>
          </w:p>
        </w:tc>
        <w:tc>
          <w:tcPr>
            <w:tcW w:w="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1,660.5</w:t>
            </w:r>
          </w:p>
        </w:tc>
        <w:tc>
          <w:tcPr>
            <w:tcW w:w="191" w:type="dxa"/>
            <w:tcBorders/>
            <w:vAlign w:val="center"/>
          </w:tcPr>
          <w:p>
            <w:pPr>
              <w:pStyle w:val="TableContents"/>
              <w:bidi w:val="0"/>
              <w:spacing w:before="0" w:after="0"/>
              <w:ind w:left="0" w:right="0" w:hanging="0"/>
              <w:jc w:val="lef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right"/>
              <w:rPr/>
            </w:pPr>
            <w:r>
              <w:rPr/>
              <w:t>​</w:t>
            </w:r>
          </w:p>
        </w:tc>
        <w:tc>
          <w:tcPr>
            <w:tcW w:w="987"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Floating rate debt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1,462.0</w:t>
            </w:r>
          </w:p>
        </w:tc>
        <w:tc>
          <w:tcPr>
            <w:tcW w:w="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1,462.0</w:t>
            </w:r>
          </w:p>
        </w:tc>
        <w:tc>
          <w:tcPr>
            <w:tcW w:w="40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995.9</w:t>
            </w:r>
          </w:p>
        </w:tc>
        <w:tc>
          <w:tcPr>
            <w:tcW w:w="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995.9</w:t>
            </w:r>
          </w:p>
        </w:tc>
        <w:tc>
          <w:tcPr>
            <w:tcW w:w="191" w:type="dxa"/>
            <w:tcBorders/>
            <w:vAlign w:val="center"/>
          </w:tcPr>
          <w:p>
            <w:pPr>
              <w:pStyle w:val="TableContents"/>
              <w:bidi w:val="0"/>
              <w:spacing w:before="0" w:after="0"/>
              <w:ind w:left="0" w:right="0" w:hanging="0"/>
              <w:jc w:val="lef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right"/>
              <w:rPr/>
            </w:pPr>
            <w:r>
              <w:rPr/>
              <w:t>​</w:t>
            </w:r>
          </w:p>
        </w:tc>
        <w:tc>
          <w:tcPr>
            <w:tcW w:w="987"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unamortized discounts and issuance costs. Fair value was estimated primarily based upon quoted market prices for the Company’s public long-term notes.</w:t>
            </w:r>
          </w:p>
        </w:tc>
      </w:tr>
    </w:tbl>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the use of derivative financial instruments (primarily forward foreign currency exchange contracts typically with maturities of less than 60 days, but no longer than one year). The Company continues to have exposure to foreign currency risks to the extent they are not economically hedged. The Company adjusts any economic hedges to fair value within the same line item in the consolidated statements of operations as the remeasurement of the underlying assets or liabilities being economically hedged. Therefore, the 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June 27, 2026, would result in an increase or decrease of approximately $20.0 million to the fair value of the forward foreign exchange contracts, which would generally be offset by an opposite effect on the underlying exposure being economically hedged. See Note 2, “Derivative financial instruments” to the Company’s consolidated financial statements included in Item 8 of this Annual Report on Form 10-K for further discussion on derivative financial instruments.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120"/>
        <w:ind w:left="0" w:right="0" w:hanging="0"/>
        <w:jc w:val="both"/>
        <w:rPr>
          <w:rFonts w:ascii="Times New Roman;Times;serif" w:hAnsi="Times New Roman;Times;serif"/>
          <w:b/>
          <w:sz w:val="20"/>
        </w:rPr>
      </w:pPr>
      <w:bookmarkStart w:id="45" w:name="Item8FinancialStatementsandSupplementary"/>
      <w:bookmarkStart w:id="46" w:name="_b990df8a_1717_419e_8998_de17ec877187"/>
      <w:bookmarkEnd w:id="45"/>
      <w:bookmarkEnd w:id="46"/>
      <w:r>
        <w:rPr>
          <w:rFonts w:ascii="Times New Roman;Times;serif" w:hAnsi="Times New Roman;Times;serif"/>
          <w:b/>
          <w:sz w:val="20"/>
        </w:rPr>
        <w:t>Item 8. Financial Statements and Supplementary Data</w:t>
      </w:r>
    </w:p>
    <w:p>
      <w:pPr>
        <w:pStyle w:val="TextBody"/>
        <w:bidi w:val="0"/>
        <w:spacing w:lineRule="auto" w:line="343" w:before="0" w:after="120"/>
        <w:ind w:left="0" w:right="0" w:firstLine="475"/>
        <w:jc w:val="both"/>
        <w:rPr>
          <w:rFonts w:ascii="Times New Roman;Times;serif" w:hAnsi="Times New Roman;Times;serif"/>
          <w:sz w:val="20"/>
        </w:rPr>
      </w:pPr>
      <w:r>
        <w:rPr>
          <w:rFonts w:ascii="Times New Roman;Times;serif" w:hAnsi="Times New Roman;Times;serif"/>
          <w:sz w:val="20"/>
        </w:rPr>
        <w:t>Index to Financial Statements</w:t>
      </w:r>
    </w:p>
    <w:tbl>
      <w:tblPr>
        <w:tblW w:w="10205" w:type="dxa"/>
        <w:jc w:val="left"/>
        <w:tblInd w:w="0" w:type="dxa"/>
        <w:tblLayout w:type="fixed"/>
        <w:tblCellMar>
          <w:top w:w="0" w:type="dxa"/>
          <w:left w:w="0" w:type="dxa"/>
          <w:bottom w:w="0" w:type="dxa"/>
          <w:right w:w="0" w:type="dxa"/>
        </w:tblCellMar>
      </w:tblPr>
      <w:tblGrid>
        <w:gridCol w:w="283"/>
        <w:gridCol w:w="9004"/>
        <w:gridCol w:w="346"/>
        <w:gridCol w:w="572"/>
      </w:tblGrid>
      <w:tr>
        <w:trPr/>
        <w:tc>
          <w:tcPr>
            <w:tcW w:w="283" w:type="dxa"/>
            <w:tcBorders/>
            <w:vAlign w:val="center"/>
          </w:tcPr>
          <w:p>
            <w:pPr>
              <w:pStyle w:val="TableContents"/>
              <w:bidi w:val="0"/>
              <w:spacing w:before="0" w:after="0"/>
              <w:ind w:left="0" w:right="0" w:hanging="0"/>
              <w:jc w:val="lef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2" w:type="dxa"/>
            <w:tcBorders/>
            <w:vAlign w:val="center"/>
          </w:tcPr>
          <w:p>
            <w:pPr>
              <w:pStyle w:val="TableContents"/>
              <w:bidi w:val="0"/>
              <w:spacing w:before="0" w:after="283"/>
              <w:ind w:left="0" w:right="0" w:hanging="0"/>
              <w:jc w:val="left"/>
              <w:rPr>
                <w:sz w:val="4"/>
                <w:szCs w:val="4"/>
              </w:rPr>
            </w:pPr>
            <w:r>
              <w:rPr>
                <w:sz w:val="4"/>
                <w:szCs w:val="4"/>
              </w:rPr>
            </w:r>
          </w:p>
        </w:tc>
      </w:tr>
      <w:tr>
        <w:trPr/>
        <w:tc>
          <w:tcPr>
            <w:tcW w:w="283" w:type="dxa"/>
            <w:tcBorders/>
            <w:vAlign w:val="center"/>
          </w:tcPr>
          <w:p>
            <w:pPr>
              <w:pStyle w:val="TableContents"/>
              <w:bidi w:val="0"/>
              <w:spacing w:before="0" w:after="0"/>
              <w:ind w:left="0" w:right="0" w:hanging="0"/>
              <w:jc w:val="lef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2"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283" w:type="dxa"/>
            <w:tcBorders/>
            <w:vAlign w:val="center"/>
          </w:tcPr>
          <w:p>
            <w:pPr>
              <w:pStyle w:val="TableContents"/>
              <w:pBdr/>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top w:val="single" w:sz="12" w:space="0" w:color="000000"/>
            </w:tcBorders>
            <w:tcMar>
              <w:top w:w="28" w:type="dxa"/>
            </w:tcMar>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w:t>
            </w:r>
          </w:p>
        </w:tc>
        <w:tc>
          <w:tcPr>
            <w:tcW w:w="9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Financial Statements:</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Helvetica;sans-serif" w:hAnsi="Helvetica;sans-serif"/>
                <w:sz w:val="20"/>
              </w:rPr>
              <w:t xml:space="preserve"> </w:t>
            </w:r>
            <w:r>
              <w:rPr>
                <w:rFonts w:ascii="Times New Roman;Times;serif" w:hAnsi="Times New Roman;Times;serif"/>
                <w:sz w:val="20"/>
              </w:rPr>
              <w:t>(PCAOB ID: 238)</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ReportofIndependentRegisteredPublicKPMG">
              <w:r>
                <w:rPr>
                  <w:rStyle w:val="InternetLink"/>
                  <w:rFonts w:ascii="Times New Roman;Times;serif" w:hAnsi="Times New Roman;Times;serif"/>
                  <w:b w:val="false"/>
                  <w:i w:val="false"/>
                  <w:caps w:val="false"/>
                  <w:smallCaps w:val="false"/>
                  <w:sz w:val="20"/>
                </w:rPr>
                <w:t>Report of Independent Registered Public Accounting Firm (KPMG LLP, Phoenix, AZ, Auditor Firm ID:185)</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 and Subsidiaries Consolidated Financial Statements:</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CONSOLIDATEDBALANCESHEETS_309965">
              <w:r>
                <w:rPr>
                  <w:rStyle w:val="InternetLink"/>
                  <w:rFonts w:ascii="Times New Roman;Times;serif" w:hAnsi="Times New Roman;Times;serif"/>
                  <w:b w:val="false"/>
                  <w:i w:val="false"/>
                  <w:caps w:val="false"/>
                  <w:smallCaps w:val="false"/>
                  <w:sz w:val="20"/>
                </w:rPr>
                <w:t>Consolidated Balance Sheets at June 27, 2026, and June 28, 2025</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CONSOLIDATEDSTATEMENTSOFOPERATIONS_56208">
              <w:r>
                <w:rPr>
                  <w:rStyle w:val="InternetLink"/>
                  <w:rFonts w:ascii="Times New Roman;Times;serif" w:hAnsi="Times New Roman;Times;serif"/>
                  <w:b w:val="false"/>
                  <w:i w:val="false"/>
                  <w:caps w:val="false"/>
                  <w:smallCaps w:val="false"/>
                  <w:sz w:val="20"/>
                </w:rPr>
                <w:t>Consolidated Statements of Operations for the</w:t>
              </w:r>
            </w:hyperlink>
            <w:hyperlink w:anchor="CONSOLIDATEDSTATEMENTSOFOPERATIONS_56208">
              <w:r>
                <w:rPr>
                  <w:rStyle w:val="InternetLink"/>
                  <w:rFonts w:ascii="Times New Roman;Times;serif" w:hAnsi="Times New Roman;Times;serif"/>
                  <w:caps w:val="false"/>
                  <w:smallCaps w:val="false"/>
                  <w:sz w:val="20"/>
                </w:rPr>
                <w:t xml:space="preserve"> </w:t>
              </w:r>
            </w:hyperlink>
            <w:hyperlink w:anchor="CONSOLIDATEDSTATEMENTSOFOPERATIONS_56208">
              <w:r>
                <w:rPr>
                  <w:rStyle w:val="InternetLink"/>
                  <w:rFonts w:ascii="Times New Roman;Times;serif" w:hAnsi="Times New Roman;Times;serif"/>
                  <w:b w:val="false"/>
                  <w:i w:val="false"/>
                  <w:caps w:val="false"/>
                  <w:smallCaps w:val="false"/>
                  <w:sz w:val="20"/>
                </w:rPr>
                <w:t>fiscal years ended June 27, 2026, June 28, 2025, and June 29, 2024</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fiscal years ended June 27, 2026, June 28, 2025, and June 29, 2024</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 xml:space="preserve">Consolidated Statements of Shareholders’ Equity for the fiscal years ended June 27, 2026, June 28, 2025, and June 29, 2024 </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CONSOLIDATEDSTATEMENTSOFCASHFLOWS_106270">
              <w:r>
                <w:rPr>
                  <w:rStyle w:val="InternetLink"/>
                  <w:rFonts w:ascii="Times New Roman;Times;serif" w:hAnsi="Times New Roman;Times;serif"/>
                  <w:b w:val="false"/>
                  <w:i w:val="false"/>
                  <w:caps w:val="false"/>
                  <w:smallCaps w:val="false"/>
                  <w:sz w:val="20"/>
                </w:rPr>
                <w:t>Consolidated Statements of Cash Flows for the fiscal years ended June 27, 2026, June 28, 2025, and June 29, 2024</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Summaryofsignificantaccountingpolicies_8">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83" w:type="dxa"/>
            <w:tcBorders/>
            <w:vAlign w:val="center"/>
          </w:tcPr>
          <w:p>
            <w:pPr>
              <w:pStyle w:val="TableContents"/>
              <w:pBdr/>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w:t>
            </w:r>
          </w:p>
        </w:tc>
        <w:tc>
          <w:tcPr>
            <w:tcW w:w="9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hyperlink w:anchor="SCHEDULEII_784306">
              <w:r>
                <w:rPr>
                  <w:rStyle w:val="InternetLink"/>
                  <w:rFonts w:ascii="Times New Roman;Times;serif" w:hAnsi="Times New Roman;Times;serif"/>
                  <w:b w:val="false"/>
                  <w:i w:val="false"/>
                  <w:caps w:val="false"/>
                  <w:smallCaps w:val="false"/>
                  <w:sz w:val="20"/>
                </w:rPr>
                <w:t>Schedule II (Valuation and Qualifying Accounts) for the fiscal years ended June 27, 2026, June 28, 2025, and June 29, 2024</w:t>
              </w:r>
            </w:hyperlink>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Schedules other than that above have been omitted because they are not applicable, or the required information is shown in the financial statements or notes thereto</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283" w:type="dxa"/>
            <w:tcBorders/>
            <w:vAlign w:val="center"/>
          </w:tcPr>
          <w:p>
            <w:pPr>
              <w:pStyle w:val="TableContents"/>
              <w:pBdr/>
              <w:bidi w:val="0"/>
              <w:spacing w:before="0" w:after="0"/>
              <w:ind w:left="0" w:right="0" w:hanging="0"/>
              <w:jc w:val="right"/>
              <w:rPr/>
            </w:pPr>
            <w:r>
              <w:rPr/>
              <w:t>​</w:t>
            </w:r>
          </w:p>
        </w:tc>
        <w:tc>
          <w:tcPr>
            <w:tcW w:w="9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bl>
    <w:p>
      <w:pPr>
        <w:pStyle w:val="TextBody"/>
        <w:bidi w:val="0"/>
        <w:spacing w:lineRule="auto" w:line="343" w:before="0" w:after="0"/>
        <w:ind w:left="0" w:right="0" w:firstLine="475"/>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14" w:before="0" w:after="160"/>
        <w:ind w:left="0" w:right="0" w:hanging="0"/>
        <w:jc w:val="center"/>
        <w:rPr>
          <w:rFonts w:ascii="Times New Roman;Times;serif" w:hAnsi="Times New Roman;Times;serif"/>
          <w:b/>
          <w:sz w:val="18"/>
        </w:rPr>
      </w:pPr>
      <w:bookmarkStart w:id="47" w:name="ReportofIndependentRegisteredPublicAccou"/>
      <w:bookmarkStart w:id="48" w:name="_cc6d4e9a_6bd0_45be_bcc1_3fa555aec928"/>
      <w:bookmarkEnd w:id="47"/>
      <w:bookmarkEnd w:id="48"/>
      <w:r>
        <w:rPr>
          <w:rFonts w:ascii="Times New Roman;Times;serif" w:hAnsi="Times New Roman;Times;serif"/>
          <w:b/>
          <w:sz w:val="18"/>
        </w:rPr>
        <w:t>Report of Independent Registered Public Accounting Firm</w:t>
      </w:r>
    </w:p>
    <w:p>
      <w:pPr>
        <w:pStyle w:val="TextBody"/>
        <w:bidi w:val="0"/>
        <w:spacing w:lineRule="auto" w:line="336" w:before="240" w:after="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Avnet, Inc.</w:t>
      </w:r>
    </w:p>
    <w:p>
      <w:pPr>
        <w:pStyle w:val="TextBody"/>
        <w:bidi w:val="0"/>
        <w:spacing w:lineRule="auto" w:line="343" w:before="240" w:after="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 and Internal Control over Financial Reporting</w:t>
      </w:r>
    </w:p>
    <w:p>
      <w:pPr>
        <w:pStyle w:val="TextBody"/>
        <w:bidi w:val="0"/>
        <w:spacing w:lineRule="auto" w:line="343" w:before="360" w:after="0"/>
        <w:ind w:left="0" w:right="0" w:hanging="0"/>
        <w:jc w:val="left"/>
        <w:rPr>
          <w:rFonts w:ascii="Times New Roman;Times;serif" w:hAnsi="Times New Roman;Times;serif"/>
          <w:sz w:val="20"/>
        </w:rPr>
      </w:pPr>
      <w:r>
        <w:rPr>
          <w:rFonts w:ascii="Times New Roman;Times;serif" w:hAnsi="Times New Roman;Times;serif"/>
          <w:sz w:val="20"/>
        </w:rPr>
        <w:t xml:space="preserve">We have audited the accompanying consolidated balance sheet of Avnet, Inc. and its subsidiaries (the "Company") as of June 27, 2026, and the related consolidated statements of operations, of comprehensive income, of shareholders’ equity and of cash flows for the year then ended, including the related notes and financial statement schedule for the year ended June 27, 2026 listed in the accompanying index (collectively referred to as the "consolidated financial statements"). We also have audited the Company's internal control over financial reporting as of June 27, 2026,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Committee of Sponsoring Organizations of the Treadway Commission (COSO).</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June 27, 2026,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June 27, 2026,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COSO.</w:t>
      </w:r>
    </w:p>
    <w:p>
      <w:pPr>
        <w:pStyle w:val="TextBody"/>
        <w:bidi w:val="0"/>
        <w:spacing w:lineRule="auto" w:line="343" w:before="240" w:after="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43" w:before="240" w:after="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43" w:before="240" w:after="0"/>
        <w:ind w:left="0" w:right="0" w:hanging="0"/>
        <w:jc w:val="left"/>
        <w:rPr>
          <w:rFonts w:ascii="Times New Roman;Times;serif" w:hAnsi="Times New Roman;Times;serif"/>
          <w:i/>
          <w:sz w:val="20"/>
        </w:rPr>
      </w:pPr>
      <w:r>
        <w:rPr>
          <w:rFonts w:ascii="Times New Roman;Times;serif" w:hAnsi="Times New Roman;Times;serif"/>
          <w:i/>
          <w:sz w:val="20"/>
        </w:rPr>
        <w:t xml:space="preserve">Revenue Recognition </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As described in Note 1 to the consolidated financial statements, management recognizes revenue at the point at which control of the underlying products are transferred to the customer.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Revenue is measured as the amount of consideration the Company expects to receive in exchange for transferring products. The Company’s sales for the year ended June 27, 2026 were $27.6 billion.</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revenue recognition is a critical audit matter is a high degree of auditor effort in performing procedures related to the Company’s revenue recognition.</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reading a sample of customer agreements for relevant contractual terms; (ii) evaluating revenue recognized by either (a) testing the issuance and settlement of invoices and credit memos, tracing transactions not settled to a detailed listing of accounts receivable, and testing the completeness and accuracy of data provided by management or (b) testing, on a sample basis, revenue transactions by obtaining and inspecting source documents, such as contracts, purchase orders, invoices, proof of shipment, and cash receipts, as applicable; (iii) confirming, on a sample basis, outstanding customer invoice balances as of year-end and, for confirmations not returned, obtaining and inspecting source documents, such as contracts, purchase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orders, invoices, proof of shipment or delivery, as applicable, and subsequent cash receipts, as applicable; (iv) testing credit memos, on a sample basis, by obtaining and inspecting source documents, which included support for the nature and amount of the selected credit memos.</w:t>
      </w:r>
    </w:p>
    <w:p>
      <w:pPr>
        <w:pStyle w:val="TextBody"/>
        <w:bidi w:val="0"/>
        <w:spacing w:lineRule="auto" w:line="336" w:before="100" w:after="0"/>
        <w:ind w:left="0" w:right="0" w:hanging="0"/>
        <w:jc w:val="left"/>
        <w:rPr/>
      </w:pPr>
      <w:r>
        <w:rPr/>
        <w:t>​</w:t>
      </w:r>
    </w:p>
    <w:p>
      <w:pPr>
        <w:pStyle w:val="TextBody"/>
        <w:bidi w:val="0"/>
        <w:spacing w:lineRule="auto" w:line="336" w:before="100" w:after="0"/>
        <w:ind w:left="0" w:right="0" w:hanging="0"/>
        <w:jc w:val="left"/>
        <w:rPr>
          <w:rFonts w:ascii="Times New Roman;Times;serif" w:hAnsi="Times New Roman;Times;serif"/>
          <w:sz w:val="20"/>
        </w:rPr>
      </w:pPr>
      <w:r>
        <w:rPr>
          <w:rFonts w:ascii="Times New Roman;Times;serif" w:hAnsi="Times New Roman;Times;serif"/>
          <w:sz w:val="20"/>
        </w:rPr>
        <w:t xml:space="preserve">/s/ PricewaterhouseCoopers LLP </w:t>
      </w:r>
    </w:p>
    <w:p>
      <w:pPr>
        <w:pStyle w:val="TextBody"/>
        <w:bidi w:val="0"/>
        <w:spacing w:lineRule="auto" w:line="336" w:before="100" w:after="0"/>
        <w:ind w:left="0" w:right="0" w:hanging="0"/>
        <w:jc w:val="left"/>
        <w:rPr/>
      </w:pPr>
      <w:r>
        <w:rPr/>
        <w:t>​</w:t>
      </w:r>
    </w:p>
    <w:p>
      <w:pPr>
        <w:pStyle w:val="TextBody"/>
        <w:bidi w:val="0"/>
        <w:spacing w:lineRule="auto" w:line="336" w:before="100" w:after="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lineRule="auto" w:line="336" w:before="100" w:after="0"/>
        <w:ind w:left="0" w:right="0" w:hanging="0"/>
        <w:jc w:val="left"/>
        <w:rPr>
          <w:rFonts w:ascii="Times New Roman;Times;serif" w:hAnsi="Times New Roman;Times;serif"/>
          <w:sz w:val="20"/>
        </w:rPr>
      </w:pPr>
      <w:r>
        <w:rPr>
          <w:rFonts w:ascii="Times New Roman;Times;serif" w:hAnsi="Times New Roman;Times;serif"/>
          <w:sz w:val="20"/>
        </w:rPr>
        <w:t>August 14, 2026</w:t>
      </w:r>
    </w:p>
    <w:p>
      <w:pPr>
        <w:pStyle w:val="TextBody"/>
        <w:bidi w:val="0"/>
        <w:spacing w:lineRule="auto" w:line="336" w:before="100" w:after="0"/>
        <w:ind w:left="0" w:right="0" w:hanging="0"/>
        <w:jc w:val="left"/>
        <w:rPr/>
      </w:pPr>
      <w:r>
        <w:rPr/>
        <w:t>​</w:t>
      </w:r>
    </w:p>
    <w:p>
      <w:pPr>
        <w:pStyle w:val="TextBody"/>
        <w:bidi w:val="0"/>
        <w:spacing w:lineRule="auto" w:line="336" w:before="10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2025.</w:t>
      </w:r>
    </w:p>
    <w:p>
      <w:pPr>
        <w:pStyle w:val="TextBody"/>
        <w:bidi w:val="0"/>
        <w:spacing w:lineRule="auto" w:line="336" w:before="10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36" w:before="0" w:after="0"/>
        <w:ind w:left="0" w:right="0" w:hanging="0"/>
        <w:jc w:val="center"/>
        <w:rPr>
          <w:rFonts w:ascii="Times New Roman;Times;serif" w:hAnsi="Times New Roman;Times;serif"/>
          <w:b/>
          <w:sz w:val="18"/>
        </w:rPr>
      </w:pPr>
      <w:bookmarkStart w:id="49" w:name="ReportofIndependentRegisteredPublicKPMG"/>
      <w:bookmarkEnd w:id="49"/>
      <w:r>
        <w:rPr>
          <w:rFonts w:ascii="Times New Roman;Times;serif" w:hAnsi="Times New Roman;Times;serif"/>
          <w:b/>
          <w:sz w:val="18"/>
        </w:rPr>
        <w:t>Report of Independent Registered Public Accounting Firm</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 xml:space="preserve">To the Shareholders and Board of Directors </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Avnet, Inc.:</w:t>
      </w:r>
    </w:p>
    <w:p>
      <w:pPr>
        <w:pStyle w:val="TextBody"/>
        <w:bidi w:val="0"/>
        <w:spacing w:lineRule="auto" w:line="343" w:before="240" w:after="0"/>
        <w:ind w:left="0" w:right="0" w:hanging="0"/>
        <w:jc w:val="left"/>
        <w:rPr>
          <w:rFonts w:ascii="Times New Roman;Times;serif" w:hAnsi="Times New Roman;Times;serif"/>
          <w:i/>
          <w:sz w:val="20"/>
        </w:rPr>
      </w:pPr>
      <w:r>
        <w:rPr>
          <w:rFonts w:ascii="Times New Roman;Times;serif" w:hAnsi="Times New Roman;Times;serif"/>
          <w:i/>
          <w:sz w:val="20"/>
        </w:rPr>
        <w:t xml:space="preserve">Opinion on the Consolidated Financial Statements </w:t>
      </w:r>
    </w:p>
    <w:p>
      <w:pPr>
        <w:pStyle w:val="TextBody"/>
        <w:bidi w:val="0"/>
        <w:spacing w:lineRule="auto" w:line="343" w:before="36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 of Avnet, Inc. and subsidiaries (the Company) as of June 28, 2025, the related consolidated statements of operations, comprehensive income, shareholders’ equity, and cash flows for each of the years in the two-year period ended June 28, 2025, and the related notes and financial statement schedule II (collectively, the consolidated financial statements). In our opinion, the consolidated financial statements present fairly, in all material respects, the financial position of the Company as of June 28, 2025, and the results of its operations and its cash flows for each of the years in the two-year period ended June 28, 2025, in conformity with U.S. generally accepted accounting principles.</w:t>
      </w:r>
    </w:p>
    <w:p>
      <w:pPr>
        <w:pStyle w:val="TextBody"/>
        <w:bidi w:val="0"/>
        <w:spacing w:lineRule="auto" w:line="343" w:before="240" w:after="0"/>
        <w:ind w:left="0" w:right="0" w:hanging="0"/>
        <w:jc w:val="left"/>
        <w:rPr>
          <w:rFonts w:ascii="Times New Roman;Times;serif" w:hAnsi="Times New Roman;Times;serif"/>
          <w:i/>
          <w:sz w:val="20"/>
        </w:rPr>
      </w:pPr>
      <w:r>
        <w:rPr>
          <w:rFonts w:ascii="Times New Roman;Times;serif" w:hAnsi="Times New Roman;Times;serif"/>
          <w:i/>
          <w:sz w:val="20"/>
        </w:rPr>
        <w:t>Basis for Opinion</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w:t>
      </w:r>
    </w:p>
    <w:p>
      <w:pPr>
        <w:pStyle w:val="TextBody"/>
        <w:bidi w:val="0"/>
        <w:spacing w:before="0" w:after="100"/>
        <w:ind w:left="0" w:right="0" w:hanging="0"/>
        <w:jc w:val="left"/>
        <w:rPr/>
      </w:pPr>
      <w:r>
        <w:rPr/>
        <w: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10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We had served as the Company’s auditor from 2002 to 2025.</w:t>
      </w:r>
    </w:p>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August 15,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50" w:name="_75c27852_5427_4e55_80d8_3eabcc6ef213"/>
      <w:bookmarkEnd w:id="50"/>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bookmarkStart w:id="51" w:name="CONSOLIDATEDBALANCESHEETS_309965"/>
      <w:bookmarkEnd w:id="51"/>
      <w:r>
        <w:rPr>
          <w:rFonts w:ascii="Times New Roman;Times;serif" w:hAnsi="Times New Roman;Times;serif"/>
          <w:b/>
          <w:sz w:val="20"/>
        </w:rPr>
        <w:t>CONSOLIDATED BALANCE SHEETS</w:t>
      </w:r>
    </w:p>
    <w:p>
      <w:pPr>
        <w:pStyle w:val="TextBody"/>
        <w:bidi w:val="0"/>
        <w:spacing w:lineRule="atLeast" w:line="200" w:before="0" w:after="0"/>
        <w:ind w:left="0" w:right="0" w:hanging="0"/>
        <w:jc w:val="left"/>
        <w:rPr/>
      </w:pPr>
      <w:r>
        <w:rPr/>
        <w:t>​</w:t>
      </w:r>
    </w:p>
    <w:p>
      <w:pPr>
        <w:pStyle w:val="Normal"/>
        <w:bidi w:val="0"/>
        <w:spacing w:before="0" w:after="0"/>
        <w:jc w:val="left"/>
        <w:rPr>
          <w:sz w:val="4"/>
          <w:szCs w:val="4"/>
        </w:rPr>
      </w:pPr>
      <w:r>
        <w:rPr>
          <w:sz w:val="4"/>
          <w:szCs w:val="4"/>
        </w:rPr>
      </w:r>
      <w:bookmarkStart w:id="52" w:name="Tc_Aa9NcU6f30-Bi9P6brsAzA_35_5"/>
      <w:bookmarkStart w:id="53" w:name="Tc_I_MbTyPbKESZ3VWv-Qwr3w_35_2"/>
      <w:bookmarkStart w:id="54" w:name="Tc_RvYofVb_QUWs0owz_yxGiQ_35_0"/>
      <w:bookmarkStart w:id="55" w:name="Tc_wleMHqIwrU-IFPhCuCT2NA_34_0"/>
      <w:bookmarkStart w:id="56" w:name="Tc_GKa7RCgpFUK_TXcse1FlLA_33_0"/>
      <w:bookmarkStart w:id="57" w:name="Tc_b0o-bm5QPEeqqTolJhxUdw_32_0"/>
      <w:bookmarkStart w:id="58" w:name="Tc_gdSKHD510ESxN6sYZ2fPfA_31_0"/>
      <w:bookmarkStart w:id="59" w:name="Tc_PsYUT2goJ0OOhwmOal02Kw_30_0"/>
      <w:bookmarkStart w:id="60" w:name="Tc_Fd2bEEpsikWXxzKvx5jLYQ_29_0"/>
      <w:bookmarkStart w:id="61" w:name="Tc_bnk-gyl6_Uixbs9PoYVAQg_28_0"/>
      <w:bookmarkStart w:id="62" w:name="Tc__5z-r9wCH0KTtTexZuL5tw_27_0"/>
      <w:bookmarkStart w:id="63" w:name="Tc_viwyiksb-k6UgtiJpe-tmg_26_0"/>
      <w:bookmarkStart w:id="64" w:name="Tc_vIxm4jAwA0W3kNSlzCpLbQ_25_0"/>
      <w:bookmarkStart w:id="65" w:name="Tc_2AlvNc8cQUWTLKDGr_PnXg_24_0"/>
      <w:bookmarkStart w:id="66" w:name="Tc_EZakprUTfkWnrpzivhfy9A_23_0"/>
      <w:bookmarkStart w:id="67" w:name="Tc_jOR6VwU6LUeDEB4t0Ptd6w_22_0"/>
      <w:bookmarkStart w:id="68" w:name="Tc_N6T7ZzvAKk-LH7QunDmEqA_21_0"/>
      <w:bookmarkStart w:id="69" w:name="Tc_k-1qMTYKUUGlc1JP_nsvgQ_20_0"/>
      <w:bookmarkStart w:id="70" w:name="Tc_OzuUroPz6UuLfQTPkwWPKw_19_5"/>
      <w:bookmarkStart w:id="71" w:name="Tc_za0AGyPaP0ihGfJoCYkdbg_19_2"/>
      <w:bookmarkStart w:id="72" w:name="Tc_1FaOe49IxEO7QDD_MDPmqw_19_0"/>
      <w:bookmarkStart w:id="73" w:name="Tc_AQhu_kXuzkSNTbUNUoYWCg_18_0"/>
      <w:bookmarkStart w:id="74" w:name="Tc_HhipVFfe_EexwJ-ZLj9Log_17_0"/>
      <w:bookmarkStart w:id="75" w:name="Tc_fgqwtgo9Pk61I11wBlAw6Q_16_5"/>
      <w:bookmarkStart w:id="76" w:name="Tc_MTkLp1TN-0mxRI-OTgvBKA_16_2"/>
      <w:bookmarkStart w:id="77" w:name="Tc_bndpA27MHkSdaD1dNakN-A_16_0"/>
      <w:bookmarkStart w:id="78" w:name="Tc_dg4_u-igREWWZtTR-Xazow_15_0"/>
      <w:bookmarkStart w:id="79" w:name="Tc_WrWRsfw0TUGXT76MwiGgWw_14_0"/>
      <w:bookmarkStart w:id="80" w:name="Tc_bE6pvq2udEusq90waSZopw_13_0"/>
      <w:bookmarkStart w:id="81" w:name="Tc_AFqInktokEimfqRdqbmqTA_12_0"/>
      <w:bookmarkStart w:id="82" w:name="Tc_aBxe9zdPxU2DIbBGm0mKEg_11_0"/>
      <w:bookmarkStart w:id="83" w:name="Tc_MqHZx9i0YE-CgpmV5iILvA_10_0"/>
      <w:bookmarkStart w:id="84" w:name="Tc_qzJVMqdAaEu0SX17jFemJA_9_0"/>
      <w:bookmarkStart w:id="85" w:name="Tc_dzxbPDoFskas9F2pUsXMDg_8_0"/>
      <w:bookmarkStart w:id="86" w:name="Tc_7aTnTaWwYkq99-yKbU1Ojg_7_5"/>
      <w:bookmarkStart w:id="87" w:name="Tc_mXRK2iipbkCYCodSpqTVeg_7_2"/>
      <w:bookmarkStart w:id="88" w:name="Tc_iG-ogmK9702lXCxrEQqnUw_7_0"/>
      <w:bookmarkStart w:id="89" w:name="Tc_kxsUghYLQkCIL9bcfaD30w_6_0"/>
      <w:bookmarkStart w:id="90" w:name="Tc_lFudxSbTtEm38I3dSRNsWA_5_0"/>
      <w:bookmarkStart w:id="91" w:name="Tc_orQDNZ0LLk60EWutcLJu-Q_4_2"/>
      <w:bookmarkStart w:id="92" w:name="Tc_bKVv2vtWHUWcwWedsUEWzA_3_2"/>
      <w:bookmarkStart w:id="93" w:name="Tc_-qyyvntan0WyR1ZrnSV3Uw_2_5"/>
      <w:bookmarkStart w:id="94" w:name="Tc_1esDGGMGyEm4VsrFJGXxKA_2_2"/>
      <w:bookmarkStart w:id="95" w:name="Tc__My6oeFIv0ujsZxKykYh4g_1_5"/>
      <w:bookmarkStart w:id="96" w:name="Tc_DrWOmT4Y50yARj_ISkDWJQ_1_2"/>
      <w:bookmarkStart w:id="97" w:name="_fbc6fa2d_e5ee_4687_820d_d83e0ecf3c13"/>
      <w:bookmarkStart w:id="98" w:name="Tc_Aa9NcU6f30-Bi9P6brsAzA_35_5"/>
      <w:bookmarkStart w:id="99" w:name="Tc_I_MbTyPbKESZ3VWv-Qwr3w_35_2"/>
      <w:bookmarkStart w:id="100" w:name="Tc_RvYofVb_QUWs0owz_yxGiQ_35_0"/>
      <w:bookmarkStart w:id="101" w:name="Tc_wleMHqIwrU-IFPhCuCT2NA_34_0"/>
      <w:bookmarkStart w:id="102" w:name="Tc_GKa7RCgpFUK_TXcse1FlLA_33_0"/>
      <w:bookmarkStart w:id="103" w:name="Tc_b0o-bm5QPEeqqTolJhxUdw_32_0"/>
      <w:bookmarkStart w:id="104" w:name="Tc_gdSKHD510ESxN6sYZ2fPfA_31_0"/>
      <w:bookmarkStart w:id="105" w:name="Tc_PsYUT2goJ0OOhwmOal02Kw_30_0"/>
      <w:bookmarkStart w:id="106" w:name="Tc_Fd2bEEpsikWXxzKvx5jLYQ_29_0"/>
      <w:bookmarkStart w:id="107" w:name="Tc_bnk-gyl6_Uixbs9PoYVAQg_28_0"/>
      <w:bookmarkStart w:id="108" w:name="Tc__5z-r9wCH0KTtTexZuL5tw_27_0"/>
      <w:bookmarkStart w:id="109" w:name="Tc_viwyiksb-k6UgtiJpe-tmg_26_0"/>
      <w:bookmarkStart w:id="110" w:name="Tc_vIxm4jAwA0W3kNSlzCpLbQ_25_0"/>
      <w:bookmarkStart w:id="111" w:name="Tc_2AlvNc8cQUWTLKDGr_PnXg_24_0"/>
      <w:bookmarkStart w:id="112" w:name="Tc_EZakprUTfkWnrpzivhfy9A_23_0"/>
      <w:bookmarkStart w:id="113" w:name="Tc_jOR6VwU6LUeDEB4t0Ptd6w_22_0"/>
      <w:bookmarkStart w:id="114" w:name="Tc_N6T7ZzvAKk-LH7QunDmEqA_21_0"/>
      <w:bookmarkStart w:id="115" w:name="Tc_k-1qMTYKUUGlc1JP_nsvgQ_20_0"/>
      <w:bookmarkStart w:id="116" w:name="Tc_OzuUroPz6UuLfQTPkwWPKw_19_5"/>
      <w:bookmarkStart w:id="117" w:name="Tc_za0AGyPaP0ihGfJoCYkdbg_19_2"/>
      <w:bookmarkStart w:id="118" w:name="Tc_1FaOe49IxEO7QDD_MDPmqw_19_0"/>
      <w:bookmarkStart w:id="119" w:name="Tc_AQhu_kXuzkSNTbUNUoYWCg_18_0"/>
      <w:bookmarkStart w:id="120" w:name="Tc_HhipVFfe_EexwJ-ZLj9Log_17_0"/>
      <w:bookmarkStart w:id="121" w:name="Tc_fgqwtgo9Pk61I11wBlAw6Q_16_5"/>
      <w:bookmarkStart w:id="122" w:name="Tc_MTkLp1TN-0mxRI-OTgvBKA_16_2"/>
      <w:bookmarkStart w:id="123" w:name="Tc_bndpA27MHkSdaD1dNakN-A_16_0"/>
      <w:bookmarkStart w:id="124" w:name="Tc_dg4_u-igREWWZtTR-Xazow_15_0"/>
      <w:bookmarkStart w:id="125" w:name="Tc_WrWRsfw0TUGXT76MwiGgWw_14_0"/>
      <w:bookmarkStart w:id="126" w:name="Tc_bE6pvq2udEusq90waSZopw_13_0"/>
      <w:bookmarkStart w:id="127" w:name="Tc_AFqInktokEimfqRdqbmqTA_12_0"/>
      <w:bookmarkStart w:id="128" w:name="Tc_aBxe9zdPxU2DIbBGm0mKEg_11_0"/>
      <w:bookmarkStart w:id="129" w:name="Tc_MqHZx9i0YE-CgpmV5iILvA_10_0"/>
      <w:bookmarkStart w:id="130" w:name="Tc_qzJVMqdAaEu0SX17jFemJA_9_0"/>
      <w:bookmarkStart w:id="131" w:name="Tc_dzxbPDoFskas9F2pUsXMDg_8_0"/>
      <w:bookmarkStart w:id="132" w:name="Tc_7aTnTaWwYkq99-yKbU1Ojg_7_5"/>
      <w:bookmarkStart w:id="133" w:name="Tc_mXRK2iipbkCYCodSpqTVeg_7_2"/>
      <w:bookmarkStart w:id="134" w:name="Tc_iG-ogmK9702lXCxrEQqnUw_7_0"/>
      <w:bookmarkStart w:id="135" w:name="Tc_kxsUghYLQkCIL9bcfaD30w_6_0"/>
      <w:bookmarkStart w:id="136" w:name="Tc_lFudxSbTtEm38I3dSRNsWA_5_0"/>
      <w:bookmarkStart w:id="137" w:name="Tc_orQDNZ0LLk60EWutcLJu-Q_4_2"/>
      <w:bookmarkStart w:id="138" w:name="Tc_bKVv2vtWHUWcwWedsUEWzA_3_2"/>
      <w:bookmarkStart w:id="139" w:name="Tc_-qyyvntan0WyR1ZrnSV3Uw_2_5"/>
      <w:bookmarkStart w:id="140" w:name="Tc_1esDGGMGyEm4VsrFJGXxKA_2_2"/>
      <w:bookmarkStart w:id="141" w:name="Tc__My6oeFIv0ujsZxKykYh4g_1_5"/>
      <w:bookmarkStart w:id="142" w:name="Tc_DrWOmT4Y50yARj_ISkDWJQ_1_2"/>
      <w:bookmarkStart w:id="143" w:name="_fbc6fa2d_e5ee_4687_820d_d83e0ecf3c13"/>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6828"/>
        <w:gridCol w:w="346"/>
        <w:gridCol w:w="211"/>
        <w:gridCol w:w="1036"/>
        <w:gridCol w:w="346"/>
        <w:gridCol w:w="211"/>
        <w:gridCol w:w="1036"/>
        <w:gridCol w:w="191"/>
      </w:tblGrid>
      <w:tr>
        <w:trPr/>
        <w:tc>
          <w:tcPr>
            <w:tcW w:w="6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35780" cy="175260"/>
                      <wp:effectExtent l="0" t="0" r="0" b="0"/>
                      <wp:wrapNone/>
                      <wp:docPr id="142" name="Frame141"/>
                      <a:graphic xmlns:a="http://schemas.openxmlformats.org/drawingml/2006/main">
                        <a:graphicData uri="http://schemas.microsoft.com/office/word/2010/wordprocessingShape">
                          <wps:wsp>
                            <wps:cNvSpPr txBox="1"/>
                            <wps:spPr>
                              <a:xfrm>
                                <a:off x="0" y="0"/>
                                <a:ext cx="433578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57860" cy="175260"/>
                      <wp:effectExtent l="0" t="0" r="0" b="0"/>
                      <wp:wrapNone/>
                      <wp:docPr id="145" name="Frame14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8" name="Frame1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1285" cy="175260"/>
                      <wp:effectExtent l="0" t="0" r="0" b="0"/>
                      <wp:wrapNone/>
                      <wp:docPr id="149" name="Frame14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6828"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  ​ ​ ​</w:t>
            </w:r>
          </w:p>
        </w:tc>
        <w:tc>
          <w:tcPr>
            <w:tcW w:w="124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lineRule="atLeast" w:line="240" w:before="0" w:after="0"/>
              <w:ind w:left="0" w:right="0" w:hanging="0"/>
              <w:jc w:val="center"/>
              <w:rPr/>
            </w:pPr>
            <w:r>
              <w:rPr/>
              <w:t>  ​ ​ ​</w:t>
            </w:r>
          </w:p>
        </w:tc>
        <w:tc>
          <w:tcPr>
            <w:tcW w:w="124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6828"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lineRule="atLeast" w:line="240"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828"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w:t>
            </w:r>
          </w:p>
        </w:tc>
        <w:tc>
          <w:tcPr>
            <w:tcW w:w="2840"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share</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6828"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w:t>
            </w:r>
          </w:p>
        </w:tc>
        <w:tc>
          <w:tcPr>
            <w:tcW w:w="2840"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amounts)</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6828" w:type="dxa"/>
            <w:tcBorders/>
            <w:shd w:fill="CCEEFF" w:val="cle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tLeast" w:line="240" w:before="0" w:after="0"/>
              <w:ind w:left="0" w:right="0" w:hanging="0"/>
              <w:jc w:val="center"/>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155,396</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192,428</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6,882,965</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4,327,450</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6,069,419</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5,235,485</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226,043</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263,374</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13,333,823</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10,018,737</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644,574</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667,247</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810,163</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837,031</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248,958</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201,896</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387,875</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393,642</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15,425,393</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12,118,553</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lineRule="atLeast" w:line="240" w:before="0" w:after="0"/>
              <w:ind w:left="0" w:right="0" w:hanging="0"/>
              <w:jc w:val="center"/>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733,952</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6,054,326</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3,487,419</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659,266</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497,154</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55,888</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56,247</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7,503,432</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4,128,104</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2,478,864</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2,574,729</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207,111</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159,449</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213,483</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244,776</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10,402,890</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7,107,058</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13)</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1036" w:type="dxa"/>
            <w:tcBorders/>
            <w:vAlign w:val="center"/>
          </w:tcPr>
          <w:p>
            <w:pPr>
              <w:pStyle w:val="TableContents"/>
              <w:bidi w:val="0"/>
              <w:spacing w:lineRule="atLeast" w:line="240" w:before="0" w:after="0"/>
              <w:ind w:left="0" w:right="0" w:hanging="0"/>
              <w:jc w:val="right"/>
              <w:rPr/>
            </w:pPr>
            <w:r>
              <w:rPr/>
              <w:t>​</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1036" w:type="dxa"/>
            <w:tcBorders/>
            <w:shd w:fill="CCEEFF" w:val="clear"/>
            <w:vAlign w:val="center"/>
          </w:tcPr>
          <w:p>
            <w:pPr>
              <w:pStyle w:val="TableContents"/>
              <w:bidi w:val="0"/>
              <w:spacing w:lineRule="atLeast" w:line="240" w:before="0" w:after="0"/>
              <w:ind w:left="0" w:right="0" w:hanging="0"/>
              <w:jc w:val="right"/>
              <w:rPr/>
            </w:pPr>
            <w:r>
              <w:rPr/>
              <w:t>​</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Common stock $1.00 par; authorized 300,000,000 shares; issued 82,082,259 shares and 83,853,935 shares, respectively</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82,082</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83,854</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1,802,639</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103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1,755,141</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3,513,176</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103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3,430,193</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(375,394)</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(257,693)</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r>
        <w:trPr/>
        <w:tc>
          <w:tcPr>
            <w:tcW w:w="682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5,022,503</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5,011,495</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6828"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15,425,393</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12,118,553</w:t>
            </w:r>
          </w:p>
        </w:tc>
        <w:tc>
          <w:tcPr>
            <w:tcW w:w="191" w:type="dxa"/>
            <w:tcBorders/>
            <w:shd w:fill="CCEEFF" w:val="clear"/>
            <w:vAlign w:val="center"/>
          </w:tcPr>
          <w:p>
            <w:pPr>
              <w:pStyle w:val="TableContents"/>
              <w:bidi w:val="0"/>
              <w:spacing w:lineRule="atLeast" w:line="240"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144" w:name="_e4c2dd53_0c46_4bb0_abf4_44045c904a3f"/>
      <w:bookmarkEnd w:id="144"/>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bookmarkStart w:id="145" w:name="CONSOLIDATEDSTATEMENTSOFOPERATIONS_56208"/>
      <w:bookmarkEnd w:id="145"/>
      <w:r>
        <w:rPr>
          <w:rFonts w:ascii="Times New Roman;Times;serif" w:hAnsi="Times New Roman;Times;serif"/>
          <w:b/>
          <w:sz w:val="20"/>
        </w:rPr>
        <w:t>CONSOLIDATED STATEMENTS OF OPERATIONS</w:t>
      </w:r>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pPr>
      <w:r>
        <w:rPr/>
        <w:t>​</w:t>
      </w:r>
    </w:p>
    <w:p>
      <w:pPr>
        <w:pStyle w:val="Normal"/>
        <w:bidi w:val="0"/>
        <w:spacing w:before="0" w:after="0"/>
        <w:jc w:val="left"/>
        <w:rPr>
          <w:sz w:val="4"/>
          <w:szCs w:val="4"/>
        </w:rPr>
      </w:pPr>
      <w:r>
        <w:rPr>
          <w:sz w:val="4"/>
          <w:szCs w:val="4"/>
        </w:rPr>
      </w:r>
      <w:bookmarkStart w:id="146" w:name="Tc_H11bMWeen0u6DH6Qt-BQqg_25_8"/>
      <w:bookmarkStart w:id="147" w:name="Tc_zkjSGXT9ik-iIp7QsymGpQ_25_5"/>
      <w:bookmarkStart w:id="148" w:name="Tc_JyacMNssI0y7kLCLm0vYeA_25_2"/>
      <w:bookmarkStart w:id="149" w:name="Tc_t1r1lOVOhkSDVd8-uoWSbA_25_0"/>
      <w:bookmarkStart w:id="150" w:name="Tc_hXjlTjLypkWdYFUFHPvdfA_24_0"/>
      <w:bookmarkStart w:id="151" w:name="Tc_nSHlmRywJU2HMlBIZJqOog_23_0"/>
      <w:bookmarkStart w:id="152" w:name="Tc_0wAqDiSUUUCCAk_8NBWSdg_22_0"/>
      <w:bookmarkStart w:id="153" w:name="Tc_El-5q27iOUWcOjLWuvmJ1A_20_8"/>
      <w:bookmarkStart w:id="154" w:name="Tc_TYNo6kVKwEmcqJLhI9as_Q_20_5"/>
      <w:bookmarkStart w:id="155" w:name="Tc_v5rmVntEwUmGTiEPZIgOZA_20_2"/>
      <w:bookmarkStart w:id="156" w:name="Tc_vxhXQYfVD0SRlXASecxeJg_20_0"/>
      <w:bookmarkStart w:id="157" w:name="Tc_-yOygiJLqEuOSxQGXjqumQ_19_8"/>
      <w:bookmarkStart w:id="158" w:name="Tc_1xsTFxxAVk-YLdBzdTbp8w_19_5"/>
      <w:bookmarkStart w:id="159" w:name="Tc_g_ZWKLS7LUKteaDB2r0oMQ_19_2"/>
      <w:bookmarkStart w:id="160" w:name="Tc_yxNkC_hb0EWHMBB2S49IVA_19_0"/>
      <w:bookmarkStart w:id="161" w:name="Tc_9J-ZYCAc-UCgneEHs9ueEQ_18_0"/>
      <w:bookmarkStart w:id="162" w:name="Tc_Qw3vZfB0FkqO1_9pZo308w_16_8"/>
      <w:bookmarkStart w:id="163" w:name="Tc_ebo4cHywl06bFtNzs00wLg_16_5"/>
      <w:bookmarkStart w:id="164" w:name="Tc_v_aVzxSG7EiSWqQXGM9EBw_16_2"/>
      <w:bookmarkStart w:id="165" w:name="Tc_Wpqyb_J3dUytmaPia2Uc9A_16_0"/>
      <w:bookmarkStart w:id="166" w:name="Tc_GN2vlxVMOE21G5qdeIHcyA_15_0"/>
      <w:bookmarkStart w:id="167" w:name="Tc_YHsbLlsfgEyAhgvoRNsUpw_14_0"/>
      <w:bookmarkStart w:id="168" w:name="Tc_KhnmOK73YEW8NwC9f-mjVQ_13_6"/>
      <w:bookmarkStart w:id="169" w:name="Tc_W0SazPtLqkOHiaQeY0vMbA_13_3"/>
      <w:bookmarkStart w:id="170" w:name="Tc__JV3KkS5K0GJuTrHQExnDQ_13_0"/>
      <w:bookmarkStart w:id="171" w:name="Tc_NDi3z0LlmUuE6A0yowVubg_12_0"/>
      <w:bookmarkStart w:id="172" w:name="Tc_KG0OgWJMpEyGywVHlyxoIA_11_0"/>
      <w:bookmarkStart w:id="173" w:name="Tc_EIKQkitcDE-FYob9WEyIPQ_10_0"/>
      <w:bookmarkStart w:id="174" w:name="Tc_G1UmFM7V90OxozE83q5fvA_9_0"/>
      <w:bookmarkStart w:id="175" w:name="Tc_lbp8jtT_0EKZXr1cFnKd6w_8_0"/>
      <w:bookmarkStart w:id="176" w:name="Tc_xfHGs8RVFkOg61E9_2IeDQ_7_0"/>
      <w:bookmarkStart w:id="177" w:name="Tc_z0csHULexEaPJfmfJuXrhg_5_8"/>
      <w:bookmarkStart w:id="178" w:name="Tc_bfTq75v8cE2Bg9inDXFpkg_5_5"/>
      <w:bookmarkStart w:id="179" w:name="Tc_VZmX8z-Cb0GkrJamoxjjeA_5_2"/>
      <w:bookmarkStart w:id="180" w:name="Tc_qBvXM-KHiE2u3-cXbnsBrA_4_2"/>
      <w:bookmarkStart w:id="181" w:name="Tc_G0nddsA7m0iek2Oa_dnZig_3_8"/>
      <w:bookmarkStart w:id="182" w:name="Tc_dSCNaleQaEGiKDHtUBTJ1A_3_5"/>
      <w:bookmarkStart w:id="183" w:name="Tc_e4WO1W1XKEmyd7Xj4AT3nA_3_2"/>
      <w:bookmarkStart w:id="184" w:name="Tc_9aN-WSRSo0mzAeTKPgidTg_2_8"/>
      <w:bookmarkStart w:id="185" w:name="Tc_NJfUsCSMREWHgb8s5-spPg_2_5"/>
      <w:bookmarkStart w:id="186" w:name="Tc_yJcKS0C_IkSpltauCr7TRA_2_2"/>
      <w:bookmarkStart w:id="187" w:name="Tc_2w0c8vBCXU6nhcI2GGC_hA_1_2"/>
      <w:bookmarkStart w:id="188" w:name="_e3c4abd6_8f44_4d93_bf47_977cb55afcd9"/>
      <w:bookmarkStart w:id="189" w:name="Tc_H11bMWeen0u6DH6Qt-BQqg_25_8"/>
      <w:bookmarkStart w:id="190" w:name="Tc_zkjSGXT9ik-iIp7QsymGpQ_25_5"/>
      <w:bookmarkStart w:id="191" w:name="Tc_JyacMNssI0y7kLCLm0vYeA_25_2"/>
      <w:bookmarkStart w:id="192" w:name="Tc_t1r1lOVOhkSDVd8-uoWSbA_25_0"/>
      <w:bookmarkStart w:id="193" w:name="Tc_hXjlTjLypkWdYFUFHPvdfA_24_0"/>
      <w:bookmarkStart w:id="194" w:name="Tc_nSHlmRywJU2HMlBIZJqOog_23_0"/>
      <w:bookmarkStart w:id="195" w:name="Tc_0wAqDiSUUUCCAk_8NBWSdg_22_0"/>
      <w:bookmarkStart w:id="196" w:name="Tc_El-5q27iOUWcOjLWuvmJ1A_20_8"/>
      <w:bookmarkStart w:id="197" w:name="Tc_TYNo6kVKwEmcqJLhI9as_Q_20_5"/>
      <w:bookmarkStart w:id="198" w:name="Tc_v5rmVntEwUmGTiEPZIgOZA_20_2"/>
      <w:bookmarkStart w:id="199" w:name="Tc_vxhXQYfVD0SRlXASecxeJg_20_0"/>
      <w:bookmarkStart w:id="200" w:name="Tc_-yOygiJLqEuOSxQGXjqumQ_19_8"/>
      <w:bookmarkStart w:id="201" w:name="Tc_1xsTFxxAVk-YLdBzdTbp8w_19_5"/>
      <w:bookmarkStart w:id="202" w:name="Tc_g_ZWKLS7LUKteaDB2r0oMQ_19_2"/>
      <w:bookmarkStart w:id="203" w:name="Tc_yxNkC_hb0EWHMBB2S49IVA_19_0"/>
      <w:bookmarkStart w:id="204" w:name="Tc_9J-ZYCAc-UCgneEHs9ueEQ_18_0"/>
      <w:bookmarkStart w:id="205" w:name="Tc_Qw3vZfB0FkqO1_9pZo308w_16_8"/>
      <w:bookmarkStart w:id="206" w:name="Tc_ebo4cHywl06bFtNzs00wLg_16_5"/>
      <w:bookmarkStart w:id="207" w:name="Tc_v_aVzxSG7EiSWqQXGM9EBw_16_2"/>
      <w:bookmarkStart w:id="208" w:name="Tc_Wpqyb_J3dUytmaPia2Uc9A_16_0"/>
      <w:bookmarkStart w:id="209" w:name="Tc_GN2vlxVMOE21G5qdeIHcyA_15_0"/>
      <w:bookmarkStart w:id="210" w:name="Tc_YHsbLlsfgEyAhgvoRNsUpw_14_0"/>
      <w:bookmarkStart w:id="211" w:name="Tc_KhnmOK73YEW8NwC9f-mjVQ_13_6"/>
      <w:bookmarkStart w:id="212" w:name="Tc_W0SazPtLqkOHiaQeY0vMbA_13_3"/>
      <w:bookmarkStart w:id="213" w:name="Tc__JV3KkS5K0GJuTrHQExnDQ_13_0"/>
      <w:bookmarkStart w:id="214" w:name="Tc_NDi3z0LlmUuE6A0yowVubg_12_0"/>
      <w:bookmarkStart w:id="215" w:name="Tc_KG0OgWJMpEyGywVHlyxoIA_11_0"/>
      <w:bookmarkStart w:id="216" w:name="Tc_EIKQkitcDE-FYob9WEyIPQ_10_0"/>
      <w:bookmarkStart w:id="217" w:name="Tc_G1UmFM7V90OxozE83q5fvA_9_0"/>
      <w:bookmarkStart w:id="218" w:name="Tc_lbp8jtT_0EKZXr1cFnKd6w_8_0"/>
      <w:bookmarkStart w:id="219" w:name="Tc_xfHGs8RVFkOg61E9_2IeDQ_7_0"/>
      <w:bookmarkStart w:id="220" w:name="Tc_z0csHULexEaPJfmfJuXrhg_5_8"/>
      <w:bookmarkStart w:id="221" w:name="Tc_bfTq75v8cE2Bg9inDXFpkg_5_5"/>
      <w:bookmarkStart w:id="222" w:name="Tc_VZmX8z-Cb0GkrJamoxjjeA_5_2"/>
      <w:bookmarkStart w:id="223" w:name="Tc_qBvXM-KHiE2u3-cXbnsBrA_4_2"/>
      <w:bookmarkStart w:id="224" w:name="Tc_G0nddsA7m0iek2Oa_dnZig_3_8"/>
      <w:bookmarkStart w:id="225" w:name="Tc_dSCNaleQaEGiKDHtUBTJ1A_3_5"/>
      <w:bookmarkStart w:id="226" w:name="Tc_e4WO1W1XKEmyd7Xj4AT3nA_3_2"/>
      <w:bookmarkStart w:id="227" w:name="Tc_9aN-WSRSo0mzAeTKPgidTg_2_8"/>
      <w:bookmarkStart w:id="228" w:name="Tc_NJfUsCSMREWHgb8s5-spPg_2_5"/>
      <w:bookmarkStart w:id="229" w:name="Tc_yJcKS0C_IkSpltauCr7TRA_2_2"/>
      <w:bookmarkStart w:id="230" w:name="Tc_2w0c8vBCXU6nhcI2GGC_hA_1_2"/>
      <w:bookmarkStart w:id="231" w:name="_e3c4abd6_8f44_4d93_bf47_977cb55afcd9"/>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tbl>
      <w:tblPr>
        <w:tblW w:w="8680" w:type="dxa"/>
        <w:jc w:val="left"/>
        <w:tblInd w:w="0" w:type="dxa"/>
        <w:tblLayout w:type="fixed"/>
        <w:tblCellMar>
          <w:top w:w="0" w:type="dxa"/>
          <w:left w:w="0" w:type="dxa"/>
          <w:bottom w:w="0" w:type="dxa"/>
          <w:right w:w="0" w:type="dxa"/>
        </w:tblCellMar>
      </w:tblPr>
      <w:tblGrid>
        <w:gridCol w:w="3856"/>
        <w:gridCol w:w="346"/>
        <w:gridCol w:w="211"/>
        <w:gridCol w:w="1036"/>
        <w:gridCol w:w="346"/>
        <w:gridCol w:w="211"/>
        <w:gridCol w:w="1036"/>
        <w:gridCol w:w="346"/>
        <w:gridCol w:w="211"/>
        <w:gridCol w:w="108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448560" cy="175260"/>
                      <wp:effectExtent l="0" t="0" r="0" b="0"/>
                      <wp:wrapNone/>
                      <wp:docPr id="150" name="Frame149"/>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57860" cy="175260"/>
                      <wp:effectExtent l="0" t="0" r="0" b="0"/>
                      <wp:wrapNone/>
                      <wp:docPr id="153" name="Frame1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57860" cy="175260"/>
                      <wp:effectExtent l="0" t="0" r="0" b="0"/>
                      <wp:wrapNone/>
                      <wp:docPr id="156" name="Frame1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86435" cy="175260"/>
                      <wp:effectExtent l="0" t="0" r="0" b="0"/>
                      <wp:wrapNone/>
                      <wp:docPr id="159" name="Frame15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7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2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68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7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amounts)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27,632,683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22,200,754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23,757,129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24,750,787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19,815,798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20,990,687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2,384,956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2,766,442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2,022,408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1,869,525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844,367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(246,402)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(282,867)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legal settlements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86,499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632,263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133,564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498,699</w:t>
            </w:r>
          </w:p>
        </w:tc>
      </w:tr>
      <w:tr>
        <w:trPr/>
        <w:tc>
          <w:tcPr>
            <w:tcW w:w="3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3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91,837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232" w:name="_46b2c3c9_27cc_43c6_ae9b_c3b33d8e3906"/>
      <w:bookmarkEnd w:id="232"/>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bookmarkStart w:id="233" w:name="CONSOLIDATEDSTATEMENTSOFCOMPREHENSIVEINC"/>
      <w:bookmarkEnd w:id="233"/>
      <w:r>
        <w:rPr>
          <w:rFonts w:ascii="Times New Roman;Times;serif" w:hAnsi="Times New Roman;Times;serif"/>
          <w:b/>
          <w:sz w:val="20"/>
        </w:rPr>
        <w:t>CONSOLIDATED STATEMENTS OF COMPREHENSIVE INCOME</w:t>
      </w:r>
    </w:p>
    <w:p>
      <w:pPr>
        <w:pStyle w:val="TextBody"/>
        <w:bidi w:val="0"/>
        <w:spacing w:lineRule="atLeast" w:line="200" w:before="0" w:after="0"/>
        <w:ind w:left="0" w:right="0" w:hanging="0"/>
        <w:jc w:val="left"/>
        <w:rPr/>
      </w:pPr>
      <w:r>
        <w:rPr/>
        <w:t>​</w:t>
      </w:r>
    </w:p>
    <w:p>
      <w:pPr>
        <w:pStyle w:val="Normal"/>
        <w:bidi w:val="0"/>
        <w:spacing w:before="0" w:after="0"/>
        <w:jc w:val="left"/>
        <w:rPr>
          <w:sz w:val="4"/>
          <w:szCs w:val="4"/>
        </w:rPr>
      </w:pPr>
      <w:r>
        <w:rPr>
          <w:sz w:val="4"/>
          <w:szCs w:val="4"/>
        </w:rPr>
      </w:r>
      <w:bookmarkStart w:id="234" w:name="Tc_6Z4JaqorQE6WAY5xQyvqXA_11_8"/>
      <w:bookmarkStart w:id="235" w:name="Tc_FoNRRcQDR0mxMroBiK3xUA_11_5"/>
      <w:bookmarkStart w:id="236" w:name="Tc_6DDJ7Txstk6rsaQLrMaHdA_11_2"/>
      <w:bookmarkStart w:id="237" w:name="Tc_7XU0HwdtBEixyJNd_JnMGA_11_0"/>
      <w:bookmarkStart w:id="238" w:name="Tc_jeiP-a-NkEmJLf_QJBQAFg_10_0"/>
      <w:bookmarkStart w:id="239" w:name="Tc_KF1dhR9dxEqbMflrOXYM6A_9_0"/>
      <w:bookmarkStart w:id="240" w:name="Tc_JCAIk3AXIUSdexvps33ZfA_8_0"/>
      <w:bookmarkStart w:id="241" w:name="Tc_O-6uGNmFHk2t3pmeyXwiJA_7_0"/>
      <w:bookmarkStart w:id="242" w:name="Tc_BP1HcRUDLke4mYaPvuC7hw_6_0"/>
      <w:bookmarkStart w:id="243" w:name="Tc_zOD_kOwt50aT6uplGlbKJQ_5_8"/>
      <w:bookmarkStart w:id="244" w:name="Tc_GlIVFw9NR0OIRJAU9fs4Tg_5_5"/>
      <w:bookmarkStart w:id="245" w:name="Tc_9AaxD7t9FkeCCOijzMlDgw_5_2"/>
      <w:bookmarkStart w:id="246" w:name="Tc_K5u07P1N8EaKTYUK4XDppQ_5_0"/>
      <w:bookmarkStart w:id="247" w:name="Tc_gfsExcawQ0mBjyn2fD9xoQ_4_2"/>
      <w:bookmarkStart w:id="248" w:name="Tc_DFKw4P4PLUu1mfmSTyaHYA_3_8"/>
      <w:bookmarkStart w:id="249" w:name="Tc_IYQ2BP-jZE2P_VEUVoiTZQ_3_5"/>
      <w:bookmarkStart w:id="250" w:name="Tc_PX-9-9gsH0enzG52ToPhgw_3_2"/>
      <w:bookmarkStart w:id="251" w:name="Tc_eOZJEcj-gEqMHyXuvPt0_A_2_8"/>
      <w:bookmarkStart w:id="252" w:name="Tc_U3-pN89LfUOM4D0O3InTeg_2_5"/>
      <w:bookmarkStart w:id="253" w:name="Tc_2FHLyD6GQUeudU0MEolsEw_2_2"/>
      <w:bookmarkStart w:id="254" w:name="Tc_cIzsEyniOkSDNhh7TNAL7Q_1_2"/>
      <w:bookmarkStart w:id="255" w:name="_04fac253_c253_4a0f_8b62_357a0c65d071"/>
      <w:bookmarkStart w:id="256" w:name="Tc_6Z4JaqorQE6WAY5xQyvqXA_11_8"/>
      <w:bookmarkStart w:id="257" w:name="Tc_FoNRRcQDR0mxMroBiK3xUA_11_5"/>
      <w:bookmarkStart w:id="258" w:name="Tc_6DDJ7Txstk6rsaQLrMaHdA_11_2"/>
      <w:bookmarkStart w:id="259" w:name="Tc_7XU0HwdtBEixyJNd_JnMGA_11_0"/>
      <w:bookmarkStart w:id="260" w:name="Tc_jeiP-a-NkEmJLf_QJBQAFg_10_0"/>
      <w:bookmarkStart w:id="261" w:name="Tc_KF1dhR9dxEqbMflrOXYM6A_9_0"/>
      <w:bookmarkStart w:id="262" w:name="Tc_JCAIk3AXIUSdexvps33ZfA_8_0"/>
      <w:bookmarkStart w:id="263" w:name="Tc_O-6uGNmFHk2t3pmeyXwiJA_7_0"/>
      <w:bookmarkStart w:id="264" w:name="Tc_BP1HcRUDLke4mYaPvuC7hw_6_0"/>
      <w:bookmarkStart w:id="265" w:name="Tc_zOD_kOwt50aT6uplGlbKJQ_5_8"/>
      <w:bookmarkStart w:id="266" w:name="Tc_GlIVFw9NR0OIRJAU9fs4Tg_5_5"/>
      <w:bookmarkStart w:id="267" w:name="Tc_9AaxD7t9FkeCCOijzMlDgw_5_2"/>
      <w:bookmarkStart w:id="268" w:name="Tc_K5u07P1N8EaKTYUK4XDppQ_5_0"/>
      <w:bookmarkStart w:id="269" w:name="Tc_gfsExcawQ0mBjyn2fD9xoQ_4_2"/>
      <w:bookmarkStart w:id="270" w:name="Tc_DFKw4P4PLUu1mfmSTyaHYA_3_8"/>
      <w:bookmarkStart w:id="271" w:name="Tc_IYQ2BP-jZE2P_VEUVoiTZQ_3_5"/>
      <w:bookmarkStart w:id="272" w:name="Tc_PX-9-9gsH0enzG52ToPhgw_3_2"/>
      <w:bookmarkStart w:id="273" w:name="Tc_eOZJEcj-gEqMHyXuvPt0_A_2_8"/>
      <w:bookmarkStart w:id="274" w:name="Tc_U3-pN89LfUOM4D0O3InTeg_2_5"/>
      <w:bookmarkStart w:id="275" w:name="Tc_2FHLyD6GQUeudU0MEolsEw_2_2"/>
      <w:bookmarkStart w:id="276" w:name="Tc_cIzsEyniOkSDNhh7TNAL7Q_1_2"/>
      <w:bookmarkStart w:id="277" w:name="_04fac253_c253_4a0f_8b62_357a0c65d071"/>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8530" w:type="dxa"/>
        <w:jc w:val="left"/>
        <w:tblInd w:w="0" w:type="dxa"/>
        <w:tblLayout w:type="fixed"/>
        <w:tblCellMar>
          <w:top w:w="0" w:type="dxa"/>
          <w:left w:w="0" w:type="dxa"/>
          <w:bottom w:w="0" w:type="dxa"/>
          <w:right w:w="0" w:type="dxa"/>
        </w:tblCellMar>
      </w:tblPr>
      <w:tblGrid>
        <w:gridCol w:w="4276"/>
        <w:gridCol w:w="346"/>
        <w:gridCol w:w="211"/>
        <w:gridCol w:w="901"/>
        <w:gridCol w:w="346"/>
        <w:gridCol w:w="211"/>
        <w:gridCol w:w="796"/>
        <w:gridCol w:w="346"/>
        <w:gridCol w:w="211"/>
        <w:gridCol w:w="88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715260" cy="175260"/>
                      <wp:effectExtent l="0" t="0" r="0" b="0"/>
                      <wp:wrapNone/>
                      <wp:docPr id="160" name="Frame15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2135" cy="175260"/>
                      <wp:effectExtent l="0" t="0" r="0" b="0"/>
                      <wp:wrapNone/>
                      <wp:docPr id="163" name="Frame16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05460" cy="175260"/>
                      <wp:effectExtent l="0" t="0" r="0" b="0"/>
                      <wp:wrapNone/>
                      <wp:docPr id="166" name="Frame1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2610" cy="175260"/>
                      <wp:effectExtent l="0" t="0" r="0" b="0"/>
                      <wp:wrapNone/>
                      <wp:docPr id="169"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0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53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0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498,699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(60,434)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421,357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278" w:name="_b681d70c_be2f_4cf0_adfa_c742001a4fea"/>
      <w:bookmarkEnd w:id="278"/>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bookmarkStart w:id="279" w:name="CONSOLIDATEDSTATEMENTSOFSHAREHOLDERSEQUI"/>
      <w:bookmarkEnd w:id="279"/>
      <w:r>
        <w:rPr>
          <w:rFonts w:ascii="Times New Roman;Times;serif" w:hAnsi="Times New Roman;Times;serif"/>
          <w:b/>
          <w:sz w:val="20"/>
        </w:rPr>
        <w:t>CONSOLIDATED STATEMENTS OF SHAREHOLDERS’ EQUITY</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Years Ended June 27, 2026, June 28, 2025, and June 29, 2024 </w:t>
      </w:r>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pPr>
      <w:r>
        <w:rPr/>
        <w:t>​</w:t>
      </w:r>
    </w:p>
    <w:p>
      <w:pPr>
        <w:pStyle w:val="Normal"/>
        <w:bidi w:val="0"/>
        <w:spacing w:before="0" w:after="0"/>
        <w:jc w:val="left"/>
        <w:rPr>
          <w:sz w:val="4"/>
          <w:szCs w:val="4"/>
        </w:rPr>
      </w:pPr>
      <w:r>
        <w:rPr>
          <w:sz w:val="4"/>
          <w:szCs w:val="4"/>
        </w:rPr>
      </w:r>
      <w:bookmarkStart w:id="280" w:name="Tc_M6vIEzo9LUCQgdHztBa-zg_30_17"/>
      <w:bookmarkStart w:id="281" w:name="Tc_K3XkKxVXHU2yniRnDTfHRg_30_14"/>
      <w:bookmarkStart w:id="282" w:name="Tc_x-6dc6BO6ki-1J_MJvux-Q_30_11"/>
      <w:bookmarkStart w:id="283" w:name="Tc_xjak9gjqH0WjwE7ADbV2Jg_30_8"/>
      <w:bookmarkStart w:id="284" w:name="Tc_fJuo0x57m0Sulqzz1VLK3Q_30_5"/>
      <w:bookmarkStart w:id="285" w:name="Tc_kjqhNFy5ukqQtRcDcUkE7Q_30_0"/>
      <w:bookmarkStart w:id="286" w:name="Tc_dcyd05IP_U-7f6oL_hezqw_29_15"/>
      <w:bookmarkStart w:id="287" w:name="Tc_2fyDWk-klEeiFabTgXlErw_29_12"/>
      <w:bookmarkStart w:id="288" w:name="Tc_O4VzuBr0ikGru2G0VOWSaA_29_0"/>
      <w:bookmarkStart w:id="289" w:name="Tc_r71z6jhgGkOanm9mWjfrow_28_15"/>
      <w:bookmarkStart w:id="290" w:name="Tc_V8LeqhlqNEOjkbYsuqKE4Q_28_9"/>
      <w:bookmarkStart w:id="291" w:name="Tc_D7Dru6GaSkOXEWMqFw5lCQ_28_0"/>
      <w:bookmarkStart w:id="292" w:name="Tc_1sWLKfo1HU-7jWAjyrw6ag_27_15"/>
      <w:bookmarkStart w:id="293" w:name="Tc_cDMv2gd9pkGBM9DTR_GZjg_27_9"/>
      <w:bookmarkStart w:id="294" w:name="Tc_zCJNAfdWIkGQk53uYdW2rg_27_6"/>
      <w:bookmarkStart w:id="295" w:name="Tc_V41cDjzjiEi8SAtmP7eDCA_27_3"/>
      <w:bookmarkStart w:id="296" w:name="Tc_v17YHc0xbEyR2wT2py2BEQ_27_0"/>
      <w:bookmarkStart w:id="297" w:name="Tc__RO8TEluQEukECSGhNqY9A_26_12"/>
      <w:bookmarkStart w:id="298" w:name="Tc_lxwYOvLpBU2YjV721ngkYQ_26_9"/>
      <w:bookmarkStart w:id="299" w:name="Tc_3PDPbGdd9UKtRjjVor0HfA_26_6"/>
      <w:bookmarkStart w:id="300" w:name="Tc_MBZsxp731kiefXainE42aw_26_3"/>
      <w:bookmarkStart w:id="301" w:name="Tc_IaolS_fCqU6WSrbi6Yu57A_26_0"/>
      <w:bookmarkStart w:id="302" w:name="Tc_XtUWqUd68EikmfSssm93vQ_25_12"/>
      <w:bookmarkStart w:id="303" w:name="Tc_RkQKbJqsb0i4w-CC6wavQw_25_9"/>
      <w:bookmarkStart w:id="304" w:name="Tc_88ohC_DNdkiSFA3nrgXlcw_25_6"/>
      <w:bookmarkStart w:id="305" w:name="Tc_7hJ5sZDqEUiLKlitfZw8ng_25_3"/>
      <w:bookmarkStart w:id="306" w:name="Tc_ijTdqGXLSkqx7Rmh0cm_zw_25_0"/>
      <w:bookmarkStart w:id="307" w:name="Tc_sp4I7tL0cUCevUavxEuUxw_24_12"/>
      <w:bookmarkStart w:id="308" w:name="Tc_V2lCYmAZqECee6BMlVTBXA_24_9"/>
      <w:bookmarkStart w:id="309" w:name="Tc_Jf6ZVJFrTUCh2eVcoYlyUw_24_6"/>
      <w:bookmarkStart w:id="310" w:name="Tc_SfB8ggs0ikC_ZBfry9WotQ_24_3"/>
      <w:bookmarkStart w:id="311" w:name="Tc_gclpPxbPb0C49LtUnx7fBA_24_0"/>
      <w:bookmarkStart w:id="312" w:name="Tc_2t41BBcUpEOKWGZnC7JxCA_23_0"/>
      <w:bookmarkStart w:id="313" w:name="Tc_P9YJQjiVHkSjzYj23JZs8w_22_0"/>
      <w:bookmarkStart w:id="314" w:name="Tc_AlPR3F03FkaXcAnc0H3bXQ_21_15"/>
      <w:bookmarkStart w:id="315" w:name="Tc_UC5qYV1YB0q7TCHXIGSxzw_21_12"/>
      <w:bookmarkStart w:id="316" w:name="Tc_hbNj15rBp0G5-d_feFejIA_21_0"/>
      <w:bookmarkStart w:id="317" w:name="Tc_311vsnvs9ke_2gv7Z8w2bg_20_15"/>
      <w:bookmarkStart w:id="318" w:name="Tc_DQ89CZ7vqEO4oOy2xWAzGQ_20_9"/>
      <w:bookmarkStart w:id="319" w:name="Tc_ihCnY9MLXEKYblxLx7e8Zw_20_0"/>
      <w:bookmarkStart w:id="320" w:name="Tc_84w2pdu8Lk-dSJVOQyDjQg_19_15"/>
      <w:bookmarkStart w:id="321" w:name="Tc_LBhMqwTOnk-133y2I8S9PA_19_9"/>
      <w:bookmarkStart w:id="322" w:name="Tc_ZxDD6Pc53kioTA93d0c9Hw_19_6"/>
      <w:bookmarkStart w:id="323" w:name="Tc_h3VZyNkCP0mwdmNP6xJt0A_19_3"/>
      <w:bookmarkStart w:id="324" w:name="Tc_8e6mKObM4U6nlMXN_FTXog_19_0"/>
      <w:bookmarkStart w:id="325" w:name="Tc_Lhjo9K42VEyvrwwfs2u4eg_18_12"/>
      <w:bookmarkStart w:id="326" w:name="Tc_mCx7R9gCdUqRcuJjG--eww_18_9"/>
      <w:bookmarkStart w:id="327" w:name="Tc_ycXUIfXZs0KNr2Trr_IlLA_18_6"/>
      <w:bookmarkStart w:id="328" w:name="Tc_nPxgp8MH9EmJd-Qg4jblQQ_18_3"/>
      <w:bookmarkStart w:id="329" w:name="Tc__c8o2u6vt0WuBdihk-q3Vw_18_0"/>
      <w:bookmarkStart w:id="330" w:name="Tc_ghx7AGSs5UGuzOkm3PtdlA_17_12"/>
      <w:bookmarkStart w:id="331" w:name="Tc__Wivy9W_rkWbZHgIpdSKPA_17_9"/>
      <w:bookmarkStart w:id="332" w:name="Tc_cY1L50cTT0CKtNuD8kzcLg_17_6"/>
      <w:bookmarkStart w:id="333" w:name="Tc_P_mTV02Bs02sEis6O7ETIw_17_3"/>
      <w:bookmarkStart w:id="334" w:name="Tc_HZUXSlpxgECZohqeWu7QCw_17_0"/>
      <w:bookmarkStart w:id="335" w:name="Tc_UKqkiybclUKcYWupe4oeEg_16_12"/>
      <w:bookmarkStart w:id="336" w:name="Tc_HU3_duyvp0SMMDHauth7oQ_16_9"/>
      <w:bookmarkStart w:id="337" w:name="Tc_qGYeoFywZEW6RQRBb3s-_g_16_6"/>
      <w:bookmarkStart w:id="338" w:name="Tc_I4Ylyasr_UCAp4PuYIdsJg_16_3"/>
      <w:bookmarkStart w:id="339" w:name="Tc_1OrJL6g0KEiggCa1UqrwGA_16_0"/>
      <w:bookmarkStart w:id="340" w:name="Tc_eocHAUw6UUaIBUDKFnPOZg_15_15"/>
      <w:bookmarkStart w:id="341" w:name="Tc_T21NxeeFkkai2-o6fxyVmw_15_9"/>
      <w:bookmarkStart w:id="342" w:name="Tc_dqKiiQxadU2CVHLeVaWG4Q_15_6"/>
      <w:bookmarkStart w:id="343" w:name="Tc_4WuTWVeS4E2Nb0ZqzP_ItA_15_3"/>
      <w:bookmarkStart w:id="344" w:name="Tc_vPuKs1x3f0-feVGwecbuJg_15_0"/>
      <w:bookmarkStart w:id="345" w:name="Tc_SgUVV3STQkaYK8QXKeCNHg_14_0"/>
      <w:bookmarkStart w:id="346" w:name="Tc_dJInQbd1xkCr_gizpAghqQ_13_15"/>
      <w:bookmarkStart w:id="347" w:name="Tc_VowHGVTKOkiAuNNMAmLrGQ_13_12"/>
      <w:bookmarkStart w:id="348" w:name="Tc_Ou9ZnR5k1kKUCNgjp2QW4Q_13_0"/>
      <w:bookmarkStart w:id="349" w:name="Tc_RY0-jLNSlkeyl-VdJdgvlg_12_15"/>
      <w:bookmarkStart w:id="350" w:name="Tc_VxMLSZWXM06dcyj2QCMmRw_12_9"/>
      <w:bookmarkStart w:id="351" w:name="Tc_b9lh4i2Y0EGe4B-m772gxw_12_0"/>
      <w:bookmarkStart w:id="352" w:name="Tc__wgSf21ZPk2bVFT49bPlCw_11_15"/>
      <w:bookmarkStart w:id="353" w:name="Tc_OshlaQPYTkaVWYeDC6zgKg_11_9"/>
      <w:bookmarkStart w:id="354" w:name="Tc_rcv2GShNtU-UOTN9mdfIMg_11_6"/>
      <w:bookmarkStart w:id="355" w:name="Tc_i132IYpfd0eewSCxCPO65Q_11_3"/>
      <w:bookmarkStart w:id="356" w:name="Tc_URWjx1ZqMEOBSYy8urjSVg_11_0"/>
      <w:bookmarkStart w:id="357" w:name="Tc_DqHTxMBQukKoRtt-f1fO6w_10_12"/>
      <w:bookmarkStart w:id="358" w:name="Tc_Dwpk7sSYG0-EpH7Fdm785w_10_9"/>
      <w:bookmarkStart w:id="359" w:name="Tc_H7oqx2uFYkCjdH7O_9wqZg_10_6"/>
      <w:bookmarkStart w:id="360" w:name="Tc_J3VSgMzqx0KRiZxPIclyjQ_10_3"/>
      <w:bookmarkStart w:id="361" w:name="Tc_ffrzA4OHwUGKmWohME_FZQ_10_0"/>
      <w:bookmarkStart w:id="362" w:name="Tc_EKh6tBC6T0ebHjUFOEjHbw_9_12"/>
      <w:bookmarkStart w:id="363" w:name="Tc_fO4yEcqhZ0S9tv3HzPpFLA_9_9"/>
      <w:bookmarkStart w:id="364" w:name="Tc_jSZt3ma8TkKw8dK-kBHn1g_9_6"/>
      <w:bookmarkStart w:id="365" w:name="Tc_PPHf17_0-ESdEMsvLzx65Q_9_3"/>
      <w:bookmarkStart w:id="366" w:name="Tc_CKJOl_d2KU2i7WXECy2KtQ_9_0"/>
      <w:bookmarkStart w:id="367" w:name="Tc_PqUv-osI4k6NS-8C1GTHVw_8_12"/>
      <w:bookmarkStart w:id="368" w:name="Tc_Vx_7FrWUg06_MIcUD2hScA_8_9"/>
      <w:bookmarkStart w:id="369" w:name="Tc_rBQyyj6RukWrEfdRSiB9aw_8_6"/>
      <w:bookmarkStart w:id="370" w:name="Tc_SzYa_idx50ulbFhjrkZr0Q_8_3"/>
      <w:bookmarkStart w:id="371" w:name="Tc_KvH6nlU1XUaIMof3GzztzA_8_0"/>
      <w:bookmarkStart w:id="372" w:name="Tc_gmYxEag7V0iZQaMu6NLf1A_7_15"/>
      <w:bookmarkStart w:id="373" w:name="Tc_omfyr5ty10au2m11uA0kvw_7_9"/>
      <w:bookmarkStart w:id="374" w:name="Tc_m-_oye0-_E6qh9t7wnaM3A_7_6"/>
      <w:bookmarkStart w:id="375" w:name="Tc_WygCCxvTXUGGFsIfykfUxQ_7_3"/>
      <w:bookmarkStart w:id="376" w:name="Tc_uaMm9ErZfEGKeUTHzhjO-g_7_0"/>
      <w:bookmarkStart w:id="377" w:name="Tc_0X_q4G5YzUecg84fh9g_NA_6_17"/>
      <w:bookmarkStart w:id="378" w:name="Tc_n4V6U3mLU0i7XlWR6Opdbg_6_14"/>
      <w:bookmarkStart w:id="379" w:name="Tc_wdgzigbh8UGIPjKwfaEAFQ_6_11"/>
      <w:bookmarkStart w:id="380" w:name="Tc_CVWC_xLfQkeAgL_RAG7n_Q_6_8"/>
      <w:bookmarkStart w:id="381" w:name="Tc_AiwqUy6O-kaKAx7_YQz_6g_6_5"/>
      <w:bookmarkStart w:id="382" w:name="Tc_5YJSRF1m90CYHyi9CLOOug_6_0"/>
      <w:bookmarkStart w:id="383" w:name="Tc_3fQRyEqb7UO0Pun-Isi6xA_5_2"/>
      <w:bookmarkStart w:id="384" w:name="Tc_EUqdx2-G7EuAqgRSjD731Q_4_17"/>
      <w:bookmarkStart w:id="385" w:name="Tc_O5oekU0lskS0cBChm57Ozg_4_14"/>
      <w:bookmarkStart w:id="386" w:name="Tc_EVpERH-0zE2__T6TrKRxzA_4_11"/>
      <w:bookmarkStart w:id="387" w:name="Tc_S6ekwXnki0-mQ_dnfygdsQ_4_8"/>
      <w:bookmarkStart w:id="388" w:name="Tc_cZ2BvVc_6066W0hw4gnpbA_4_5"/>
      <w:bookmarkStart w:id="389" w:name="Tc_WMV5yyxgzEO8K-eJBis6GA_4_2"/>
      <w:bookmarkStart w:id="390" w:name="Tc_z8B3DBl-Q06oSyynRObXow_3_17"/>
      <w:bookmarkStart w:id="391" w:name="Tc_Wk_Nld-rqk6-tBrhlYYmjA_3_14"/>
      <w:bookmarkStart w:id="392" w:name="Tc_UtohRj5jPUmuT_OaiU84Ew_3_11"/>
      <w:bookmarkStart w:id="393" w:name="Tc_HTD0sgpmS0y9MHbC-TFgpw_3_8"/>
      <w:bookmarkStart w:id="394" w:name="Tc_Mx_fXq9HOEm3zQwoJIPBHg_3_5"/>
      <w:bookmarkStart w:id="395" w:name="Tc_g6PVo9xYVEusS8i6W2BIVA_3_2"/>
      <w:bookmarkStart w:id="396" w:name="Tc_Q4dMb6V0Oky89lJSqKer4w_2_17"/>
      <w:bookmarkStart w:id="397" w:name="Tc_ITv5q2YrwEWQVZwCQFFr2w_2_14"/>
      <w:bookmarkStart w:id="398" w:name="Tc_dvn52SMSzkGEifEuPspjkA_2_8"/>
      <w:bookmarkStart w:id="399" w:name="Tc_qVb9Oww5f0GDQiRS3YTfzw_2_5"/>
      <w:bookmarkStart w:id="400" w:name="Tc_dgzxAQJDl0WJ0hqsSTHulw_2_2"/>
      <w:bookmarkStart w:id="401" w:name="Tc_5m26Njo_BEagYlfxBW8jqw_1_14"/>
      <w:bookmarkStart w:id="402" w:name="_e4cc5d02_6792_4c1a_a8ed_977d44cd0b17"/>
      <w:bookmarkStart w:id="403" w:name="Tc_M6vIEzo9LUCQgdHztBa-zg_30_17"/>
      <w:bookmarkStart w:id="404" w:name="Tc_K3XkKxVXHU2yniRnDTfHRg_30_14"/>
      <w:bookmarkStart w:id="405" w:name="Tc_x-6dc6BO6ki-1J_MJvux-Q_30_11"/>
      <w:bookmarkStart w:id="406" w:name="Tc_xjak9gjqH0WjwE7ADbV2Jg_30_8"/>
      <w:bookmarkStart w:id="407" w:name="Tc_fJuo0x57m0Sulqzz1VLK3Q_30_5"/>
      <w:bookmarkStart w:id="408" w:name="Tc_kjqhNFy5ukqQtRcDcUkE7Q_30_0"/>
      <w:bookmarkStart w:id="409" w:name="Tc_dcyd05IP_U-7f6oL_hezqw_29_15"/>
      <w:bookmarkStart w:id="410" w:name="Tc_2fyDWk-klEeiFabTgXlErw_29_12"/>
      <w:bookmarkStart w:id="411" w:name="Tc_O4VzuBr0ikGru2G0VOWSaA_29_0"/>
      <w:bookmarkStart w:id="412" w:name="Tc_r71z6jhgGkOanm9mWjfrow_28_15"/>
      <w:bookmarkStart w:id="413" w:name="Tc_V8LeqhlqNEOjkbYsuqKE4Q_28_9"/>
      <w:bookmarkStart w:id="414" w:name="Tc_D7Dru6GaSkOXEWMqFw5lCQ_28_0"/>
      <w:bookmarkStart w:id="415" w:name="Tc_1sWLKfo1HU-7jWAjyrw6ag_27_15"/>
      <w:bookmarkStart w:id="416" w:name="Tc_cDMv2gd9pkGBM9DTR_GZjg_27_9"/>
      <w:bookmarkStart w:id="417" w:name="Tc_zCJNAfdWIkGQk53uYdW2rg_27_6"/>
      <w:bookmarkStart w:id="418" w:name="Tc_V41cDjzjiEi8SAtmP7eDCA_27_3"/>
      <w:bookmarkStart w:id="419" w:name="Tc_v17YHc0xbEyR2wT2py2BEQ_27_0"/>
      <w:bookmarkStart w:id="420" w:name="Tc__RO8TEluQEukECSGhNqY9A_26_12"/>
      <w:bookmarkStart w:id="421" w:name="Tc_lxwYOvLpBU2YjV721ngkYQ_26_9"/>
      <w:bookmarkStart w:id="422" w:name="Tc_3PDPbGdd9UKtRjjVor0HfA_26_6"/>
      <w:bookmarkStart w:id="423" w:name="Tc_MBZsxp731kiefXainE42aw_26_3"/>
      <w:bookmarkStart w:id="424" w:name="Tc_IaolS_fCqU6WSrbi6Yu57A_26_0"/>
      <w:bookmarkStart w:id="425" w:name="Tc_XtUWqUd68EikmfSssm93vQ_25_12"/>
      <w:bookmarkStart w:id="426" w:name="Tc_RkQKbJqsb0i4w-CC6wavQw_25_9"/>
      <w:bookmarkStart w:id="427" w:name="Tc_88ohC_DNdkiSFA3nrgXlcw_25_6"/>
      <w:bookmarkStart w:id="428" w:name="Tc_7hJ5sZDqEUiLKlitfZw8ng_25_3"/>
      <w:bookmarkStart w:id="429" w:name="Tc_ijTdqGXLSkqx7Rmh0cm_zw_25_0"/>
      <w:bookmarkStart w:id="430" w:name="Tc_sp4I7tL0cUCevUavxEuUxw_24_12"/>
      <w:bookmarkStart w:id="431" w:name="Tc_V2lCYmAZqECee6BMlVTBXA_24_9"/>
      <w:bookmarkStart w:id="432" w:name="Tc_Jf6ZVJFrTUCh2eVcoYlyUw_24_6"/>
      <w:bookmarkStart w:id="433" w:name="Tc_SfB8ggs0ikC_ZBfry9WotQ_24_3"/>
      <w:bookmarkStart w:id="434" w:name="Tc_gclpPxbPb0C49LtUnx7fBA_24_0"/>
      <w:bookmarkStart w:id="435" w:name="Tc_2t41BBcUpEOKWGZnC7JxCA_23_0"/>
      <w:bookmarkStart w:id="436" w:name="Tc_P9YJQjiVHkSjzYj23JZs8w_22_0"/>
      <w:bookmarkStart w:id="437" w:name="Tc_AlPR3F03FkaXcAnc0H3bXQ_21_15"/>
      <w:bookmarkStart w:id="438" w:name="Tc_UC5qYV1YB0q7TCHXIGSxzw_21_12"/>
      <w:bookmarkStart w:id="439" w:name="Tc_hbNj15rBp0G5-d_feFejIA_21_0"/>
      <w:bookmarkStart w:id="440" w:name="Tc_311vsnvs9ke_2gv7Z8w2bg_20_15"/>
      <w:bookmarkStart w:id="441" w:name="Tc_DQ89CZ7vqEO4oOy2xWAzGQ_20_9"/>
      <w:bookmarkStart w:id="442" w:name="Tc_ihCnY9MLXEKYblxLx7e8Zw_20_0"/>
      <w:bookmarkStart w:id="443" w:name="Tc_84w2pdu8Lk-dSJVOQyDjQg_19_15"/>
      <w:bookmarkStart w:id="444" w:name="Tc_LBhMqwTOnk-133y2I8S9PA_19_9"/>
      <w:bookmarkStart w:id="445" w:name="Tc_ZxDD6Pc53kioTA93d0c9Hw_19_6"/>
      <w:bookmarkStart w:id="446" w:name="Tc_h3VZyNkCP0mwdmNP6xJt0A_19_3"/>
      <w:bookmarkStart w:id="447" w:name="Tc_8e6mKObM4U6nlMXN_FTXog_19_0"/>
      <w:bookmarkStart w:id="448" w:name="Tc_Lhjo9K42VEyvrwwfs2u4eg_18_12"/>
      <w:bookmarkStart w:id="449" w:name="Tc_mCx7R9gCdUqRcuJjG--eww_18_9"/>
      <w:bookmarkStart w:id="450" w:name="Tc_ycXUIfXZs0KNr2Trr_IlLA_18_6"/>
      <w:bookmarkStart w:id="451" w:name="Tc_nPxgp8MH9EmJd-Qg4jblQQ_18_3"/>
      <w:bookmarkStart w:id="452" w:name="Tc__c8o2u6vt0WuBdihk-q3Vw_18_0"/>
      <w:bookmarkStart w:id="453" w:name="Tc_ghx7AGSs5UGuzOkm3PtdlA_17_12"/>
      <w:bookmarkStart w:id="454" w:name="Tc__Wivy9W_rkWbZHgIpdSKPA_17_9"/>
      <w:bookmarkStart w:id="455" w:name="Tc_cY1L50cTT0CKtNuD8kzcLg_17_6"/>
      <w:bookmarkStart w:id="456" w:name="Tc_P_mTV02Bs02sEis6O7ETIw_17_3"/>
      <w:bookmarkStart w:id="457" w:name="Tc_HZUXSlpxgECZohqeWu7QCw_17_0"/>
      <w:bookmarkStart w:id="458" w:name="Tc_UKqkiybclUKcYWupe4oeEg_16_12"/>
      <w:bookmarkStart w:id="459" w:name="Tc_HU3_duyvp0SMMDHauth7oQ_16_9"/>
      <w:bookmarkStart w:id="460" w:name="Tc_qGYeoFywZEW6RQRBb3s-_g_16_6"/>
      <w:bookmarkStart w:id="461" w:name="Tc_I4Ylyasr_UCAp4PuYIdsJg_16_3"/>
      <w:bookmarkStart w:id="462" w:name="Tc_1OrJL6g0KEiggCa1UqrwGA_16_0"/>
      <w:bookmarkStart w:id="463" w:name="Tc_eocHAUw6UUaIBUDKFnPOZg_15_15"/>
      <w:bookmarkStart w:id="464" w:name="Tc_T21NxeeFkkai2-o6fxyVmw_15_9"/>
      <w:bookmarkStart w:id="465" w:name="Tc_dqKiiQxadU2CVHLeVaWG4Q_15_6"/>
      <w:bookmarkStart w:id="466" w:name="Tc_4WuTWVeS4E2Nb0ZqzP_ItA_15_3"/>
      <w:bookmarkStart w:id="467" w:name="Tc_vPuKs1x3f0-feVGwecbuJg_15_0"/>
      <w:bookmarkStart w:id="468" w:name="Tc_SgUVV3STQkaYK8QXKeCNHg_14_0"/>
      <w:bookmarkStart w:id="469" w:name="Tc_dJInQbd1xkCr_gizpAghqQ_13_15"/>
      <w:bookmarkStart w:id="470" w:name="Tc_VowHGVTKOkiAuNNMAmLrGQ_13_12"/>
      <w:bookmarkStart w:id="471" w:name="Tc_Ou9ZnR5k1kKUCNgjp2QW4Q_13_0"/>
      <w:bookmarkStart w:id="472" w:name="Tc_RY0-jLNSlkeyl-VdJdgvlg_12_15"/>
      <w:bookmarkStart w:id="473" w:name="Tc_VxMLSZWXM06dcyj2QCMmRw_12_9"/>
      <w:bookmarkStart w:id="474" w:name="Tc_b9lh4i2Y0EGe4B-m772gxw_12_0"/>
      <w:bookmarkStart w:id="475" w:name="Tc__wgSf21ZPk2bVFT49bPlCw_11_15"/>
      <w:bookmarkStart w:id="476" w:name="Tc_OshlaQPYTkaVWYeDC6zgKg_11_9"/>
      <w:bookmarkStart w:id="477" w:name="Tc_rcv2GShNtU-UOTN9mdfIMg_11_6"/>
      <w:bookmarkStart w:id="478" w:name="Tc_i132IYpfd0eewSCxCPO65Q_11_3"/>
      <w:bookmarkStart w:id="479" w:name="Tc_URWjx1ZqMEOBSYy8urjSVg_11_0"/>
      <w:bookmarkStart w:id="480" w:name="Tc_DqHTxMBQukKoRtt-f1fO6w_10_12"/>
      <w:bookmarkStart w:id="481" w:name="Tc_Dwpk7sSYG0-EpH7Fdm785w_10_9"/>
      <w:bookmarkStart w:id="482" w:name="Tc_H7oqx2uFYkCjdH7O_9wqZg_10_6"/>
      <w:bookmarkStart w:id="483" w:name="Tc_J3VSgMzqx0KRiZxPIclyjQ_10_3"/>
      <w:bookmarkStart w:id="484" w:name="Tc_ffrzA4OHwUGKmWohME_FZQ_10_0"/>
      <w:bookmarkStart w:id="485" w:name="Tc_EKh6tBC6T0ebHjUFOEjHbw_9_12"/>
      <w:bookmarkStart w:id="486" w:name="Tc_fO4yEcqhZ0S9tv3HzPpFLA_9_9"/>
      <w:bookmarkStart w:id="487" w:name="Tc_jSZt3ma8TkKw8dK-kBHn1g_9_6"/>
      <w:bookmarkStart w:id="488" w:name="Tc_PPHf17_0-ESdEMsvLzx65Q_9_3"/>
      <w:bookmarkStart w:id="489" w:name="Tc_CKJOl_d2KU2i7WXECy2KtQ_9_0"/>
      <w:bookmarkStart w:id="490" w:name="Tc_PqUv-osI4k6NS-8C1GTHVw_8_12"/>
      <w:bookmarkStart w:id="491" w:name="Tc_Vx_7FrWUg06_MIcUD2hScA_8_9"/>
      <w:bookmarkStart w:id="492" w:name="Tc_rBQyyj6RukWrEfdRSiB9aw_8_6"/>
      <w:bookmarkStart w:id="493" w:name="Tc_SzYa_idx50ulbFhjrkZr0Q_8_3"/>
      <w:bookmarkStart w:id="494" w:name="Tc_KvH6nlU1XUaIMof3GzztzA_8_0"/>
      <w:bookmarkStart w:id="495" w:name="Tc_gmYxEag7V0iZQaMu6NLf1A_7_15"/>
      <w:bookmarkStart w:id="496" w:name="Tc_omfyr5ty10au2m11uA0kvw_7_9"/>
      <w:bookmarkStart w:id="497" w:name="Tc_m-_oye0-_E6qh9t7wnaM3A_7_6"/>
      <w:bookmarkStart w:id="498" w:name="Tc_WygCCxvTXUGGFsIfykfUxQ_7_3"/>
      <w:bookmarkStart w:id="499" w:name="Tc_uaMm9ErZfEGKeUTHzhjO-g_7_0"/>
      <w:bookmarkStart w:id="500" w:name="Tc_0X_q4G5YzUecg84fh9g_NA_6_17"/>
      <w:bookmarkStart w:id="501" w:name="Tc_n4V6U3mLU0i7XlWR6Opdbg_6_14"/>
      <w:bookmarkStart w:id="502" w:name="Tc_wdgzigbh8UGIPjKwfaEAFQ_6_11"/>
      <w:bookmarkStart w:id="503" w:name="Tc_CVWC_xLfQkeAgL_RAG7n_Q_6_8"/>
      <w:bookmarkStart w:id="504" w:name="Tc_AiwqUy6O-kaKAx7_YQz_6g_6_5"/>
      <w:bookmarkStart w:id="505" w:name="Tc_5YJSRF1m90CYHyi9CLOOug_6_0"/>
      <w:bookmarkStart w:id="506" w:name="Tc_3fQRyEqb7UO0Pun-Isi6xA_5_2"/>
      <w:bookmarkStart w:id="507" w:name="Tc_EUqdx2-G7EuAqgRSjD731Q_4_17"/>
      <w:bookmarkStart w:id="508" w:name="Tc_O5oekU0lskS0cBChm57Ozg_4_14"/>
      <w:bookmarkStart w:id="509" w:name="Tc_EVpERH-0zE2__T6TrKRxzA_4_11"/>
      <w:bookmarkStart w:id="510" w:name="Tc_S6ekwXnki0-mQ_dnfygdsQ_4_8"/>
      <w:bookmarkStart w:id="511" w:name="Tc_cZ2BvVc_6066W0hw4gnpbA_4_5"/>
      <w:bookmarkStart w:id="512" w:name="Tc_WMV5yyxgzEO8K-eJBis6GA_4_2"/>
      <w:bookmarkStart w:id="513" w:name="Tc_z8B3DBl-Q06oSyynRObXow_3_17"/>
      <w:bookmarkStart w:id="514" w:name="Tc_Wk_Nld-rqk6-tBrhlYYmjA_3_14"/>
      <w:bookmarkStart w:id="515" w:name="Tc_UtohRj5jPUmuT_OaiU84Ew_3_11"/>
      <w:bookmarkStart w:id="516" w:name="Tc_HTD0sgpmS0y9MHbC-TFgpw_3_8"/>
      <w:bookmarkStart w:id="517" w:name="Tc_Mx_fXq9HOEm3zQwoJIPBHg_3_5"/>
      <w:bookmarkStart w:id="518" w:name="Tc_g6PVo9xYVEusS8i6W2BIVA_3_2"/>
      <w:bookmarkStart w:id="519" w:name="Tc_Q4dMb6V0Oky89lJSqKer4w_2_17"/>
      <w:bookmarkStart w:id="520" w:name="Tc_ITv5q2YrwEWQVZwCQFFr2w_2_14"/>
      <w:bookmarkStart w:id="521" w:name="Tc_dvn52SMSzkGEifEuPspjkA_2_8"/>
      <w:bookmarkStart w:id="522" w:name="Tc_qVb9Oww5f0GDQiRS3YTfzw_2_5"/>
      <w:bookmarkStart w:id="523" w:name="Tc_dgzxAQJDl0WJ0hqsSTHulw_2_2"/>
      <w:bookmarkStart w:id="524" w:name="Tc_5m26Njo_BEagYlfxBW8jqw_1_14"/>
      <w:bookmarkStart w:id="525" w:name="_e4cc5d02_6792_4c1a_a8ed_977d44cd0b17"/>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tbl>
      <w:tblPr>
        <w:tblW w:w="10205" w:type="dxa"/>
        <w:jc w:val="left"/>
        <w:tblInd w:w="0" w:type="dxa"/>
        <w:tblLayout w:type="fixed"/>
        <w:tblCellMar>
          <w:top w:w="0" w:type="dxa"/>
          <w:left w:w="0" w:type="dxa"/>
          <w:bottom w:w="0" w:type="dxa"/>
          <w:right w:w="0" w:type="dxa"/>
        </w:tblCellMar>
      </w:tblPr>
      <w:tblGrid>
        <w:gridCol w:w="1647"/>
        <w:gridCol w:w="346"/>
        <w:gridCol w:w="161"/>
        <w:gridCol w:w="665"/>
        <w:gridCol w:w="346"/>
        <w:gridCol w:w="256"/>
        <w:gridCol w:w="604"/>
        <w:gridCol w:w="346"/>
        <w:gridCol w:w="256"/>
        <w:gridCol w:w="826"/>
        <w:gridCol w:w="346"/>
        <w:gridCol w:w="256"/>
        <w:gridCol w:w="826"/>
        <w:gridCol w:w="346"/>
        <w:gridCol w:w="331"/>
        <w:gridCol w:w="975"/>
        <w:gridCol w:w="346"/>
        <w:gridCol w:w="216"/>
        <w:gridCol w:w="917"/>
        <w:gridCol w:w="193"/>
      </w:tblGrid>
      <w:tr>
        <w:trPr/>
        <w:tc>
          <w:tcPr>
            <w:tcW w:w="1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45845" cy="175260"/>
                      <wp:effectExtent l="0" t="0" r="0" b="0"/>
                      <wp:wrapNone/>
                      <wp:docPr id="170" name="Frame169"/>
                      <a:graphic xmlns:a="http://schemas.openxmlformats.org/drawingml/2006/main">
                        <a:graphicData uri="http://schemas.microsoft.com/office/word/2010/wordprocessingShape">
                          <wps:wsp>
                            <wps:cNvSpPr txBox="1"/>
                            <wps:spPr>
                              <a:xfrm>
                                <a:off x="0" y="0"/>
                                <a:ext cx="1045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02235" cy="175260"/>
                      <wp:effectExtent l="0" t="0" r="0" b="0"/>
                      <wp:wrapNone/>
                      <wp:docPr id="172" name="Frame171"/>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2275" cy="175260"/>
                      <wp:effectExtent l="0" t="0" r="0" b="0"/>
                      <wp:wrapNone/>
                      <wp:docPr id="173" name="Frame17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2560" cy="175260"/>
                      <wp:effectExtent l="0" t="0" r="0" b="0"/>
                      <wp:wrapNone/>
                      <wp:docPr id="175" name="Frame17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83540" cy="175260"/>
                      <wp:effectExtent l="0" t="0" r="0" b="0"/>
                      <wp:wrapNone/>
                      <wp:docPr id="176" name="Frame17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2560" cy="175260"/>
                      <wp:effectExtent l="0" t="0" r="0" b="0"/>
                      <wp:wrapNone/>
                      <wp:docPr id="178" name="Frame17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4510" cy="175260"/>
                      <wp:effectExtent l="0" t="0" r="0" b="0"/>
                      <wp:wrapNone/>
                      <wp:docPr id="179" name="Frame1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2560" cy="175260"/>
                      <wp:effectExtent l="0" t="0" r="0" b="0"/>
                      <wp:wrapNone/>
                      <wp:docPr id="181" name="Frame18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24510" cy="175260"/>
                      <wp:effectExtent l="0" t="0" r="0" b="0"/>
                      <wp:wrapNone/>
                      <wp:docPr id="182" name="Frame1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0185" cy="175260"/>
                      <wp:effectExtent l="0" t="0" r="0" b="0"/>
                      <wp:wrapNone/>
                      <wp:docPr id="184" name="Frame18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9125" cy="175260"/>
                      <wp:effectExtent l="0" t="0" r="0" b="0"/>
                      <wp:wrapNone/>
                      <wp:docPr id="185" name="Frame184"/>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7160" cy="175260"/>
                      <wp:effectExtent l="0" t="0" r="0" b="0"/>
                      <wp:wrapNone/>
                      <wp:docPr id="187" name="Frame18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82295" cy="175260"/>
                      <wp:effectExtent l="0" t="0" r="0" b="0"/>
                      <wp:wrapNone/>
                      <wp:docPr id="188" name="Frame18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2555" cy="175260"/>
                      <wp:effectExtent l="0" t="0" r="0" b="0"/>
                      <wp:wrapNone/>
                      <wp:docPr id="189" name="Frame188"/>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1" w:type="dxa"/>
            <w:tcBorders/>
            <w:vAlign w:val="center"/>
          </w:tcPr>
          <w:p>
            <w:pPr>
              <w:pStyle w:val="TableContents"/>
              <w:bidi w:val="0"/>
              <w:spacing w:before="0" w:after="0"/>
              <w:ind w:left="0" w:right="0" w:hanging="0"/>
              <w:jc w:val="center"/>
              <w:rPr/>
            </w:pPr>
            <w:r>
              <w:rPr/>
              <w:t>​</w:t>
            </w:r>
          </w:p>
        </w:tc>
        <w:tc>
          <w:tcPr>
            <w:tcW w:w="6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6"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5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0"/>
              <w:ind w:left="0" w:right="0" w:hanging="0"/>
              <w:jc w:val="center"/>
              <w:rPr/>
            </w:pPr>
            <w:r>
              <w:rPr/>
              <w:t>  ​ ​ ​</w:t>
            </w:r>
          </w:p>
        </w:tc>
        <w:tc>
          <w:tcPr>
            <w:tcW w:w="21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 </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346" w:type="dxa"/>
            <w:tcBorders/>
            <w:vAlign w:val="center"/>
          </w:tcPr>
          <w:p>
            <w:pPr>
              <w:pStyle w:val="TableContents"/>
              <w:bidi w:val="0"/>
              <w:spacing w:before="0" w:after="0"/>
              <w:ind w:left="0" w:right="0" w:hanging="0"/>
              <w:jc w:val="center"/>
              <w:rPr/>
            </w:pPr>
            <w:r>
              <w:rPr/>
              <w:t>​</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0"/>
              <w:ind w:left="0" w:right="0" w:hanging="0"/>
              <w:jc w:val="center"/>
              <w:rPr/>
            </w:pPr>
            <w:r>
              <w:rPr/>
              <w:t>​</w:t>
            </w:r>
          </w:p>
        </w:tc>
        <w:tc>
          <w:tcPr>
            <w:tcW w:w="113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93" w:type="dxa"/>
            <w:tcBorders/>
            <w:vAlign w:val="center"/>
          </w:tcPr>
          <w:p>
            <w:pPr>
              <w:pStyle w:val="TableContents"/>
              <w:bidi w:val="0"/>
              <w:spacing w:before="0" w:after="0"/>
              <w:ind w:left="0" w:right="0" w:hanging="0"/>
              <w:jc w:val="center"/>
              <w:rPr/>
            </w:pPr>
            <w:r>
              <w:rPr/>
              <w:t> </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346" w:type="dxa"/>
            <w:tcBorders/>
            <w:vAlign w:val="center"/>
          </w:tcPr>
          <w:p>
            <w:pPr>
              <w:pStyle w:val="TableContents"/>
              <w:bidi w:val="0"/>
              <w:spacing w:before="0" w:after="0"/>
              <w:ind w:left="0" w:right="0" w:hanging="0"/>
              <w:jc w:val="center"/>
              <w:rPr/>
            </w:pPr>
            <w:r>
              <w:rPr/>
              <w:t>​</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46"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0"/>
              <w:ind w:left="0" w:right="0" w:hanging="0"/>
              <w:jc w:val="center"/>
              <w:rPr/>
            </w:pPr>
            <w:r>
              <w:rPr/>
              <w:t>​</w:t>
            </w:r>
          </w:p>
        </w:tc>
        <w:tc>
          <w:tcPr>
            <w:tcW w:w="1133"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Shareholders’</w:t>
            </w:r>
          </w:p>
        </w:tc>
        <w:tc>
          <w:tcPr>
            <w:tcW w:w="193" w:type="dxa"/>
            <w:tcBorders/>
            <w:vAlign w:val="center"/>
          </w:tcPr>
          <w:p>
            <w:pPr>
              <w:pStyle w:val="TableContents"/>
              <w:bidi w:val="0"/>
              <w:spacing w:before="0" w:after="0"/>
              <w:ind w:left="0" w:right="0" w:hanging="0"/>
              <w:jc w:val="center"/>
              <w:rPr/>
            </w:pPr>
            <w:r>
              <w:rPr/>
              <w:t> </w:t>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0"/>
              <w:ind w:left="0" w:right="0" w:hanging="0"/>
              <w:jc w:val="center"/>
              <w:rPr/>
            </w:pPr>
            <w:r>
              <w:rPr/>
              <w:t>​</w:t>
            </w:r>
          </w:p>
        </w:tc>
        <w:tc>
          <w:tcPr>
            <w:tcW w:w="8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346" w:type="dxa"/>
            <w:tcBorders/>
            <w:vAlign w:val="center"/>
          </w:tcPr>
          <w:p>
            <w:pPr>
              <w:pStyle w:val="TableContents"/>
              <w:bidi w:val="0"/>
              <w:spacing w:before="0" w:after="0"/>
              <w:ind w:left="0" w:right="0" w:hanging="0"/>
              <w:jc w:val="center"/>
              <w:rPr/>
            </w:pPr>
            <w:r>
              <w:rPr/>
              <w:t>​</w:t>
            </w:r>
          </w:p>
        </w:tc>
        <w:tc>
          <w:tcPr>
            <w:tcW w:w="130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 Income</w:t>
            </w:r>
          </w:p>
        </w:tc>
        <w:tc>
          <w:tcPr>
            <w:tcW w:w="346" w:type="dxa"/>
            <w:tcBorders/>
            <w:vAlign w:val="center"/>
          </w:tcPr>
          <w:p>
            <w:pPr>
              <w:pStyle w:val="TableContents"/>
              <w:bidi w:val="0"/>
              <w:spacing w:before="0" w:after="0"/>
              <w:ind w:left="0" w:right="0" w:hanging="0"/>
              <w:jc w:val="center"/>
              <w:rPr/>
            </w:pPr>
            <w:r>
              <w:rPr/>
              <w:t>​</w:t>
            </w:r>
          </w:p>
        </w:tc>
        <w:tc>
          <w:tcPr>
            <w:tcW w:w="113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w:t>
            </w:r>
          </w:p>
        </w:tc>
        <w:tc>
          <w:tcPr>
            <w:tcW w:w="193" w:type="dxa"/>
            <w:tcBorders/>
            <w:vAlign w:val="center"/>
          </w:tcPr>
          <w:p>
            <w:pPr>
              <w:pStyle w:val="TableContents"/>
              <w:bidi w:val="0"/>
              <w:spacing w:before="0" w:after="0"/>
              <w:ind w:left="0" w:right="0" w:hanging="0"/>
              <w:jc w:val="center"/>
              <w:rPr/>
            </w:pPr>
            <w:r>
              <w:rPr/>
              <w:t> </w:t>
            </w:r>
          </w:p>
        </w:tc>
      </w:tr>
      <w:tr>
        <w:trPr/>
        <w:tc>
          <w:tcPr>
            <w:tcW w:w="10205"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1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019" w:type="dxa"/>
            <w:gridSpan w:val="17"/>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(Thousands)</w:t>
            </w:r>
          </w:p>
        </w:tc>
        <w:tc>
          <w:tcPr>
            <w:tcW w:w="193" w:type="dxa"/>
            <w:tcBorders/>
            <w:vAlign w:val="center"/>
          </w:tcPr>
          <w:p>
            <w:pPr>
              <w:pStyle w:val="TableContents"/>
              <w:bidi w:val="0"/>
              <w:spacing w:before="0" w:after="0"/>
              <w:ind w:left="0" w:right="0" w:hanging="0"/>
              <w:jc w:val="center"/>
              <w:rPr/>
            </w:pPr>
            <w:r>
              <w:rPr/>
              <w:t> </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July 1, 2023</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91,504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91,504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1,691,334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3,378,212</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18"/>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(409,381)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4,751,669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498,699</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498,699</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Translation adjustments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(60,434)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(60,434)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Pension liability adjustments, net of tax of $7,648</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Cross-currency swap</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6,608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($1.24 per share)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(111,963)</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(111,963)</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 including $1,652 of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(163,136)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(166,429)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6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0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30,035</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29, 2024</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89,046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89,046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1,721,369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3,601,812</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(486,723)</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4,925,504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240,217</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240,217</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Translation adjustments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304,255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304,255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Pension liability adjustments, net of tax of $6,392</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(22,323)</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Cross-currency swap</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(52,902)</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(52,902)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($1.32 per share)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(113,310)</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(113,310)</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 including $3,013 of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(5,923)</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(298,526)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(304,449)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6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0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33,772</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34,503</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28, 2025</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83,854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83,854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1,755,141</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3,430,193</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(257,693)</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5,011,495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334,389</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334,389</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Translation adjustments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(149,316)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(149,316)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Pension liability adjustments, net of tax of $2,103</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8,391</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8,391</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Cross-currency swap</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23,224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23,224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($1.40 per share)</w:t>
            </w:r>
          </w:p>
        </w:tc>
        <w:tc>
          <w:tcPr>
            <w:tcW w:w="346" w:type="dxa"/>
            <w:tcBorders/>
            <w:vAlign w:val="center"/>
          </w:tcPr>
          <w:p>
            <w:pPr>
              <w:pStyle w:val="TableContents"/>
              <w:bidi w:val="0"/>
              <w:spacing w:before="0" w:after="0"/>
              <w:ind w:left="0" w:right="0" w:hanging="0"/>
              <w:jc w:val="left"/>
              <w:rPr/>
            </w:pPr>
            <w:r>
              <w:rPr/>
              <w:t>​</w:t>
            </w:r>
          </w:p>
        </w:tc>
        <w:tc>
          <w:tcPr>
            <w:tcW w:w="161" w:type="dxa"/>
            <w:tcBorders/>
            <w:vAlign w:val="center"/>
          </w:tcPr>
          <w:p>
            <w:pPr>
              <w:pStyle w:val="TableContents"/>
              <w:bidi w:val="0"/>
              <w:spacing w:before="0" w:after="0"/>
              <w:ind w:left="0" w:right="0" w:hanging="0"/>
              <w:jc w:val="righ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(114,361)</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pPr>
            <w:r>
              <w:rPr/>
              <w:t> </w:t>
            </w:r>
          </w:p>
        </w:tc>
        <w:tc>
          <w:tcPr>
            <w:tcW w:w="9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(114,361)</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 including $1,383 of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(137,045)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(139,691)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6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0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47,498</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48,372</w:t>
            </w:r>
          </w:p>
        </w:tc>
        <w:tc>
          <w:tcPr>
            <w:tcW w:w="193" w:type="dxa"/>
            <w:tcBorders/>
            <w:vAlign w:val="center"/>
          </w:tcPr>
          <w:p>
            <w:pPr>
              <w:pStyle w:val="TableContents"/>
              <w:bidi w:val="0"/>
              <w:spacing w:before="0" w:after="0"/>
              <w:ind w:left="0" w:right="0" w:hanging="0"/>
              <w:jc w:val="left"/>
              <w:rPr/>
            </w:pPr>
            <w:r>
              <w:rPr/>
              <w:t>​</w:t>
            </w:r>
          </w:p>
        </w:tc>
      </w:tr>
      <w:tr>
        <w:trPr/>
        <w:tc>
          <w:tcPr>
            <w:tcW w:w="16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27, 2026</w:t>
            </w:r>
          </w:p>
        </w:tc>
        <w:tc>
          <w:tcPr>
            <w:tcW w:w="346" w:type="dxa"/>
            <w:tcBorders/>
            <w:shd w:fill="CCEEFF" w:val="clear"/>
            <w:vAlign w:val="center"/>
          </w:tcPr>
          <w:p>
            <w:pPr>
              <w:pStyle w:val="TableContents"/>
              <w:bidi w:val="0"/>
              <w:spacing w:before="0" w:after="0"/>
              <w:ind w:left="0" w:right="0" w:hanging="0"/>
              <w:jc w:val="left"/>
              <w:rPr/>
            </w:pPr>
            <w:r>
              <w:rPr/>
              <w:t>​</w:t>
            </w:r>
          </w:p>
        </w:tc>
        <w:tc>
          <w:tcPr>
            <w:tcW w:w="1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82,082</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82,082</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1,802,639</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3,513,176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(375,394)</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5,022,503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647"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161" w:type="dxa"/>
            <w:tcBorders/>
            <w:vAlign w:val="center"/>
          </w:tcPr>
          <w:p>
            <w:pPr>
              <w:pStyle w:val="TableContents"/>
              <w:bidi w:val="0"/>
              <w:spacing w:before="0" w:after="0"/>
              <w:ind w:left="0" w:right="0" w:hanging="0"/>
              <w:jc w:val="left"/>
              <w:rPr>
                <w:color w:val="575757"/>
              </w:rPr>
            </w:pPr>
            <w:r>
              <w:rPr>
                <w:color w:val="575757"/>
              </w:rPr>
              <w:t>​</w:t>
            </w:r>
          </w:p>
        </w:tc>
        <w:tc>
          <w:tcPr>
            <w:tcW w:w="665"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6" w:type="dxa"/>
            <w:tcBorders/>
            <w:vAlign w:val="center"/>
          </w:tcPr>
          <w:p>
            <w:pPr>
              <w:pStyle w:val="TableContents"/>
              <w:bidi w:val="0"/>
              <w:spacing w:before="0" w:after="0"/>
              <w:ind w:left="0" w:right="0" w:hanging="0"/>
              <w:jc w:val="left"/>
              <w:rPr>
                <w:color w:val="575757"/>
              </w:rPr>
            </w:pPr>
            <w:r>
              <w:rPr>
                <w:color w:val="575757"/>
              </w:rPr>
              <w:t>​</w:t>
            </w:r>
          </w:p>
        </w:tc>
        <w:tc>
          <w:tcPr>
            <w:tcW w:w="604"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6" w:type="dxa"/>
            <w:tcBorders/>
            <w:vAlign w:val="center"/>
          </w:tcPr>
          <w:p>
            <w:pPr>
              <w:pStyle w:val="TableContents"/>
              <w:bidi w:val="0"/>
              <w:spacing w:before="0" w:after="0"/>
              <w:ind w:left="0" w:right="0" w:hanging="0"/>
              <w:jc w:val="left"/>
              <w:rPr>
                <w:color w:val="575757"/>
              </w:rPr>
            </w:pPr>
            <w:r>
              <w:rPr>
                <w:color w:val="575757"/>
              </w:rPr>
              <w:t>​</w:t>
            </w:r>
          </w:p>
        </w:tc>
        <w:tc>
          <w:tcPr>
            <w:tcW w:w="82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6" w:type="dxa"/>
            <w:tcBorders/>
            <w:vAlign w:val="center"/>
          </w:tcPr>
          <w:p>
            <w:pPr>
              <w:pStyle w:val="TableContents"/>
              <w:bidi w:val="0"/>
              <w:spacing w:before="0" w:after="0"/>
              <w:ind w:left="0" w:right="0" w:hanging="0"/>
              <w:jc w:val="left"/>
              <w:rPr>
                <w:color w:val="575757"/>
              </w:rPr>
            </w:pPr>
            <w:r>
              <w:rPr>
                <w:color w:val="575757"/>
              </w:rPr>
              <w:t>​</w:t>
            </w:r>
          </w:p>
        </w:tc>
        <w:tc>
          <w:tcPr>
            <w:tcW w:w="82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31" w:type="dxa"/>
            <w:tcBorders/>
            <w:vAlign w:val="center"/>
          </w:tcPr>
          <w:p>
            <w:pPr>
              <w:pStyle w:val="TableContents"/>
              <w:bidi w:val="0"/>
              <w:spacing w:before="0" w:after="0"/>
              <w:ind w:left="0" w:right="0" w:hanging="0"/>
              <w:jc w:val="left"/>
              <w:rPr>
                <w:color w:val="575757"/>
              </w:rPr>
            </w:pPr>
            <w:r>
              <w:rPr>
                <w:color w:val="575757"/>
              </w:rPr>
              <w:t>​</w:t>
            </w:r>
          </w:p>
        </w:tc>
        <w:tc>
          <w:tcPr>
            <w:tcW w:w="975"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6" w:type="dxa"/>
            <w:tcBorders/>
            <w:vAlign w:val="center"/>
          </w:tcPr>
          <w:p>
            <w:pPr>
              <w:pStyle w:val="TableContents"/>
              <w:bidi w:val="0"/>
              <w:spacing w:before="0" w:after="0"/>
              <w:ind w:left="0" w:right="0" w:hanging="0"/>
              <w:jc w:val="left"/>
              <w:rPr>
                <w:color w:val="575757"/>
              </w:rPr>
            </w:pPr>
            <w:r>
              <w:rPr>
                <w:color w:val="575757"/>
              </w:rPr>
              <w:t>​</w:t>
            </w:r>
          </w:p>
        </w:tc>
        <w:tc>
          <w:tcPr>
            <w:tcW w:w="917" w:type="dxa"/>
            <w:tcBorders/>
            <w:vAlign w:val="center"/>
          </w:tcPr>
          <w:p>
            <w:pPr>
              <w:pStyle w:val="TableContents"/>
              <w:bidi w:val="0"/>
              <w:spacing w:before="0" w:after="0"/>
              <w:ind w:left="0" w:right="0" w:hanging="0"/>
              <w:jc w:val="left"/>
              <w:rPr>
                <w:color w:val="575757"/>
              </w:rPr>
            </w:pPr>
            <w:r>
              <w:rPr>
                <w:color w:val="575757"/>
              </w:rPr>
              <w:t>​</w:t>
            </w:r>
          </w:p>
        </w:tc>
        <w:tc>
          <w:tcPr>
            <w:tcW w:w="193"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526" w:name="_e25477e8_7fdd_4d9b_817a_e895bbfbb052"/>
      <w:bookmarkEnd w:id="526"/>
      <w:r>
        <w:rPr>
          <w:rFonts w:ascii="Times New Roman;Times;serif" w:hAnsi="Times New Roman;Times;serif"/>
          <w:b/>
          <w:sz w:val="20"/>
        </w:rPr>
        <w:t>AVNET, INC. AND SUBSIDIARIES</w:t>
      </w:r>
    </w:p>
    <w:p>
      <w:pPr>
        <w:pStyle w:val="TextBody"/>
        <w:bidi w:val="0"/>
        <w:spacing w:lineRule="auto" w:line="314" w:before="0" w:after="0"/>
        <w:ind w:left="0" w:right="0" w:hanging="0"/>
        <w:jc w:val="center"/>
        <w:rPr>
          <w:rFonts w:ascii="Times New Roman;Times;serif" w:hAnsi="Times New Roman;Times;serif"/>
          <w:b/>
          <w:sz w:val="20"/>
        </w:rPr>
      </w:pPr>
      <w:bookmarkStart w:id="527" w:name="CONSOLIDATEDSTATEMENTSOFCASHFLOWS_106270"/>
      <w:bookmarkEnd w:id="527"/>
      <w:r>
        <w:rPr>
          <w:rFonts w:ascii="Times New Roman;Times;serif" w:hAnsi="Times New Roman;Times;serif"/>
          <w:b/>
          <w:sz w:val="20"/>
        </w:rPr>
        <w:t>CONSOLIDATED STATEMENTS OF CASH FLOWS</w:t>
      </w:r>
    </w:p>
    <w:p>
      <w:pPr>
        <w:pStyle w:val="TextBody"/>
        <w:bidi w:val="0"/>
        <w:spacing w:before="0" w:after="0"/>
        <w:ind w:left="0" w:right="0" w:hanging="0"/>
        <w:jc w:val="center"/>
        <w:rPr/>
      </w:pPr>
      <w:r>
        <w:rPr/>
        <w:t>​</w:t>
      </w:r>
    </w:p>
    <w:p>
      <w:pPr>
        <w:pStyle w:val="TextBody"/>
        <w:bidi w:val="0"/>
        <w:spacing w:lineRule="auto" w:line="343" w:before="0" w:after="0"/>
        <w:ind w:left="0" w:right="0" w:hanging="0"/>
        <w:jc w:val="center"/>
        <w:rPr/>
      </w:pPr>
      <w:r>
        <w:rPr/>
        <w:t>​</w:t>
      </w:r>
    </w:p>
    <w:p>
      <w:pPr>
        <w:pStyle w:val="Normal"/>
        <w:bidi w:val="0"/>
        <w:spacing w:before="0" w:after="0"/>
        <w:jc w:val="left"/>
        <w:rPr>
          <w:sz w:val="4"/>
          <w:szCs w:val="4"/>
        </w:rPr>
      </w:pPr>
      <w:r>
        <w:rPr>
          <w:sz w:val="4"/>
          <w:szCs w:val="4"/>
        </w:rPr>
      </w:r>
      <w:bookmarkStart w:id="528" w:name="Tc_ipRnRIQDNE-JKTW7BaGu1A_43_8"/>
      <w:bookmarkStart w:id="529" w:name="Tc_EQKKlfuP50exeoV9hQUKfw_43_5"/>
      <w:bookmarkStart w:id="530" w:name="Tc_6l_-H-pZlkOJxwnMZyWKkw_43_2"/>
      <w:bookmarkStart w:id="531" w:name="Tc_1ciu1EY9J0KKd_-EbtfGCA_43_0"/>
      <w:bookmarkStart w:id="532" w:name="Tc_DCc38W9mJECpAbRfSSIyaw_42_0"/>
      <w:bookmarkStart w:id="533" w:name="Tc_uE_of9fYkEKED-3R2HHeGg_41_0"/>
      <w:bookmarkStart w:id="534" w:name="Tc_PKhgvRgndEa7jhE6hvau1g_40_0"/>
      <w:bookmarkStart w:id="535" w:name="Tc_eiw7RCuey0-A-N7EQASXVg_38_0"/>
      <w:bookmarkStart w:id="536" w:name="Tc_h1xcKc9LrEePPaQAKDm8YA_36_0"/>
      <w:bookmarkStart w:id="537" w:name="Tc_DE7w1frfJE6NcNt77D_8rw_35_0"/>
      <w:bookmarkStart w:id="538" w:name="Tc_oqbOCxLaZUu0bvuJbMByIw_34_0"/>
      <w:bookmarkStart w:id="539" w:name="Tc_VLZ1BXuoG0ayKIoLGo2OUA_33_0"/>
      <w:bookmarkStart w:id="540" w:name="Tc_xKNW5tGCsUq6f0OnWH_Jhg_31_0"/>
      <w:bookmarkStart w:id="541" w:name="Tc_0safH1AiOEOpbjRIWdLlHg_30_0"/>
      <w:bookmarkStart w:id="542" w:name="Tc_Bms_XkevJ0eVVgqEKJFH_A_29_0"/>
      <w:bookmarkStart w:id="543" w:name="Tc_xc8QJhYY_kOIhCN2NbCTxg_28_0"/>
      <w:bookmarkStart w:id="544" w:name="Tc_XlSScVNY9EeZOPz00X7Wpg_27_9"/>
      <w:bookmarkStart w:id="545" w:name="Tc_ttLlZ8uwXk-fZ-rwYh2qhg_27_6"/>
      <w:bookmarkStart w:id="546" w:name="Tc_bj-yii2GKk2JPSx3CZPeeA_27_0"/>
      <w:bookmarkStart w:id="547" w:name="Tc_VTf9dPm0WEuDJm_n2KYN3g_26_0"/>
      <w:bookmarkStart w:id="548" w:name="Tc_AHMujB9NbEyw-Af8_PLIKg_25_0"/>
      <w:bookmarkStart w:id="549" w:name="Tc_gObAXgQvcEKIHah4SSWRfQ_24_3"/>
      <w:bookmarkStart w:id="550" w:name="Tc_WGRGIKkMPUmkp9cQ9fryog_24_0"/>
      <w:bookmarkStart w:id="551" w:name="Tc_ehyg5XxK6kOGxeS-n5yUOQ_23_9"/>
      <w:bookmarkStart w:id="552" w:name="Tc_eOxCES1Qf0eVRzzDbi9_pg_23_6"/>
      <w:bookmarkStart w:id="553" w:name="Tc_bZDrrJX0eEKR9vKMIdbe8w_23_0"/>
      <w:bookmarkStart w:id="554" w:name="Tc_09JulOAJmUKMaKewujo7Pw_22_9"/>
      <w:bookmarkStart w:id="555" w:name="Tc_I3itLWetwUCHZhStq39q_A_22_6"/>
      <w:bookmarkStart w:id="556" w:name="Tc_xJncXxmCEUiHdFVWu1W-cw_22_0"/>
      <w:bookmarkStart w:id="557" w:name="Tc_bPN_wpa210a0eeeRMNaJyQ_21_0"/>
      <w:bookmarkStart w:id="558" w:name="Tc_ju-tCueha0qgTwJ5XBjprw_19_0"/>
      <w:bookmarkStart w:id="559" w:name="Tc_t3P6iEA_h0-e8WqD6RDW-Q_18_0"/>
      <w:bookmarkStart w:id="560" w:name="Tc_qnZiQ7QZFkCtX5jw_eEHrA_17_0"/>
      <w:bookmarkStart w:id="561" w:name="Tc_GMj5oBKut0CqJvAO9vw1zg_16_0"/>
      <w:bookmarkStart w:id="562" w:name="Tc_GHTEv-3WHkGppQM7h_9-iQ_15_0"/>
      <w:bookmarkStart w:id="563" w:name="Tc_fpxYW0a3hkO4R2WJAukNrw_14_0"/>
      <w:bookmarkStart w:id="564" w:name="Tc_Niteb0ZrqU6Vw4gozW3ngA_13_0"/>
      <w:bookmarkStart w:id="565" w:name="Tc_rggqFjutjU-pjRdWK094Mw_12_0"/>
      <w:bookmarkStart w:id="566" w:name="Tc_3tb9ZTZNkkeUt9piZWqSFw_11_0"/>
      <w:bookmarkStart w:id="567" w:name="Tc_QJfYFU6PYUaitN7Qr6ZHQw_10_0"/>
      <w:bookmarkStart w:id="568" w:name="Tc_sgYcR3CrIEOIubSsM0Z-pg_9_0"/>
      <w:bookmarkStart w:id="569" w:name="Tc_yeZibhcgqUaZiut4dlXtBA_8_0"/>
      <w:bookmarkStart w:id="570" w:name="Tc_6LA6qEI5QUuO-k3k-N3blw_6_8"/>
      <w:bookmarkStart w:id="571" w:name="Tc_OVq_6kMzRkaGjeJSJyrRHw_6_5"/>
      <w:bookmarkStart w:id="572" w:name="Tc_jsChk5vEokui10pwmFeYrw_6_2"/>
      <w:bookmarkStart w:id="573" w:name="Tc_rAIt-j-EwEWTBwe9JpEUGQ_6_0"/>
      <w:bookmarkStart w:id="574" w:name="Tc_J47dglErHESVriErYSMywg_5_0"/>
      <w:bookmarkStart w:id="575" w:name="Tc_TYn9U2-H7UmExyda3rxeXg_4_2"/>
      <w:bookmarkStart w:id="576" w:name="Tc_gNsH7PDB1kW8M2Ajmg1FHQ_3_8"/>
      <w:bookmarkStart w:id="577" w:name="Tc_54zwLonrL0iveU03MzJX4Q_3_5"/>
      <w:bookmarkStart w:id="578" w:name="Tc_AWa2y3tJ-EKxu6G410C--g_3_2"/>
      <w:bookmarkStart w:id="579" w:name="Tc_hn0Nit7e6kyXmyEktAII6g_2_8"/>
      <w:bookmarkStart w:id="580" w:name="Tc_Dx7iOFusQ0COpRwYnByiag_2_5"/>
      <w:bookmarkStart w:id="581" w:name="Tc_i-p8101E60yAxpj71tlf-A_2_2"/>
      <w:bookmarkStart w:id="582" w:name="Tc_ofv3cBONvkG4JZJ_juhSjA_1_2"/>
      <w:bookmarkStart w:id="583" w:name="_8c540854_e4d0_4d3e_a293_db9c14ac4c8c"/>
      <w:bookmarkStart w:id="584" w:name="Tc_ipRnRIQDNE-JKTW7BaGu1A_43_8"/>
      <w:bookmarkStart w:id="585" w:name="Tc_EQKKlfuP50exeoV9hQUKfw_43_5"/>
      <w:bookmarkStart w:id="586" w:name="Tc_6l_-H-pZlkOJxwnMZyWKkw_43_2"/>
      <w:bookmarkStart w:id="587" w:name="Tc_1ciu1EY9J0KKd_-EbtfGCA_43_0"/>
      <w:bookmarkStart w:id="588" w:name="Tc_DCc38W9mJECpAbRfSSIyaw_42_0"/>
      <w:bookmarkStart w:id="589" w:name="Tc_uE_of9fYkEKED-3R2HHeGg_41_0"/>
      <w:bookmarkStart w:id="590" w:name="Tc_PKhgvRgndEa7jhE6hvau1g_40_0"/>
      <w:bookmarkStart w:id="591" w:name="Tc_eiw7RCuey0-A-N7EQASXVg_38_0"/>
      <w:bookmarkStart w:id="592" w:name="Tc_h1xcKc9LrEePPaQAKDm8YA_36_0"/>
      <w:bookmarkStart w:id="593" w:name="Tc_DE7w1frfJE6NcNt77D_8rw_35_0"/>
      <w:bookmarkStart w:id="594" w:name="Tc_oqbOCxLaZUu0bvuJbMByIw_34_0"/>
      <w:bookmarkStart w:id="595" w:name="Tc_VLZ1BXuoG0ayKIoLGo2OUA_33_0"/>
      <w:bookmarkStart w:id="596" w:name="Tc_xKNW5tGCsUq6f0OnWH_Jhg_31_0"/>
      <w:bookmarkStart w:id="597" w:name="Tc_0safH1AiOEOpbjRIWdLlHg_30_0"/>
      <w:bookmarkStart w:id="598" w:name="Tc_Bms_XkevJ0eVVgqEKJFH_A_29_0"/>
      <w:bookmarkStart w:id="599" w:name="Tc_xc8QJhYY_kOIhCN2NbCTxg_28_0"/>
      <w:bookmarkStart w:id="600" w:name="Tc_XlSScVNY9EeZOPz00X7Wpg_27_9"/>
      <w:bookmarkStart w:id="601" w:name="Tc_ttLlZ8uwXk-fZ-rwYh2qhg_27_6"/>
      <w:bookmarkStart w:id="602" w:name="Tc_bj-yii2GKk2JPSx3CZPeeA_27_0"/>
      <w:bookmarkStart w:id="603" w:name="Tc_VTf9dPm0WEuDJm_n2KYN3g_26_0"/>
      <w:bookmarkStart w:id="604" w:name="Tc_AHMujB9NbEyw-Af8_PLIKg_25_0"/>
      <w:bookmarkStart w:id="605" w:name="Tc_gObAXgQvcEKIHah4SSWRfQ_24_3"/>
      <w:bookmarkStart w:id="606" w:name="Tc_WGRGIKkMPUmkp9cQ9fryog_24_0"/>
      <w:bookmarkStart w:id="607" w:name="Tc_ehyg5XxK6kOGxeS-n5yUOQ_23_9"/>
      <w:bookmarkStart w:id="608" w:name="Tc_eOxCES1Qf0eVRzzDbi9_pg_23_6"/>
      <w:bookmarkStart w:id="609" w:name="Tc_bZDrrJX0eEKR9vKMIdbe8w_23_0"/>
      <w:bookmarkStart w:id="610" w:name="Tc_09JulOAJmUKMaKewujo7Pw_22_9"/>
      <w:bookmarkStart w:id="611" w:name="Tc_I3itLWetwUCHZhStq39q_A_22_6"/>
      <w:bookmarkStart w:id="612" w:name="Tc_xJncXxmCEUiHdFVWu1W-cw_22_0"/>
      <w:bookmarkStart w:id="613" w:name="Tc_bPN_wpa210a0eeeRMNaJyQ_21_0"/>
      <w:bookmarkStart w:id="614" w:name="Tc_ju-tCueha0qgTwJ5XBjprw_19_0"/>
      <w:bookmarkStart w:id="615" w:name="Tc_t3P6iEA_h0-e8WqD6RDW-Q_18_0"/>
      <w:bookmarkStart w:id="616" w:name="Tc_qnZiQ7QZFkCtX5jw_eEHrA_17_0"/>
      <w:bookmarkStart w:id="617" w:name="Tc_GMj5oBKut0CqJvAO9vw1zg_16_0"/>
      <w:bookmarkStart w:id="618" w:name="Tc_GHTEv-3WHkGppQM7h_9-iQ_15_0"/>
      <w:bookmarkStart w:id="619" w:name="Tc_fpxYW0a3hkO4R2WJAukNrw_14_0"/>
      <w:bookmarkStart w:id="620" w:name="Tc_Niteb0ZrqU6Vw4gozW3ngA_13_0"/>
      <w:bookmarkStart w:id="621" w:name="Tc_rggqFjutjU-pjRdWK094Mw_12_0"/>
      <w:bookmarkStart w:id="622" w:name="Tc_3tb9ZTZNkkeUt9piZWqSFw_11_0"/>
      <w:bookmarkStart w:id="623" w:name="Tc_QJfYFU6PYUaitN7Qr6ZHQw_10_0"/>
      <w:bookmarkStart w:id="624" w:name="Tc_sgYcR3CrIEOIubSsM0Z-pg_9_0"/>
      <w:bookmarkStart w:id="625" w:name="Tc_yeZibhcgqUaZiut4dlXtBA_8_0"/>
      <w:bookmarkStart w:id="626" w:name="Tc_6LA6qEI5QUuO-k3k-N3blw_6_8"/>
      <w:bookmarkStart w:id="627" w:name="Tc_OVq_6kMzRkaGjeJSJyrRHw_6_5"/>
      <w:bookmarkStart w:id="628" w:name="Tc_jsChk5vEokui10pwmFeYrw_6_2"/>
      <w:bookmarkStart w:id="629" w:name="Tc_rAIt-j-EwEWTBwe9JpEUGQ_6_0"/>
      <w:bookmarkStart w:id="630" w:name="Tc_J47dglErHESVriErYSMywg_5_0"/>
      <w:bookmarkStart w:id="631" w:name="Tc_TYn9U2-H7UmExyda3rxeXg_4_2"/>
      <w:bookmarkStart w:id="632" w:name="Tc_gNsH7PDB1kW8M2Ajmg1FHQ_3_8"/>
      <w:bookmarkStart w:id="633" w:name="Tc_54zwLonrL0iveU03MzJX4Q_3_5"/>
      <w:bookmarkStart w:id="634" w:name="Tc_AWa2y3tJ-EKxu6G410C--g_3_2"/>
      <w:bookmarkStart w:id="635" w:name="Tc_hn0Nit7e6kyXmyEktAII6g_2_8"/>
      <w:bookmarkStart w:id="636" w:name="Tc_Dx7iOFusQ0COpRwYnByiag_2_5"/>
      <w:bookmarkStart w:id="637" w:name="Tc_i-p8101E60yAxpj71tlf-A_2_2"/>
      <w:bookmarkStart w:id="638" w:name="Tc_ofv3cBONvkG4JZJ_juhSjA_1_2"/>
      <w:bookmarkStart w:id="639" w:name="_8c540854_e4d0_4d3e_a293_db9c14ac4c8c"/>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10205" w:type="dxa"/>
        <w:jc w:val="left"/>
        <w:tblInd w:w="0" w:type="dxa"/>
        <w:tblLayout w:type="fixed"/>
        <w:tblCellMar>
          <w:top w:w="0" w:type="dxa"/>
          <w:left w:w="0" w:type="dxa"/>
          <w:bottom w:w="0" w:type="dxa"/>
          <w:right w:w="0" w:type="dxa"/>
        </w:tblCellMar>
      </w:tblPr>
      <w:tblGrid>
        <w:gridCol w:w="5839"/>
        <w:gridCol w:w="146"/>
        <w:gridCol w:w="211"/>
        <w:gridCol w:w="1049"/>
        <w:gridCol w:w="346"/>
        <w:gridCol w:w="211"/>
        <w:gridCol w:w="899"/>
        <w:gridCol w:w="346"/>
        <w:gridCol w:w="211"/>
        <w:gridCol w:w="947"/>
      </w:tblGrid>
      <w:tr>
        <w:trPr/>
        <w:tc>
          <w:tcPr>
            <w:tcW w:w="5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707765" cy="175260"/>
                      <wp:effectExtent l="0" t="0" r="0" b="0"/>
                      <wp:wrapNone/>
                      <wp:docPr id="190" name="Frame189"/>
                      <a:graphic xmlns:a="http://schemas.openxmlformats.org/drawingml/2006/main">
                        <a:graphicData uri="http://schemas.microsoft.com/office/word/2010/wordprocessingShape">
                          <wps:wsp>
                            <wps:cNvSpPr txBox="1"/>
                            <wps:spPr>
                              <a:xfrm>
                                <a:off x="0" y="0"/>
                                <a:ext cx="3707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2710" cy="175260"/>
                      <wp:effectExtent l="0" t="0" r="0" b="0"/>
                      <wp:wrapNone/>
                      <wp:docPr id="191" name="Frame1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6115" cy="175260"/>
                      <wp:effectExtent l="0" t="0" r="0" b="0"/>
                      <wp:wrapNone/>
                      <wp:docPr id="193" name="Frame192"/>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70865" cy="175260"/>
                      <wp:effectExtent l="0" t="0" r="0" b="0"/>
                      <wp:wrapNone/>
                      <wp:docPr id="196" name="Frame19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01345" cy="175260"/>
                      <wp:effectExtent l="0" t="0" r="0" b="0"/>
                      <wp:wrapNone/>
                      <wp:docPr id="199" name="Frame19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4220"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Years Ended</w:t>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27,</w:t>
            </w:r>
          </w:p>
        </w:tc>
        <w:tc>
          <w:tcPr>
            <w:tcW w:w="346" w:type="dxa"/>
            <w:tcBorders/>
            <w:vAlign w:val="center"/>
          </w:tcPr>
          <w:p>
            <w:pPr>
              <w:pStyle w:val="TableContents"/>
              <w:bidi w:val="0"/>
              <w:spacing w:before="0" w:after="0"/>
              <w:ind w:left="0" w:right="0" w:hanging="0"/>
              <w:jc w:val="center"/>
              <w:rPr/>
            </w:pPr>
            <w:r>
              <w:rPr/>
              <w:t>  ​ ​ ​</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28,</w:t>
            </w:r>
          </w:p>
        </w:tc>
        <w:tc>
          <w:tcPr>
            <w:tcW w:w="346" w:type="dxa"/>
            <w:tcBorders/>
            <w:vAlign w:val="center"/>
          </w:tcPr>
          <w:p>
            <w:pPr>
              <w:pStyle w:val="TableContents"/>
              <w:bidi w:val="0"/>
              <w:spacing w:before="0" w:after="0"/>
              <w:ind w:left="0" w:right="0" w:hanging="0"/>
              <w:jc w:val="center"/>
              <w:rPr/>
            </w:pPr>
            <w:r>
              <w:rPr/>
              <w:t>  ​ ​ ​</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29,</w:t>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2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0"/>
              <w:ind w:left="0" w:right="0" w:hanging="0"/>
              <w:jc w:val="center"/>
              <w:rPr/>
            </w:pPr>
            <w:r>
              <w:rPr/>
              <w:t>​</w:t>
            </w:r>
          </w:p>
        </w:tc>
        <w:tc>
          <w:tcPr>
            <w:tcW w:w="11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6" w:type="dxa"/>
            <w:tcBorders/>
            <w:vAlign w:val="center"/>
          </w:tcPr>
          <w:p>
            <w:pPr>
              <w:pStyle w:val="TableContents"/>
              <w:bidi w:val="0"/>
              <w:spacing w:before="0" w:after="0"/>
              <w:ind w:left="0" w:right="0" w:hanging="0"/>
              <w:jc w:val="center"/>
              <w:rPr/>
            </w:pPr>
            <w:r>
              <w:rPr/>
              <w:t>​</w:t>
            </w:r>
          </w:p>
        </w:tc>
        <w:tc>
          <w:tcPr>
            <w:tcW w:w="115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4220" w:type="dxa"/>
            <w:gridSpan w:val="8"/>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lef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334,389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240,217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498,699</w:t>
            </w:r>
          </w:p>
        </w:tc>
      </w:tr>
      <w:tr>
        <w:trPr/>
        <w:tc>
          <w:tcPr>
            <w:tcW w:w="583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and other reconciling items: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86,708</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operating lease assets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53,796</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(9,749)</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48,692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33,496</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15,800</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of effects from businesses acquired and divested):</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(2,614,899)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316,218</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(918,329)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409,553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(51,203)</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2,608,416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101,702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4,496</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net</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122,455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(292,625)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(258,277)</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provided by operating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(280,925)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724,504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689,984</w:t>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notes, net of issuance costs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public notes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(repayments) under accounts receivable securitization, net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(140,700)</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(repayments) under senior unsecured credit facility, net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157,938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(43,277)</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(repayments) under bank credit facilities and other debt, net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27,491</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term loan</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Repurchases of common stock </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(138,308)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(303,490)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(162,723)</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on common stock</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(114,361)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(113,310)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(111,963)</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(2,627)</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flows provided by (used for) financing activities </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(693,526)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(433,799)</w:t>
            </w:r>
          </w:p>
        </w:tc>
      </w:tr>
      <w:tr>
        <w:trPr/>
        <w:tc>
          <w:tcPr>
            <w:tcW w:w="583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(226,478)</w:t>
            </w:r>
          </w:p>
        </w:tc>
      </w:tr>
      <w:tr>
        <w:trPr/>
        <w:tc>
          <w:tcPr>
            <w:tcW w:w="58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994</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investing activities</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(71,473)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(225,484)</w:t>
            </w:r>
          </w:p>
        </w:tc>
      </w:tr>
      <w:tr>
        <w:trPr/>
        <w:tc>
          <w:tcPr>
            <w:tcW w:w="583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(7,990)</w:t>
            </w:r>
          </w:p>
        </w:tc>
      </w:tr>
      <w:tr>
        <w:trPr/>
        <w:tc>
          <w:tcPr>
            <w:tcW w:w="583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58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5839"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increase (decrease)</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(37,032)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(118,513)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22,711</w:t>
            </w:r>
          </w:p>
        </w:tc>
      </w:tr>
      <w:tr>
        <w:trPr/>
        <w:tc>
          <w:tcPr>
            <w:tcW w:w="5839"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beginning of period</w:t>
            </w:r>
          </w:p>
        </w:tc>
        <w:tc>
          <w:tcPr>
            <w:tcW w:w="146" w:type="dxa"/>
            <w:tcBorders/>
            <w:vAlign w:val="center"/>
          </w:tcPr>
          <w:p>
            <w:pPr>
              <w:pStyle w:val="TableContents"/>
              <w:bidi w:val="0"/>
              <w:spacing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9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310,941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4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288,230</w:t>
            </w:r>
          </w:p>
        </w:tc>
      </w:tr>
      <w:tr>
        <w:trPr/>
        <w:tc>
          <w:tcPr>
            <w:tcW w:w="5839"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end of period</w:t>
            </w:r>
          </w:p>
        </w:tc>
        <w:tc>
          <w:tcPr>
            <w:tcW w:w="1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155,396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310,941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cash flow information (Note 15)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lineRule="auto" w:line="343" w:before="20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bidi w:val="0"/>
        <w:spacing w:lineRule="auto" w:line="343" w:before="200" w:after="0"/>
        <w:ind w:left="0" w:right="0" w:hanging="0"/>
        <w:jc w:val="left"/>
        <w:rPr>
          <w:rFonts w:ascii="Times New Roman;Times;serif" w:hAnsi="Times New Roman;Times;serif"/>
          <w:b/>
          <w:sz w:val="20"/>
        </w:rPr>
      </w:pPr>
      <w:bookmarkStart w:id="640" w:name="Summaryofsignificantaccountingpolicies_8"/>
      <w:bookmarkEnd w:id="640"/>
      <w:r>
        <w:rPr>
          <w:rFonts w:ascii="Times New Roman;Times;serif" w:hAnsi="Times New Roman;Times;serif"/>
          <w:b/>
          <w:sz w:val="20"/>
        </w:rPr>
        <w:t>1. Summary of significant accounting policies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 The accompanying consolidated financial statements include the accounts of Avnet, Inc. and all of its majority-owned and controlled subsidiaries (the “Company” or “Avnet”). All intercompany and intracompany accounts and transactions have been eliminated.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Reclassifications</w:t>
      </w:r>
      <w:r>
        <w:rPr>
          <w:rFonts w:ascii="Times New Roman;Times;serif" w:hAnsi="Times New Roman;Times;serif"/>
          <w:sz w:val="20"/>
        </w:rPr>
        <w:t xml:space="preserve"> — Certain prior period amounts have been reclassified or combined to conform to the current period presentation.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Fiscal year</w:t>
      </w:r>
      <w:r>
        <w:rPr>
          <w:rFonts w:ascii="Times New Roman;Times;serif" w:hAnsi="Times New Roman;Times;serif"/>
          <w:sz w:val="20"/>
        </w:rPr>
        <w:t xml:space="preserve"> — The Company operates on a “52/53 week” fiscal year, which ends on the Saturday closest to June 30th. Fiscal 2026, 2025 and 2024 contain 52 weeks, and fiscal 2027 will contain 53 weeks. Unless otherwise noted, all references to “fiscal” or “year” shall mean the Company’s fiscal year.</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Management estimates</w:t>
      </w:r>
      <w:r>
        <w:rPr>
          <w:rFonts w:ascii="Times New Roman;Times;serif" w:hAnsi="Times New Roman;Times;serif"/>
          <w:sz w:val="20"/>
        </w:rPr>
        <w:t xml:space="preserve"> — The preparation of financial statements in conformity with generally accepted accounting 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Cash and cash equivalents</w:t>
      </w:r>
      <w:r>
        <w:rPr>
          <w:rFonts w:ascii="Times New Roman;Times;serif" w:hAnsi="Times New Roman;Times;serif"/>
          <w:sz w:val="20"/>
        </w:rPr>
        <w:t xml:space="preserve"> — The Company considers all highly liquid investments with an original maturity of three months or less including money market funds to be cash equivalents.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 xml:space="preserve">Receivables – </w:t>
      </w:r>
      <w:r>
        <w:rPr>
          <w:rFonts w:ascii="Times New Roman;Times;serif" w:hAnsi="Times New Roman;Times;serif"/>
          <w:sz w:val="20"/>
        </w:rPr>
        <w:t>Receivables, predominately comprised of customer trade accounts, are reported at 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Inventories</w:t>
      </w:r>
      <w:r>
        <w:rPr>
          <w:rFonts w:ascii="Times New Roman;Times;serif" w:hAnsi="Times New Roman;Times;serif"/>
          <w:sz w:val="20"/>
        </w:rPr>
        <w:t xml:space="preserve"> — Inventories, comprised principally of finished goods, are stated at the lower of cost or net realizable value. Cost is determined on a first-in, first-out or moving average cost basis, which approximates the first-in, first-out method.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vendor rebates, excess, and obsolescence allowances, or price protections provided by the Company’s suppliers. It records the lower of cost or net realizable value write-down if any inventories have a cost in excess of such inventories’ estimated net realizable value.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Depreciation, amortization and useful lives</w:t>
      </w:r>
      <w:r>
        <w:rPr>
          <w:rFonts w:ascii="Times New Roman;Times;serif" w:hAnsi="Times New Roman;Times;serif"/>
          <w:sz w:val="20"/>
        </w:rPr>
        <w:t xml:space="preserve"> — The Company reports property, plant, and equipment at cost, less 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Long-lived asset impairment</w:t>
      </w:r>
      <w:r>
        <w:rPr>
          <w:rFonts w:ascii="Times New Roman;Times;serif" w:hAnsi="Times New Roman;Times;serif"/>
          <w:sz w:val="20"/>
        </w:rPr>
        <w:t xml:space="preserve"> — Long-lived assets, including property, plant, equipment, intangible assets and 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i/>
          <w:sz w:val="20"/>
        </w:rPr>
        <w:t xml:space="preserve">Leases </w:t>
      </w:r>
      <w:r>
        <w:rPr>
          <w:rFonts w:ascii="Times New Roman;Times;serif" w:hAnsi="Times New Roman;Times;serif"/>
          <w:sz w:val="20"/>
        </w:rPr>
        <w:t>— Substantially all the Company’s leases are classified as operating leases and are predominately related to real property for distribution centers, office space, and integration facilities, with a lease term of up to 75 years. The Company’s equipment leases are primarily for automobiles, distribution center equipment and office equipment, which are not material to the consolidated financial statements.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determines if an arrangement contains a lease at inception.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leases generally do not provide an implicit borrowing rate, as such, the discount rate used to calculate present value is based upon an estimate of the Company’s secured borrowing rate, which varies based on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i/>
          <w:sz w:val="20"/>
        </w:rPr>
        <w:t>Goodwill</w:t>
      </w:r>
      <w:r>
        <w:rPr>
          <w:rFonts w:ascii="Times New Roman;Times;serif" w:hAnsi="Times New Roman;Times;serif"/>
          <w:sz w:val="20"/>
        </w:rPr>
        <w:t xml:space="preserve"> — Goodwill represents the excess of the purchase price of acquired businesses over the estimated fair value 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sz w:val="20"/>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xml:space="preserve"> – The Company records its convertible debt as a liability, measured at amortized cost. Unamortized debt issuance costs associated with the Company’s convertible debt are presented in the consolidated balance sheets as a reduction of long-term debt. These issuance costs are amortized on a straight-line basis, which closely approximates the effective interest rate method, to interest expense over the term of the convertible debt. See Note 7, “Debt”, for further details.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Foreign currency translation</w:t>
      </w:r>
      <w:r>
        <w:rPr>
          <w:rFonts w:ascii="Times New Roman;Times;serif" w:hAnsi="Times New Roman;Times;serif"/>
          <w:sz w:val="20"/>
        </w:rPr>
        <w:t xml:space="preserve"> — The assets and liabilities of foreign operations are translated into U.S. Dollars at the 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 The Company follows the asset and liability method of accounting for income taxes. Deferred 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tax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 Revenue is recognized at the point at which control of the underlying products are 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supplier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which is typically over a few weeks. The contract assets associated with such specialized manufacturing products are not material.</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control of inventory and the related inventory risk before the specified products have been transferred to a customer or after transfer of control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customer; and (iii) the Company has discretion in establishing the price for the specified products. If a transaction does not meet the Company’s indicators of being a principal in the transaction, then the Company is acting as an agent in the transaction and the associated revenues are recognized on a net basis.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contracts with certain customers where the Company's performance obligation is to arrange for the products or services to be provided by another party. In these arrangements, as the Company assumes an agency relationship in the transaction, revenue is recognized in the amount of the net fee associated with serving as an agent. These arrangements primarily relate to the sale of electronic component supply chain services or to a lesser extent supplier software services.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Sales tax and other tax amounts collected from customers for remittance to governmental authorities are excluded from revenue. The Company accounts for shipping and handling of product as a fulfillment activity. The Company does not have any payment terms that exceed one year from the point it has satisfied the related performance obligations. Tariffs are included in sales as the company has enforceable rights to additional consideration to cover the cost of tariffs. Other taxes imposed by governmental authorities on the company's revenue producing activities with customers, such as sales taxes and value added taxes, are excluded from net sales.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Vendor allowances and consideration </w:t>
      </w:r>
      <w:r>
        <w:rPr>
          <w:rFonts w:ascii="Times New Roman;Times;serif" w:hAnsi="Times New Roman;Times;serif"/>
          <w:sz w:val="20"/>
        </w:rPr>
        <w:t>— Consideration received from suppliers for price protection, product rebates, sell through incentives, 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multiple periods.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 xml:space="preserve">Comprehensive income (loss) </w:t>
      </w:r>
      <w:r>
        <w:rPr>
          <w:rFonts w:ascii="Times New Roman;Times;serif" w:hAnsi="Times New Roman;Times;serif"/>
          <w:sz w:val="20"/>
        </w:rPr>
        <w:t>— Comprehensive income (loss) represents net income for the year adjusted for certain changes in shareholders’ equity. Accumulated comprehensive income (loss) items impacting comprehensive income (loss) includes foreign currency translation, unrealized gains and losses on derivative instruments designated and qualifying as net investment hedges, and the impact of the Company’s pension liability adjustments, net of tax.</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xml:space="preserve"> — The Company measures stock-based payments at fair value and generally recognizes the associated operating expense in the consolidated statements of operations over the requisite service period.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 xml:space="preserve">Restructuring and exit activities </w:t>
      </w:r>
      <w:r>
        <w:rPr>
          <w:rFonts w:ascii="Times New Roman;Times;serif" w:hAnsi="Times New Roman;Times;serif"/>
          <w:sz w:val="20"/>
        </w:rPr>
        <w:t xml:space="preserve">— The determination of when the Company accrues for involuntary termination 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Times New Roman;Times;serif" w:hAnsi="Times New Roman;Times;serif"/>
          <w:i/>
          <w:sz w:val="20"/>
        </w:rPr>
        <w:t>Nonretirement Postemployment Benefits</w:t>
      </w:r>
      <w:r>
        <w:rPr>
          <w:rFonts w:ascii="Times New Roman;Times;serif" w:hAnsi="Times New Roman;Times;serif"/>
          <w:sz w:val="20"/>
        </w:rPr>
        <w:t xml:space="preserve"> and accounts for one-time benefit arrangements in accordance with ASC 420 </w:t>
      </w:r>
      <w:r>
        <w:rPr>
          <w:rFonts w:ascii="Times New Roman;Times;serif" w:hAnsi="Times New Roman;Times;serif"/>
          <w:i/>
          <w:sz w:val="20"/>
        </w:rPr>
        <w:t>Exit or Disposal Cost Obligations</w:t>
      </w:r>
      <w:r>
        <w:rPr>
          <w:rFonts w:ascii="Times New Roman;Times;serif" w:hAnsi="Times New Roman;Times;serif"/>
          <w:sz w:val="20"/>
        </w:rPr>
        <w:t xml:space="preserve">. If applicable, the Company records such costs into operating expense over the terminated employee’s future service period beyond any minimum retention period. Other costs associated with restructuring or exit activities may include contract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termination costs and impairments of long-lived assets, which are expensed in accordance with ASC 420 </w:t>
      </w:r>
      <w:r>
        <w:rPr>
          <w:rFonts w:ascii="Times New Roman;Times;serif" w:hAnsi="Times New Roman;Times;serif"/>
          <w:i/>
          <w:sz w:val="20"/>
        </w:rPr>
        <w:t>Exit or Disposal Cost Obligations</w:t>
      </w:r>
      <w:r>
        <w:rPr>
          <w:rFonts w:ascii="Times New Roman;Times;serif" w:hAnsi="Times New Roman;Times;serif"/>
          <w:sz w:val="20"/>
        </w:rPr>
        <w:t xml:space="preserve"> and ASC 360 </w:t>
      </w:r>
      <w:r>
        <w:rPr>
          <w:rFonts w:ascii="Times New Roman;Times;serif" w:hAnsi="Times New Roman;Times;serif"/>
          <w:i/>
          <w:sz w:val="20"/>
        </w:rPr>
        <w:t>Property, Plant and Equipment</w:t>
      </w:r>
      <w:r>
        <w:rPr>
          <w:rFonts w:ascii="Times New Roman;Times;serif" w:hAnsi="Times New Roman;Times;serif"/>
          <w:sz w:val="20"/>
        </w:rPr>
        <w:t xml:space="preserve">, respectively.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Gain</w:t>
      </w:r>
      <w:r>
        <w:rPr>
          <w:rFonts w:ascii="Times New Roman;Times;serif" w:hAnsi="Times New Roman;Times;serif"/>
          <w:sz w:val="20"/>
        </w:rPr>
        <w:t xml:space="preserve"> </w:t>
      </w:r>
      <w:r>
        <w:rPr>
          <w:rFonts w:ascii="Times New Roman;Times;serif" w:hAnsi="Times New Roman;Times;serif"/>
          <w:i/>
          <w:sz w:val="20"/>
        </w:rPr>
        <w:t xml:space="preserve">on legal settlements — </w:t>
      </w:r>
      <w:r>
        <w:rPr>
          <w:rFonts w:ascii="Times New Roman;Times;serif" w:hAnsi="Times New Roman;Times;serif"/>
          <w:sz w:val="20"/>
        </w:rPr>
        <w:t>The Company recognizes gains on legal settlements only when such gains are realized or realizable.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Concentration of credit risk</w:t>
      </w:r>
      <w:r>
        <w:rPr>
          <w:rFonts w:ascii="Times New Roman;Times;serif" w:hAnsi="Times New Roman;Times;serif"/>
          <w:sz w:val="20"/>
        </w:rPr>
        <w:t xml:space="preserve"> — Financial instruments that potentially subject the Company to a concentration of 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Fair value</w:t>
      </w:r>
      <w:r>
        <w:rPr>
          <w:rFonts w:ascii="Times New Roman;Times;serif" w:hAnsi="Times New Roman;Times;serif"/>
          <w:sz w:val="20"/>
        </w:rPr>
        <w:t xml:space="preserve"> — The Company measures financial assets and liabilities at fair value based upon an exit price, representing the amount that would be received from the sale of an asset, or paid to transfer a liability, in an orderly transaction between market participants. ASC 820, </w:t>
      </w:r>
      <w:r>
        <w:rPr>
          <w:rFonts w:ascii="Times New Roman;Times;serif" w:hAnsi="Times New Roman;Times;serif"/>
          <w:i/>
          <w:sz w:val="20"/>
        </w:rPr>
        <w:t>Fair Value Measurements</w:t>
      </w:r>
      <w:r>
        <w:rPr>
          <w:rFonts w:ascii="Times New Roman;Times;serif" w:hAnsi="Times New Roman;Times;serif"/>
          <w:sz w:val="20"/>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2026, 2025, and 2024, there were no transfers of assets measured at fair value between the three levels of the fair value hierarchy. The carrying amounts of the Company’s financial instruments, including cash equivalents, receivables, and accounts payable approximate their fair values at June 27, 2026, due to the short-term nature of these assets and liabilities. At June 27, 2026, and June 28, 2025, the Company had $0.3 million and $3.5 million, respectively, of cash equivalents that were measured at fair value based upon Level 1 criteria.</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Investments</w:t>
      </w:r>
      <w:r>
        <w:rPr>
          <w:rFonts w:ascii="Times New Roman;Times;serif" w:hAnsi="Times New Roman;Times;serif"/>
          <w:sz w:val="20"/>
        </w:rPr>
        <w:t xml:space="preserve"> — Equity investments in businesses or start-up companies (“ventures”) are accounted for using the 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net” in the Company’s consolidated statements of operations. As of June 27, 2026, the Company’s investment in a venture was $25.9 million.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i/>
          <w:sz w:val="20"/>
        </w:rPr>
        <w:t>Environmental liabilities</w:t>
      </w:r>
      <w:r>
        <w:rPr>
          <w:rFonts w:ascii="Times New Roman;Times;serif" w:hAnsi="Times New Roman;Times;serif"/>
          <w:sz w:val="20"/>
        </w:rPr>
        <w:t xml:space="preserve"> — The Company accrues for environmental liabilities when it is probable that obligations have been incurred, and the associated amounts can be reasonably estimated. The Company uses a third-party specialist to assist in appropriately measuring its obligations associated with environmental liabilities. Such liabilities are adjusted as new information develops or circumstances change. The Company does not discount its environmental liabilities as the timing of the anticipated cash payments is not fixed or readily determinable. The Company’s estimate of its potential liability is independent of any potential recovery of insurance proceeds or indemnification arrangements and the Company’s environmental liabilities have not been reduced for potential insurance recoveries.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i/>
          <w:sz w:val="20"/>
        </w:rPr>
        <w:t>Recently adopted accounting pronouncements</w:t>
      </w:r>
      <w:r>
        <w:rPr>
          <w:rFonts w:ascii="Times New Roman;Times;serif" w:hAnsi="Times New Roman;Times;serif"/>
          <w:sz w:val="20"/>
        </w:rPr>
        <w:t xml:space="preserve"> — In November 2024, the FASB issued ASU 2024-04, </w:t>
      </w:r>
      <w:r>
        <w:rPr>
          <w:rFonts w:ascii="Times New Roman;Times;serif" w:hAnsi="Times New Roman;Times;serif"/>
          <w:i/>
          <w:sz w:val="20"/>
        </w:rPr>
        <w:t>Debt—Debt with Conversion and Other Options (Subtopic 470-20): Induced Conversions of Convertible Debt Instruments</w:t>
      </w:r>
      <w:r>
        <w:rPr>
          <w:rFonts w:ascii="Times New Roman;Times;serif" w:hAnsi="Times New Roman;Times;serif"/>
          <w:sz w:val="20"/>
        </w:rPr>
        <w:t xml:space="preserve"> (“ASU No. 2024-04”), which clarifies the requirements for determining whether certain settlements of convertible debt should be accounted for as an induced conversion. The ASU is effective for fiscal years beginning after December 15, 2025, and interim periods within those annual reporting periods. Early adoption is permitted and should be applied on a prospective basis, although retrospective application is permitted. The Company early adopted this accounting standard at the beginning of fiscal 2026, which had no impact on the consolidated financial statements.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December 2023, the FASB issued ASU No. 2023-09, I</w:t>
      </w:r>
      <w:r>
        <w:rPr>
          <w:rFonts w:ascii="Times New Roman;Times;serif" w:hAnsi="Times New Roman;Times;serif"/>
          <w:i/>
          <w:sz w:val="20"/>
        </w:rPr>
        <w:t>ncome Taxes (Topic 740): Improvements to Tax Disclosures</w:t>
      </w:r>
      <w:r>
        <w:rPr>
          <w:rFonts w:ascii="Times New Roman;Times;serif" w:hAnsi="Times New Roman;Times;serif"/>
          <w:sz w:val="20"/>
        </w:rPr>
        <w:t xml:space="preserve"> (“ASU No. 2023-09”), which updates income tax disclosures related to the effective income tax rate reconciliation and requires disclosure of income taxes paid by jurisdiction. The Company adopted this standard in the fourth quarter of fiscal 2026 on a prospective basis, which expanded its disclosures on the Company's consolidated financial statements. Refer to Note 9 “Income taxes.” </w:t>
      </w:r>
    </w:p>
    <w:p>
      <w:pPr>
        <w:pStyle w:val="TextBody"/>
        <w:bidi w:val="0"/>
        <w:spacing w:lineRule="auto" w:line="343" w:before="0" w:after="0"/>
        <w:ind w:left="0" w:right="0" w:hanging="0"/>
        <w:jc w:val="left"/>
        <w:rPr>
          <w:shd w:fill="00FF00" w:val="clear"/>
        </w:rPr>
      </w:pPr>
      <w:r>
        <w:rPr>
          <w:shd w:fill="00FF00" w:val="clear"/>
        </w:rPr>
        <w:t>​</w:t>
      </w:r>
    </w:p>
    <w:p>
      <w:pPr>
        <w:pStyle w:val="TextBody"/>
        <w:bidi w:val="0"/>
        <w:spacing w:before="0" w:after="0"/>
        <w:ind w:left="0" w:right="0" w:firstLine="475"/>
        <w:jc w:val="left"/>
        <w:rPr/>
      </w:pPr>
      <w:r>
        <w:rPr/>
        <w:t>​</w:t>
      </w:r>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2. Derivative financial instruments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uses economic hedges to reduce this risk utilizing natural hedging (i.e.,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bookmarkStart w:id="641" w:name="Tc_uQAUUNI5b0KqRkHo_7Psbw_6_9"/>
      <w:bookmarkStart w:id="642" w:name="Tc_A_mKgnWh7kKfF5GPlOOmpA_6_6"/>
      <w:bookmarkStart w:id="643" w:name="Tc_UN7Y6BEoyUGWIT3tAbba2w_6_3"/>
      <w:bookmarkStart w:id="644" w:name="Tc_bJJxYkZxsEWS8hAzSk3J2A_6_1"/>
      <w:bookmarkStart w:id="645" w:name="Tc_jd3cPH2BKEmVxLbMQF35Zg_6_0"/>
      <w:bookmarkStart w:id="646" w:name="Tc_nHxsERdPx0q_JJ1SBbjehQ_5_9"/>
      <w:bookmarkStart w:id="647" w:name="Tc_O5DV_Vs0AUef9gaW8qBlGQ_5_6"/>
      <w:bookmarkStart w:id="648" w:name="Tc_Jo8ggec1DEecB0YlBlzktQ_5_3"/>
      <w:bookmarkStart w:id="649" w:name="Tc_3E1eYlh5T0OyaMblL6L06Q_5_0"/>
      <w:bookmarkStart w:id="650" w:name="Tc_p73gatu0Q02ydwA_dbUoXA_4_3"/>
      <w:bookmarkStart w:id="651" w:name="Tc_lUdEOkShBEaUmA9y2jXApA_3_9"/>
      <w:bookmarkStart w:id="652" w:name="Tc_seM-AGIIiESvApzkxB9z_Q_3_6"/>
      <w:bookmarkStart w:id="653" w:name="Tc_CTM88POwiEKpmjrSOOIlHw_3_3"/>
      <w:bookmarkStart w:id="654" w:name="Tc_oKUnCcw9gkWM3_nEL9vPXA_2_9"/>
      <w:bookmarkStart w:id="655" w:name="Tc_Blur7pyXgkiWWb2KPEjbNQ_2_6"/>
      <w:bookmarkStart w:id="656" w:name="Tc_LMz9tM0RQEKfU9l_YfHbFw_2_3"/>
      <w:bookmarkStart w:id="657" w:name="Tc_lT76XGBqr0WFcv8_XpMmSA_1_4"/>
      <w:bookmarkStart w:id="658" w:name="Tc_uFdZ7uFlAUuAgAgfss5XaA_8_5"/>
      <w:bookmarkStart w:id="659" w:name="Tc_Aq0ugrRWWEWGWXQymxnIZQ_8_2"/>
      <w:bookmarkStart w:id="660" w:name="Tc_y_6djfM0_keVCUk1WJWeQw_7_0"/>
      <w:bookmarkStart w:id="661" w:name="Tc_264CU-v0pkqnkNKtJlAFWg_6_5"/>
      <w:bookmarkStart w:id="662" w:name="Tc_sRQKMu2pS0WETtbeBPKBUQ_6_2"/>
      <w:bookmarkStart w:id="663" w:name="Tc_kD6DECDCgEaNV_mWi93bbA_5_5"/>
      <w:bookmarkStart w:id="664" w:name="Tc_AC0OANqiJEaQz0UqgXhY_A_5_2"/>
      <w:bookmarkStart w:id="665" w:name="Tc_yei-w383mUKGVCXSKWtvmw_4_0"/>
      <w:bookmarkStart w:id="666" w:name="Tc_f4hymYd6wk67Q8O-Q_ODzA_3_2"/>
      <w:bookmarkStart w:id="667" w:name="Tc_t7L50SubkUy2BNWQPQtlMw_2_5"/>
      <w:bookmarkStart w:id="668" w:name="Tc_BEFH6tjTykK1SKB2Kb6V5g_2_2"/>
      <w:bookmarkStart w:id="669" w:name="Tc_wz-YUP_R50iTRO6fcOSbtQ_1_5"/>
      <w:bookmarkStart w:id="670" w:name="Tc_da86BiAbIUSkNABhRevGlA_1_2"/>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Fonts w:ascii="Times New Roman;Times;serif" w:hAnsi="Times New Roman;Times;serif"/>
          <w:sz w:val="20"/>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locations and fair values of the Company’s derivative financial instruments in the Company’s consolidated balance sheets are as follows:</w:t>
      </w:r>
    </w:p>
    <w:p>
      <w:pPr>
        <w:pStyle w:val="TextBody"/>
        <w:bidi w:val="0"/>
        <w:spacing w:before="0" w:after="0"/>
        <w:ind w:left="0" w:right="0" w:hanging="0"/>
        <w:jc w:val="left"/>
        <w:rPr/>
      </w:pPr>
      <w:r>
        <w:rPr/>
        <w:t>​</w:t>
      </w:r>
    </w:p>
    <w:tbl>
      <w:tblPr>
        <w:tblW w:w="5005" w:type="dxa"/>
        <w:jc w:val="left"/>
        <w:tblInd w:w="0" w:type="dxa"/>
        <w:tblLayout w:type="fixed"/>
        <w:tblCellMar>
          <w:top w:w="0" w:type="dxa"/>
          <w:left w:w="0" w:type="dxa"/>
          <w:bottom w:w="0" w:type="dxa"/>
          <w:right w:w="0" w:type="dxa"/>
        </w:tblCellMar>
      </w:tblPr>
      <w:tblGrid>
        <w:gridCol w:w="2671"/>
        <w:gridCol w:w="109"/>
        <w:gridCol w:w="211"/>
        <w:gridCol w:w="676"/>
        <w:gridCol w:w="346"/>
        <w:gridCol w:w="211"/>
        <w:gridCol w:w="781"/>
      </w:tblGrid>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0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hedges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69,143</w:t>
            </w:r>
          </w:p>
        </w:tc>
      </w:tr>
    </w:tbl>
    <w:p>
      <w:pPr>
        <w:pStyle w:val="TextBody"/>
        <w:bidi w:val="0"/>
        <w:spacing w:before="0" w:after="0"/>
        <w:ind w:left="0" w:right="0" w:hanging="0"/>
        <w:jc w:val="left"/>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locations of derivative financial instruments on the Company’s consolidated statements of operations are as follows:</w:t>
      </w:r>
    </w:p>
    <w:p>
      <w:pPr>
        <w:pStyle w:val="TextBody"/>
        <w:bidi w:val="0"/>
        <w:spacing w:before="0" w:after="0"/>
        <w:ind w:left="0" w:right="0" w:hanging="0"/>
        <w:jc w:val="left"/>
        <w:rPr/>
      </w:pPr>
      <w:r>
        <w:rPr/>
        <w:t>​</w:t>
      </w:r>
    </w:p>
    <w:tbl>
      <w:tblPr>
        <w:tblW w:w="8909" w:type="dxa"/>
        <w:jc w:val="left"/>
        <w:tblInd w:w="0" w:type="dxa"/>
        <w:tblLayout w:type="fixed"/>
        <w:tblCellMar>
          <w:top w:w="0" w:type="dxa"/>
          <w:left w:w="0" w:type="dxa"/>
          <w:bottom w:w="0" w:type="dxa"/>
          <w:right w:w="0" w:type="dxa"/>
        </w:tblCellMar>
      </w:tblPr>
      <w:tblGrid>
        <w:gridCol w:w="1771"/>
        <w:gridCol w:w="3391"/>
        <w:gridCol w:w="109"/>
        <w:gridCol w:w="211"/>
        <w:gridCol w:w="796"/>
        <w:gridCol w:w="346"/>
        <w:gridCol w:w="211"/>
        <w:gridCol w:w="676"/>
        <w:gridCol w:w="346"/>
        <w:gridCol w:w="211"/>
        <w:gridCol w:w="84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24585" cy="175260"/>
                      <wp:effectExtent l="0" t="0" r="0" b="0"/>
                      <wp:wrapNone/>
                      <wp:docPr id="200" name="Frame199"/>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53285" cy="175260"/>
                      <wp:effectExtent l="0" t="0" r="0" b="0"/>
                      <wp:wrapNone/>
                      <wp:docPr id="201" name="Frame20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4" name="Frame20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7"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34035" cy="175260"/>
                      <wp:effectExtent l="0" t="0" r="0" b="0"/>
                      <wp:wrapNone/>
                      <wp:docPr id="210" name="Frame2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27" w:type="dxa"/>
            <w:gridSpan w:val="7"/>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Years Ended</w: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27,</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28,</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29,</w: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890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38" w:type="dxa"/>
            <w:gridSpan w:val="8"/>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Economic hedges </w:t>
            </w:r>
          </w:p>
        </w:tc>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(31,666)</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 currency swap</w:t>
            </w:r>
          </w:p>
        </w:tc>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4,071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1"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4,536</w:t>
            </w:r>
          </w:p>
        </w:tc>
      </w:tr>
    </w:tbl>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671" w:name="Tc_hg_SLfC83E25bH6PQ9MtuQ_6_8"/>
      <w:bookmarkStart w:id="672" w:name="Tc_CqjX0aEno0iWfAvxKbBGrg_6_5"/>
      <w:bookmarkStart w:id="673" w:name="Tc_GQt75Ibz9Ui6kq_Q1fcC6Q_6_2"/>
      <w:bookmarkStart w:id="674" w:name="Tc_v6VPo8tUuEKTaltcEMmFMw_6_0"/>
      <w:bookmarkStart w:id="675" w:name="Tc_BuzKBHqvNUacDvWTVsaH8g_5_0"/>
      <w:bookmarkStart w:id="676" w:name="Tc_ry-gdZ6j_UyhB9QKfHflGw_4_8"/>
      <w:bookmarkStart w:id="677" w:name="Tc_EFj2nv0DwEyB7jGOac2Lew_4_5"/>
      <w:bookmarkStart w:id="678" w:name="Tc_1i1plbjWuEaKZeoa3XLh6A_4_2"/>
      <w:bookmarkStart w:id="679" w:name="Tc_58LfqFyRx0KHhLNhwdLPsA_4_0"/>
      <w:bookmarkStart w:id="680" w:name="Tc_tA2dOqME8kmleI3mBsrLXw_3_2"/>
      <w:bookmarkStart w:id="681" w:name="Tc_usTfitBKs02XuKqdrOS5CA_2_8"/>
      <w:bookmarkStart w:id="682" w:name="Tc_r7k5gl2rcE60HYL8HxvZ7A_2_5"/>
      <w:bookmarkStart w:id="683" w:name="Tc_OqNBLFLQKEutl4JmA3kC4A_2_2"/>
      <w:bookmarkStart w:id="684" w:name="Tc_jtBZIjFrcE-AE-WJYowoDg_1_8"/>
      <w:bookmarkStart w:id="685" w:name="Tc_8MvP3BhAh02ZnwLRKaGAWQ_1_5"/>
      <w:bookmarkStart w:id="686" w:name="Tc_rfN1VO1agE6pamRp0eyxLg_1_2"/>
      <w:bookmarkStart w:id="687" w:name="_11261061_98d0_4a1b_897e_bd3ed38f62ca"/>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Fonts w:ascii="Times New Roman;Times;serif" w:hAnsi="Times New Roman;Times;serif"/>
          <w:b/>
          <w:sz w:val="20"/>
        </w:rPr>
        <w:t>3. Shareholders’ equity</w:t>
      </w:r>
    </w:p>
    <w:p>
      <w:pPr>
        <w:pStyle w:val="TextBody"/>
        <w:bidi w:val="0"/>
        <w:spacing w:lineRule="auto" w:line="343" w:before="200" w:after="0"/>
        <w:ind w:left="0" w:right="0" w:firstLine="475"/>
        <w:jc w:val="left"/>
        <w:rPr>
          <w:rFonts w:ascii="Times New Roman;Times;serif" w:hAnsi="Times New Roman;Times;serif"/>
          <w:i/>
          <w:sz w:val="20"/>
        </w:rPr>
      </w:pPr>
      <w:r>
        <w:rPr>
          <w:rFonts w:ascii="Times New Roman;Times;serif" w:hAnsi="Times New Roman;Times;serif"/>
          <w:i/>
          <w:sz w:val="20"/>
        </w:rPr>
        <w:t>Accumulated comprehensive loss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following table includes the balances within “Accumulated other comprehensive loss”:</w:t>
      </w:r>
    </w:p>
    <w:p>
      <w:pPr>
        <w:pStyle w:val="TextBody"/>
        <w:bidi w:val="0"/>
        <w:spacing w:lineRule="atLeast" w:line="200" w:before="0" w:after="0"/>
        <w:ind w:left="0" w:right="0" w:hanging="0"/>
        <w:jc w:val="left"/>
        <w:rPr/>
      </w:pPr>
      <w:r>
        <w:rPr/>
        <w:t>​</w:t>
      </w:r>
    </w:p>
    <w:tbl>
      <w:tblPr>
        <w:tblW w:w="9846" w:type="dxa"/>
        <w:jc w:val="left"/>
        <w:tblInd w:w="0" w:type="dxa"/>
        <w:tblLayout w:type="fixed"/>
        <w:tblCellMar>
          <w:top w:w="0" w:type="dxa"/>
          <w:left w:w="0" w:type="dxa"/>
          <w:bottom w:w="0" w:type="dxa"/>
          <w:right w:w="0" w:type="dxa"/>
        </w:tblCellMar>
      </w:tblPr>
      <w:tblGrid>
        <w:gridCol w:w="5281"/>
        <w:gridCol w:w="346"/>
        <w:gridCol w:w="211"/>
        <w:gridCol w:w="901"/>
        <w:gridCol w:w="346"/>
        <w:gridCol w:w="211"/>
        <w:gridCol w:w="901"/>
        <w:gridCol w:w="346"/>
        <w:gridCol w:w="211"/>
        <w:gridCol w:w="901"/>
        <w:gridCol w:w="191"/>
      </w:tblGrid>
      <w:tr>
        <w:trPr/>
        <w:tc>
          <w:tcPr>
            <w:tcW w:w="528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90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90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901" w:type="dxa"/>
            <w:tcBorders/>
            <w:vAlign w:val="center"/>
          </w:tcPr>
          <w:p>
            <w:pPr>
              <w:pStyle w:val="TableContents"/>
              <w:bidi w:val="0"/>
              <w:spacing w:lineRule="atLeast" w:line="240" w:before="0" w:after="0"/>
              <w:ind w:left="0" w:right="0" w:hanging="0"/>
              <w:jc w:val="left"/>
              <w:rPr/>
            </w:pPr>
            <w:r>
              <w:rPr/>
              <w:t>​</w:t>
            </w:r>
          </w:p>
        </w:tc>
        <w:tc>
          <w:tcPr>
            <w:tcW w:w="191" w:type="dxa"/>
            <w:tcBorders/>
            <w:vAlign w:val="center"/>
          </w:tcPr>
          <w:p>
            <w:pPr>
              <w:pStyle w:val="TableContents"/>
              <w:bidi w:val="0"/>
              <w:spacing w:lineRule="atLeast" w:line="240" w:before="0" w:after="0"/>
              <w:ind w:left="0" w:right="0" w:hanging="0"/>
              <w:jc w:val="left"/>
              <w:rPr/>
            </w:pPr>
            <w:r>
              <w:rPr/>
              <w:t>​</w:t>
            </w:r>
          </w:p>
        </w:tc>
      </w:tr>
      <w:tr>
        <w:trPr/>
        <w:tc>
          <w:tcPr>
            <w:tcW w:w="528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  ​ ​ ​</w:t>
            </w:r>
          </w:p>
        </w:tc>
        <w:tc>
          <w:tcPr>
            <w:tcW w:w="111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lineRule="atLeast" w:line="240" w:before="0" w:after="0"/>
              <w:ind w:left="0" w:right="0" w:hanging="0"/>
              <w:jc w:val="center"/>
              <w:rPr/>
            </w:pPr>
            <w:r>
              <w:rPr/>
              <w:t>  ​ ​ ​</w:t>
            </w:r>
          </w:p>
        </w:tc>
        <w:tc>
          <w:tcPr>
            <w:tcW w:w="111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lineRule="atLeast" w:line="240" w:before="0" w:after="0"/>
              <w:ind w:left="0" w:right="0" w:hanging="0"/>
              <w:jc w:val="center"/>
              <w:rPr/>
            </w:pPr>
            <w:r>
              <w:rPr/>
              <w:t>  ​ ​ ​</w:t>
            </w:r>
          </w:p>
        </w:tc>
        <w:tc>
          <w:tcPr>
            <w:tcW w:w="111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528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lineRule="atLeast" w:line="240" w:before="0" w:after="0"/>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tLeast" w:line="240" w:before="0" w:after="0"/>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984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281" w:type="dxa"/>
            <w:tcBorders/>
            <w:vAlign w:val="center"/>
          </w:tcPr>
          <w:p>
            <w:pPr>
              <w:pStyle w:val="TableContents"/>
              <w:bidi w:val="0"/>
              <w:spacing w:lineRule="atLeast" w:line="240" w:before="0" w:after="0"/>
              <w:ind w:left="0" w:right="0" w:hanging="0"/>
              <w:jc w:val="left"/>
              <w:rPr/>
            </w:pPr>
            <w:r>
              <w:rPr/>
              <w:t>​</w:t>
            </w:r>
          </w:p>
        </w:tc>
        <w:tc>
          <w:tcPr>
            <w:tcW w:w="346" w:type="dxa"/>
            <w:tcBorders/>
            <w:vAlign w:val="center"/>
          </w:tcPr>
          <w:p>
            <w:pPr>
              <w:pStyle w:val="TableContents"/>
              <w:bidi w:val="0"/>
              <w:spacing w:lineRule="atLeast" w:line="240" w:before="0" w:after="0"/>
              <w:ind w:left="0" w:right="0" w:hanging="0"/>
              <w:jc w:val="center"/>
              <w:rPr/>
            </w:pPr>
            <w:r>
              <w:rPr/>
              <w:t>​</w:t>
            </w:r>
          </w:p>
        </w:tc>
        <w:tc>
          <w:tcPr>
            <w:tcW w:w="4028" w:type="dxa"/>
            <w:gridSpan w:val="8"/>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528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Accumulated translation adjustments and other</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(257,540)</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(131,448)</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(382,801)</w:t>
            </w:r>
          </w:p>
        </w:tc>
        <w:tc>
          <w:tcPr>
            <w:tcW w:w="191"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28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Accumulated pension liability adjustments, net of income taxes</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(117,854)</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(126,245)</w:t>
            </w:r>
          </w:p>
        </w:tc>
        <w:tc>
          <w:tcPr>
            <w:tcW w:w="34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(103,922)</w:t>
            </w:r>
          </w:p>
        </w:tc>
        <w:tc>
          <w:tcPr>
            <w:tcW w:w="191" w:type="dxa"/>
            <w:tcBorders/>
            <w:vAlign w:val="center"/>
          </w:tcPr>
          <w:p>
            <w:pPr>
              <w:pStyle w:val="TableContents"/>
              <w:bidi w:val="0"/>
              <w:spacing w:lineRule="atLeast" w:line="240" w:before="0" w:after="0"/>
              <w:ind w:left="0" w:right="0" w:hanging="0"/>
              <w:jc w:val="right"/>
              <w:rPr/>
            </w:pPr>
            <w:r>
              <w:rPr/>
              <w:t>​</w:t>
            </w:r>
          </w:p>
        </w:tc>
      </w:tr>
      <w:tr>
        <w:trPr/>
        <w:tc>
          <w:tcPr>
            <w:tcW w:w="528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(375,394)</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(257,693)</w:t>
            </w:r>
          </w:p>
        </w:tc>
        <w:tc>
          <w:tcPr>
            <w:tcW w:w="34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(486,723)</w:t>
            </w:r>
          </w:p>
        </w:tc>
        <w:tc>
          <w:tcPr>
            <w:tcW w:w="191" w:type="dxa"/>
            <w:tcBorders/>
            <w:shd w:fill="CCEEFF" w:val="clear"/>
            <w:vAlign w:val="center"/>
          </w:tcPr>
          <w:p>
            <w:pPr>
              <w:pStyle w:val="TableContents"/>
              <w:bidi w:val="0"/>
              <w:spacing w:lineRule="atLeast" w:line="240"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Substantially all amounts reclassified out of “Accumulated comprehensive loss, net of tax”, to operating expenses during fiscal 2026, 2025, and 2024 related to net periodic pension costs as discussed further in Note 10.</w:t>
      </w:r>
    </w:p>
    <w:p>
      <w:pPr>
        <w:pStyle w:val="TextBody"/>
        <w:bidi w:val="0"/>
        <w:spacing w:lineRule="auto" w:line="343" w:before="200" w:after="0"/>
        <w:ind w:left="0" w:right="0" w:firstLine="475"/>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fiscal 2026, the Company repurchased 2.6 million shares under existing programs for a total cost of $138.3 million, excluding excise tax. As of June 27, 2026, the Company had $225.8 million remaining under its share repurchase authorization.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i/>
          <w:sz w:val="20"/>
        </w:rPr>
      </w:pPr>
      <w:r>
        <w:rPr>
          <w:rFonts w:ascii="Times New Roman;Times;serif" w:hAnsi="Times New Roman;Times;serif"/>
          <w:i/>
          <w:sz w:val="20"/>
        </w:rPr>
        <w:t>Common stock dividend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fiscal 2026, the Company paid dividends of $1.40 per common share and $114.4 million in total.</w:t>
      </w:r>
    </w:p>
    <w:p>
      <w:pPr>
        <w:pStyle w:val="TextBody"/>
        <w:bidi w:val="0"/>
        <w:spacing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688" w:name="Tc_bwUTp9ucmUK-aWSeUa1o4A_9_5"/>
      <w:bookmarkStart w:id="689" w:name="Tc_t607t-xHw06tPguiR5L-3g_9_2"/>
      <w:bookmarkStart w:id="690" w:name="Tc_owffETU2nUygGLzyo_rZUw_9_0"/>
      <w:bookmarkStart w:id="691" w:name="Tc_nggliDuBl0GezV6ESti6Pg_8_0"/>
      <w:bookmarkStart w:id="692" w:name="Tc_PkzDRJ9gek-xQ3QMr6uJfA_7_0"/>
      <w:bookmarkStart w:id="693" w:name="Tc_X_XGpQyK8kmxIS1RnOzM5A_6_0"/>
      <w:bookmarkStart w:id="694" w:name="Tc_wWG89Y1NdUSK5CpqwxkMpw_5_0"/>
      <w:bookmarkStart w:id="695" w:name="Tc_BZpCMry0EUqc_oJEFchfIA_4_5"/>
      <w:bookmarkStart w:id="696" w:name="Tc_hSfO3PYgDEG826QQIGXeHg_4_2"/>
      <w:bookmarkStart w:id="697" w:name="Tc_JSgHRvfzl0uD2jjVCBBBDA_4_0"/>
      <w:bookmarkStart w:id="698" w:name="Tc_zCvfW4_lXESSbLRcs8cFjg_3_2"/>
      <w:bookmarkStart w:id="699" w:name="Tc_4oD54nKlZkqGd6AonDpzkA_2_5"/>
      <w:bookmarkStart w:id="700" w:name="Tc_ptCBI3bvHk-TP46NSVAJQw_2_2"/>
      <w:bookmarkStart w:id="701" w:name="Tc_yA9R1ha7BUSNJZw6SMQ2QQ_1_5"/>
      <w:bookmarkStart w:id="702" w:name="Tc_d2kBVPn66EyG7mkkN9b42Q_1_2"/>
      <w:bookmarkStart w:id="703" w:name="_9b556cac_486d_475e_af0f_7111a5ff6d25"/>
      <w:bookmarkStart w:id="704" w:name="Tc__xm7mgwXKEeDIKmtz6-SsA_6_5"/>
      <w:bookmarkStart w:id="705" w:name="Tc_5lV_bIWlGUmIgyLR4GY-BA_6_2"/>
      <w:bookmarkStart w:id="706" w:name="Tc_jpxir8ckS0GisuSt6n04zQ_6_0"/>
      <w:bookmarkStart w:id="707" w:name="Tc_HtEDg41KQ02y4PZQNHkkDg_5_0"/>
      <w:bookmarkStart w:id="708" w:name="Tc_A-Bq7h3C60Gq-IhDlfh-ug_4_5"/>
      <w:bookmarkStart w:id="709" w:name="Tc_BcYOmNd76UulYa5EK9lmSQ_4_2"/>
      <w:bookmarkStart w:id="710" w:name="Tc_Ne_jQ2KSnECGc8ddTed6SA_4_0"/>
      <w:bookmarkStart w:id="711" w:name="Tc_SbjH_qdxQUylBcQqsn5rbw_3_2"/>
      <w:bookmarkStart w:id="712" w:name="Tc_heMix43WB0mkbykUWI2luA_2_5"/>
      <w:bookmarkStart w:id="713" w:name="Tc_zLo5b3UH-0m7LG6g-X932g_2_2"/>
      <w:bookmarkStart w:id="714" w:name="Tc_eE9JDlMAikO540uXThQsVw_1_5"/>
      <w:bookmarkStart w:id="715" w:name="Tc_mhFGKqZudUq_nv-PKpQA9w_1_2"/>
      <w:bookmarkStart w:id="716" w:name="_a3cf9951_f9bf_451d_9875_399a74a026f0"/>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sz w:val="20"/>
        </w:rPr>
        <w:t>4. Working capital</w:t>
      </w:r>
    </w:p>
    <w:p>
      <w:pPr>
        <w:pStyle w:val="TextBody"/>
        <w:bidi w:val="0"/>
        <w:spacing w:lineRule="auto" w:line="343" w:before="200" w:after="120"/>
        <w:ind w:left="0" w:right="0" w:firstLine="475"/>
        <w:jc w:val="both"/>
        <w:rPr>
          <w:rFonts w:ascii="Times New Roman;Times;serif" w:hAnsi="Times New Roman;Times;serif"/>
          <w:b/>
          <w:i/>
          <w:sz w:val="20"/>
        </w:rPr>
      </w:pPr>
      <w:r>
        <w:rPr>
          <w:rFonts w:ascii="Times New Roman;Times;serif" w:hAnsi="Times New Roman;Times;serif"/>
          <w:b/>
          <w:i/>
          <w:sz w:val="20"/>
        </w:rPr>
        <w:t>Receivables</w:t>
      </w:r>
    </w:p>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The Company’s receivables and allowance for credit losses were as follows:</w:t>
      </w:r>
    </w:p>
    <w:tbl>
      <w:tblPr>
        <w:tblW w:w="4903" w:type="dxa"/>
        <w:jc w:val="left"/>
        <w:tblInd w:w="0" w:type="dxa"/>
        <w:tblLayout w:type="fixed"/>
        <w:tblCellMar>
          <w:top w:w="0" w:type="dxa"/>
          <w:left w:w="0" w:type="dxa"/>
          <w:bottom w:w="0" w:type="dxa"/>
          <w:right w:w="0" w:type="dxa"/>
        </w:tblCellMar>
      </w:tblPr>
      <w:tblGrid>
        <w:gridCol w:w="2296"/>
        <w:gridCol w:w="109"/>
        <w:gridCol w:w="211"/>
        <w:gridCol w:w="931"/>
        <w:gridCol w:w="109"/>
        <w:gridCol w:w="211"/>
        <w:gridCol w:w="10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57960" cy="175260"/>
                      <wp:effectExtent l="0" t="0" r="0" b="0"/>
                      <wp:wrapNone/>
                      <wp:docPr id="211" name="Frame210"/>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57860" cy="175260"/>
                      <wp:effectExtent l="0" t="0" r="0" b="0"/>
                      <wp:wrapNone/>
                      <wp:docPr id="217" name="Frame2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9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9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6,980,935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4,435,645</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(97,970)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6,882,965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4,327,450</w:t>
            </w:r>
          </w:p>
        </w:tc>
      </w:tr>
    </w:tbl>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The Company had the following activity in the allowance for credit losses during fiscal 2026 and fiscal 2025:</w:t>
      </w:r>
    </w:p>
    <w:tbl>
      <w:tblPr>
        <w:tblW w:w="5248" w:type="dxa"/>
        <w:jc w:val="left"/>
        <w:tblInd w:w="0" w:type="dxa"/>
        <w:tblLayout w:type="fixed"/>
        <w:tblCellMar>
          <w:top w:w="0" w:type="dxa"/>
          <w:left w:w="0" w:type="dxa"/>
          <w:bottom w:w="0" w:type="dxa"/>
          <w:right w:w="0" w:type="dxa"/>
        </w:tblCellMar>
      </w:tblPr>
      <w:tblGrid>
        <w:gridCol w:w="2941"/>
        <w:gridCol w:w="109"/>
        <w:gridCol w:w="211"/>
        <w:gridCol w:w="78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67535" cy="175260"/>
                      <wp:effectExtent l="0" t="0" r="0" b="0"/>
                      <wp:wrapNone/>
                      <wp:docPr id="218" name="Frame21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5935" cy="175260"/>
                      <wp:effectExtent l="0" t="0" r="0" b="0"/>
                      <wp:wrapNone/>
                      <wp:docPr id="221"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62610" cy="175260"/>
                      <wp:effectExtent l="0" t="0" r="0" b="0"/>
                      <wp:wrapNone/>
                      <wp:docPr id="224" name="Frame2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24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Loss Provisions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Write Offs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97,970</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108,195</w:t>
            </w:r>
          </w:p>
        </w:tc>
      </w:tr>
    </w:tbl>
    <w:p>
      <w:pPr>
        <w:pStyle w:val="TextBody"/>
        <w:bidi w:val="0"/>
        <w:spacing w:lineRule="auto" w:line="343" w:before="0" w:after="0"/>
        <w:ind w:left="0" w:right="0" w:hanging="0"/>
        <w:jc w:val="both"/>
        <w:rPr/>
      </w:pPr>
      <w:r>
        <w:rPr/>
        <w:t>​</w:t>
      </w:r>
    </w:p>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The Company has legally transferred and de-recognized certain of its receivables on a non-recourse basis to financial institutions for cash. At June 27, 2026 and June 28, 2025, the Company had $1.98 billion and $1.56 billion, respectively, of transferred and de-recognized receivables that were not yet settled. Expenses related to such transfers are classified within “Interest and other financing expenses, net” in the consolidated financial statements.</w:t>
      </w:r>
    </w:p>
    <w:p>
      <w:pPr>
        <w:pStyle w:val="TextBody"/>
        <w:bidi w:val="0"/>
        <w:spacing w:lineRule="auto" w:line="343" w:before="200" w:after="120"/>
        <w:ind w:left="0" w:right="0" w:firstLine="475"/>
        <w:jc w:val="both"/>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 xml:space="preserve">The Company’s inventories are primarily comprised of electronic components purchased from the Company’s suppliers, which are available for sale to customers in the normal course of the Company’s electronic component distribution business. </w:t>
      </w:r>
    </w:p>
    <w:p>
      <w:pPr>
        <w:pStyle w:val="TextBody"/>
        <w:bidi w:val="0"/>
        <w:spacing w:lineRule="auto" w:line="343" w:before="200" w:after="120"/>
        <w:ind w:left="0" w:right="0" w:firstLine="475"/>
        <w:jc w:val="both"/>
        <w:rPr>
          <w:rFonts w:ascii="Times New Roman;Times;serif" w:hAnsi="Times New Roman;Times;serif"/>
          <w:sz w:val="20"/>
        </w:rPr>
      </w:pPr>
      <w:r>
        <w:rPr>
          <w:rFonts w:ascii="Times New Roman;Times;serif" w:hAnsi="Times New Roman;Times;serif"/>
          <w:sz w:val="20"/>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7% and 6% of inventories as of June 27, 2026, and June 28, 2025, respectively.</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717" w:name="Tc_80A_dRREf0ukECKTTLs-vg_12_5"/>
      <w:bookmarkStart w:id="718" w:name="Tc_GYUJLYZGeEmgR3YxgnV9DA_12_2"/>
      <w:bookmarkStart w:id="719" w:name="Tc_1TBQd3LrAkaS8Pt1e0k6XQ_12_0"/>
      <w:bookmarkStart w:id="720" w:name="Tc_VphbeiIzM0SU7WhH2DkYJA_11_0"/>
      <w:bookmarkStart w:id="721" w:name="Tc_PZaBjGKwNE-2ZqSGxsFvsQ_10_0"/>
      <w:bookmarkStart w:id="722" w:name="Tc_PgDy_9aA_E-ESJRB2BF6TQ_9_0"/>
      <w:bookmarkStart w:id="723" w:name="Tc_R3ZGq4bDGUuRiB9JpY14QQ_8_0"/>
      <w:bookmarkStart w:id="724" w:name="Tc_j5DGZ6hUukqm_VH70wWYcA_7_0"/>
      <w:bookmarkStart w:id="725" w:name="Tc_sbZvvvM8gECzT1oI_9h4dA_6_0"/>
      <w:bookmarkStart w:id="726" w:name="Tc_M595UHXrI0qPZITvOX_hJA_5_0"/>
      <w:bookmarkStart w:id="727" w:name="Tc_1wq6N8mzLEWOwCn7-ZjJ-A_4_0"/>
      <w:bookmarkStart w:id="728" w:name="Tc_RMAdDbv3s0a4F1Ehlr-zXQ_3_5"/>
      <w:bookmarkStart w:id="729" w:name="Tc_RvIfBykVf0eUipg8OudblQ_3_2"/>
      <w:bookmarkStart w:id="730" w:name="Tc_PTez7k2q0UikQXcfnxOehw_3_0"/>
      <w:bookmarkStart w:id="731" w:name="Tc_tzKNZlyX2kGF21XjkjbB1A_2_2"/>
      <w:bookmarkStart w:id="732" w:name="Tc_4anMlLLPQEyfTx01ey1Otg_1_5"/>
      <w:bookmarkStart w:id="733" w:name="Tc_4H-FpUUI9UKe0pEu8Qa3Cw_1_2"/>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5. Property, plant and equipment, net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Property, plant and equipment are recorded at cost, less accumulated depreciation, and consist of the following:</w:t>
      </w:r>
    </w:p>
    <w:p>
      <w:pPr>
        <w:pStyle w:val="TextBody"/>
        <w:bidi w:val="0"/>
        <w:spacing w:lineRule="atLeast" w:line="200" w:before="0" w:after="0"/>
        <w:ind w:left="0" w:right="0" w:hanging="0"/>
        <w:jc w:val="left"/>
        <w:rPr/>
      </w:pPr>
      <w:r>
        <w:rPr/>
        <w:t>​</w:t>
      </w:r>
    </w:p>
    <w:tbl>
      <w:tblPr>
        <w:tblW w:w="7546" w:type="dxa"/>
        <w:jc w:val="left"/>
        <w:tblInd w:w="0" w:type="dxa"/>
        <w:tblLayout w:type="fixed"/>
        <w:tblCellMar>
          <w:top w:w="0" w:type="dxa"/>
          <w:left w:w="0" w:type="dxa"/>
          <w:bottom w:w="0" w:type="dxa"/>
          <w:right w:w="0" w:type="dxa"/>
        </w:tblCellMar>
      </w:tblPr>
      <w:tblGrid>
        <w:gridCol w:w="4111"/>
        <w:gridCol w:w="346"/>
        <w:gridCol w:w="223"/>
        <w:gridCol w:w="1053"/>
        <w:gridCol w:w="346"/>
        <w:gridCol w:w="223"/>
        <w:gridCol w:w="1053"/>
        <w:gridCol w:w="191"/>
      </w:tblGrid>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191" w:type="dxa"/>
            <w:tcBorders/>
            <w:vAlign w:val="center"/>
          </w:tcPr>
          <w:p>
            <w:pPr>
              <w:pStyle w:val="TableContents"/>
              <w:bidi w:val="0"/>
              <w:spacing w:before="0" w:after="0"/>
              <w:ind w:left="0" w:right="0" w:hanging="0"/>
              <w:jc w:val="center"/>
              <w:rPr/>
            </w:pPr>
            <w:r>
              <w:rPr/>
              <w:t> </w:t>
            </w:r>
          </w:p>
        </w:tc>
      </w:tr>
      <w:tr>
        <w:trPr/>
        <w:tc>
          <w:tcPr>
            <w:tcW w:w="754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9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pPr>
            <w:r>
              <w:rPr/>
              <w:t> </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252,333</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258,653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fixtures and equipment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322,558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305,864</w:t>
            </w:r>
          </w:p>
        </w:tc>
        <w:tc>
          <w:tcPr>
            <w:tcW w:w="191"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 hardware and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817,084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893,572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169,880</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151,745</w:t>
            </w:r>
          </w:p>
        </w:tc>
        <w:tc>
          <w:tcPr>
            <w:tcW w:w="191"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Depreciable property, plant and equipment, gross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105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1,561,855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105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1,609,834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(1,138,626)</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(1,191,652)</w:t>
            </w:r>
          </w:p>
        </w:tc>
        <w:tc>
          <w:tcPr>
            <w:tcW w:w="191"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Depreciable 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105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423,229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105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418,182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30,926</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31,898</w:t>
            </w:r>
          </w:p>
        </w:tc>
        <w:tc>
          <w:tcPr>
            <w:tcW w:w="191"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190,419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217,167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2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644,574</w:t>
            </w:r>
          </w:p>
        </w:tc>
        <w:tc>
          <w:tcPr>
            <w:tcW w:w="346" w:type="dxa"/>
            <w:tcBorders/>
            <w:vAlign w:val="center"/>
          </w:tcPr>
          <w:p>
            <w:pPr>
              <w:pStyle w:val="TableContents"/>
              <w:bidi w:val="0"/>
              <w:spacing w:before="0" w:after="0"/>
              <w:ind w:left="0" w:right="0" w:hanging="0"/>
              <w:jc w:val="left"/>
              <w:rPr/>
            </w:pPr>
            <w:r>
              <w:rPr/>
              <w:t>​</w:t>
            </w:r>
          </w:p>
        </w:tc>
        <w:tc>
          <w:tcPr>
            <w:tcW w:w="22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667,247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Depreciation expense related to property, plant, and equipment, was $75.3 million, $70.2 million and $83.6 million in fiscal 2026, 2025, and 2024, respectively. Interest expense capitalized during fiscal 2026, 2025, and 2024 was not material. </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734" w:name="Tc_4Yrx_NstwkGr1OY4nGsvDw_6_8"/>
      <w:bookmarkStart w:id="735" w:name="Tc_37-kJCJ2xUWkPJYJGvobfg_6_5"/>
      <w:bookmarkStart w:id="736" w:name="Tc_QI9TN07hwkKOdyE0vAKIWQ_6_2"/>
      <w:bookmarkStart w:id="737" w:name="Tc_PWN7SM-oZEijK7CjnQsp6w_6_0"/>
      <w:bookmarkStart w:id="738" w:name="Tc_zwLo_xmhP0KNYmM0jozIlg_5_0"/>
      <w:bookmarkStart w:id="739" w:name="Tc_urg81VnJWUGlg2xyZqZIUg_4_8"/>
      <w:bookmarkStart w:id="740" w:name="Tc_E3viKPJlYU2gK4TUUp_hqw_4_5"/>
      <w:bookmarkStart w:id="741" w:name="Tc_Dt11SzwBmEewcj7OYKdySQ_4_2"/>
      <w:bookmarkStart w:id="742" w:name="Tc_fU2IK7y9CUWpNUGFiRi1ZA_4_0"/>
      <w:bookmarkStart w:id="743" w:name="Tc_4ghnLVCCq0ymn8qqUm30mA_3_2"/>
      <w:bookmarkStart w:id="744" w:name="Tc_hKb5SZmSpUC_6yZ-rbUq5g_2_8"/>
      <w:bookmarkStart w:id="745" w:name="Tc_wUgTAf7_DEuO0rdt1a9SpA_2_5"/>
      <w:bookmarkStart w:id="746" w:name="Tc_e2fvTX4Ix0u6QQWrrYfDjg_2_2"/>
      <w:bookmarkStart w:id="747" w:name="Tc_hsakGMz84kGJP2N9jDnVaQ_1_2"/>
      <w:bookmarkStart w:id="748" w:name="_05d5a083_6e33_442c_96e8_80b0ea7149c4"/>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sz w:val="20"/>
        </w:rPr>
        <w:t>6. Goodwill</w:t>
      </w:r>
    </w:p>
    <w:p>
      <w:pPr>
        <w:pStyle w:val="TextBody"/>
        <w:bidi w:val="0"/>
        <w:spacing w:lineRule="auto" w:line="343" w:before="200" w:after="0"/>
        <w:ind w:left="0" w:right="0" w:firstLine="475"/>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 xml:space="preserve">The following table presents the change in goodwill balances by reportable segment for fiscal year 2026. </w:t>
      </w:r>
    </w:p>
    <w:p>
      <w:pPr>
        <w:pStyle w:val="TextBody"/>
        <w:bidi w:val="0"/>
        <w:spacing w:before="0" w:after="0"/>
        <w:ind w:left="0" w:right="0" w:hanging="0"/>
        <w:jc w:val="left"/>
        <w:rPr/>
      </w:pPr>
      <w:r>
        <w:rPr/>
        <w:t>​</w:t>
      </w:r>
    </w:p>
    <w:tbl>
      <w:tblPr>
        <w:tblW w:w="6864" w:type="dxa"/>
        <w:jc w:val="left"/>
        <w:tblInd w:w="0" w:type="dxa"/>
        <w:tblLayout w:type="fixed"/>
        <w:tblCellMar>
          <w:top w:w="0" w:type="dxa"/>
          <w:left w:w="0" w:type="dxa"/>
          <w:bottom w:w="0" w:type="dxa"/>
          <w:right w:w="0" w:type="dxa"/>
        </w:tblCellMar>
      </w:tblPr>
      <w:tblGrid>
        <w:gridCol w:w="2926"/>
        <w:gridCol w:w="226"/>
        <w:gridCol w:w="245"/>
        <w:gridCol w:w="911"/>
        <w:gridCol w:w="226"/>
        <w:gridCol w:w="211"/>
        <w:gridCol w:w="796"/>
        <w:gridCol w:w="226"/>
        <w:gridCol w:w="211"/>
        <w:gridCol w:w="8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58010" cy="175260"/>
                      <wp:effectExtent l="0" t="0" r="0" b="0"/>
                      <wp:wrapNone/>
                      <wp:docPr id="225" name="Frame22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3510" cy="175260"/>
                      <wp:effectExtent l="0" t="0" r="0" b="0"/>
                      <wp:wrapNone/>
                      <wp:docPr id="226" name="Frame2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55575" cy="175260"/>
                      <wp:effectExtent l="0" t="0" r="0" b="0"/>
                      <wp:wrapNone/>
                      <wp:docPr id="227" name="Frame22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78485" cy="175260"/>
                      <wp:effectExtent l="0" t="0" r="0" b="0"/>
                      <wp:wrapNone/>
                      <wp:docPr id="228" name="Frame227"/>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3510" cy="175260"/>
                      <wp:effectExtent l="0" t="0" r="0" b="0"/>
                      <wp:wrapNone/>
                      <wp:docPr id="229" name="Frame2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5460" cy="175260"/>
                      <wp:effectExtent l="0" t="0" r="0" b="0"/>
                      <wp:wrapNone/>
                      <wp:docPr id="231" name="Frame2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3510" cy="175260"/>
                      <wp:effectExtent l="0" t="0" r="0" b="0"/>
                      <wp:wrapNone/>
                      <wp:docPr id="232" name="Frame2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62610" cy="175260"/>
                      <wp:effectExtent l="0" t="0" r="0" b="0"/>
                      <wp:wrapNone/>
                      <wp:docPr id="234" name="Frame2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Electronic </w:t>
            </w:r>
          </w:p>
        </w:tc>
        <w:tc>
          <w:tcPr>
            <w:tcW w:w="22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Components</w:t>
            </w:r>
          </w:p>
        </w:tc>
        <w:tc>
          <w:tcPr>
            <w:tcW w:w="226" w:type="dxa"/>
            <w:tcBorders/>
            <w:vAlign w:val="center"/>
          </w:tcPr>
          <w:p>
            <w:pPr>
              <w:pStyle w:val="TableContents"/>
              <w:bidi w:val="0"/>
              <w:spacing w:before="0" w:after="0"/>
              <w:ind w:left="0" w:right="0" w:hanging="0"/>
              <w:jc w:val="center"/>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Farnell</w:t>
            </w:r>
          </w:p>
        </w:tc>
        <w:tc>
          <w:tcPr>
            <w:tcW w:w="226" w:type="dxa"/>
            <w:tcBorders/>
            <w:vAlign w:val="center"/>
          </w:tcPr>
          <w:p>
            <w:pPr>
              <w:pStyle w:val="TableContents"/>
              <w:bidi w:val="0"/>
              <w:spacing w:before="0" w:after="0"/>
              <w:ind w:left="0" w:right="0" w:hanging="0"/>
              <w:jc w:val="center"/>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686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371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June 28, 2025 </w:t>
            </w:r>
            <w:r>
              <w:rPr>
                <w:rFonts w:ascii="Times New Roman;Times;serif" w:hAnsi="Times New Roman;Times;serif"/>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527,293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837,031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226" w:type="dxa"/>
            <w:tcBorders/>
            <w:vAlign w:val="center"/>
          </w:tcPr>
          <w:p>
            <w:pPr>
              <w:pStyle w:val="TableContents"/>
              <w:bidi w:val="0"/>
              <w:spacing w:before="0" w:after="0"/>
              <w:ind w:left="0" w:right="0" w:hanging="0"/>
              <w:jc w:val="left"/>
              <w:rPr/>
            </w:pPr>
            <w:r>
              <w:rPr/>
              <w:t>​</w:t>
            </w:r>
          </w:p>
        </w:tc>
        <w:tc>
          <w:tcPr>
            <w:tcW w:w="24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(26,868)</w:t>
            </w:r>
          </w:p>
        </w:tc>
      </w:tr>
      <w:tr>
        <w:trPr/>
        <w:tc>
          <w:tcPr>
            <w:tcW w:w="29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June 27, 2026 </w:t>
            </w:r>
            <w:r>
              <w:rPr>
                <w:rFonts w:ascii="Times New Roman;Times;serif" w:hAnsi="Times New Roman;Times;serif"/>
                <w:sz w:val="15"/>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810,163</w:t>
            </w:r>
          </w:p>
        </w:tc>
      </w:tr>
    </w:tbl>
    <w:tbl>
      <w:tblPr>
        <w:tblW w:w="5522" w:type="dxa"/>
        <w:jc w:val="left"/>
        <w:tblInd w:w="0" w:type="dxa"/>
        <w:tblLayout w:type="fixed"/>
        <w:tblCellMar>
          <w:top w:w="0" w:type="dxa"/>
          <w:left w:w="0" w:type="dxa"/>
          <w:bottom w:w="0" w:type="dxa"/>
          <w:right w:w="0" w:type="dxa"/>
        </w:tblCellMar>
      </w:tblPr>
      <w:tblGrid>
        <w:gridCol w:w="286"/>
        <w:gridCol w:w="523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2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accumulated impairment of $1,482,677</w:t>
            </w:r>
            <w:r>
              <w:rPr>
                <w:caps w:val="false"/>
                <w:smallCaps w:val="false"/>
              </w:rPr>
              <w:t xml:space="preserve"> </w:t>
            </w:r>
            <w:r>
              <w:rPr>
                <w:rFonts w:ascii="Times New Roman;Times;serif" w:hAnsi="Times New Roman;Times;serif"/>
                <w:b w:val="false"/>
                <w:i w:val="false"/>
                <w:caps w:val="false"/>
                <w:smallCaps w:val="false"/>
                <w:sz w:val="18"/>
              </w:rPr>
              <w:t>from prior fiscal years.</w:t>
            </w:r>
          </w:p>
        </w:tc>
      </w:tr>
    </w:tbl>
    <w:p>
      <w:pPr>
        <w:pStyle w:val="TextBody"/>
        <w:bidi w:val="0"/>
        <w:spacing w:lineRule="auto" w:line="343" w:before="0" w:after="0"/>
        <w:ind w:left="0" w:right="0" w:firstLine="475"/>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749" w:name="Tc_LE0_IuPYbUeg3UD9gb2bXQ_7_11"/>
      <w:bookmarkStart w:id="750" w:name="Tc_GsyUw0yu_EKZGdX7lxLe8Q_7_8"/>
      <w:bookmarkStart w:id="751" w:name="Tc_rW9z9aZQh06OYj_Edhoj9Q_7_0"/>
      <w:bookmarkStart w:id="752" w:name="Tc_Ut7hzzwE_kC9ps-uOytcsw_6_6"/>
      <w:bookmarkStart w:id="753" w:name="Tc_Krw7PBRffEagwKxf3MbUNw_6_3"/>
      <w:bookmarkStart w:id="754" w:name="Tc_AP9vXYdlcEGJzQR65nkqYA_6_0"/>
      <w:bookmarkStart w:id="755" w:name="Tc_v_Jsg7IG-kWK_0JHOjDS_w_5_12"/>
      <w:bookmarkStart w:id="756" w:name="Tc_i2VSprFhJk6Morjjr1_Itg_5_5"/>
      <w:bookmarkStart w:id="757" w:name="Tc_bJI54829kkKvWPbl9ABhJw_5_3"/>
      <w:bookmarkStart w:id="758" w:name="Tc_-WIAQd-AJkKOwqY5ualJhQ_5_0"/>
      <w:bookmarkStart w:id="759" w:name="Tc_C1FMU8sDJEqObeZMmpwY2g_4_12"/>
      <w:bookmarkStart w:id="760" w:name="Tc_yULlHC6JAUmfPJ9vtApFsg_4_8"/>
      <w:bookmarkStart w:id="761" w:name="Tc_-QFyyNSPKUKYKgLREWo0Vw_4_5"/>
      <w:bookmarkStart w:id="762" w:name="Tc_3ezKGZHmc0eTQ1ZGpSxsjw_4_3"/>
      <w:bookmarkStart w:id="763" w:name="Tc_AFXAfROQ3kiW86DOXPqo6w_4_0"/>
      <w:bookmarkStart w:id="764" w:name="Tc_338-c7ee2ECSQtvJnZeN8w_3_8"/>
      <w:bookmarkStart w:id="765" w:name="Tc_-DSVF8-GTU69UFMWv4B25g_3_2"/>
      <w:bookmarkStart w:id="766" w:name="Tc_2reft5snykesEeljptHwmA_2_11"/>
      <w:bookmarkStart w:id="767" w:name="Tc_ArrQz8D4V0uNCk7TRP6W0w_2_8"/>
      <w:bookmarkStart w:id="768" w:name="Tc_DkapPBMQQUWCuWXfdbYOgg_2_5"/>
      <w:bookmarkStart w:id="769" w:name="Tc_dC-GvQedZkm-UNDtHx5Y5w_2_2"/>
      <w:bookmarkStart w:id="770" w:name="Tc_in4NPZJ4zUOLkMYXrmb4Gw_1_11"/>
      <w:bookmarkStart w:id="771" w:name="Tc_mYK79Bzqr0qdWogFvL-jxQ_1_8"/>
      <w:bookmarkStart w:id="772" w:name="Tc_8Wk669Rjm0a1YPAV6s8urw_1_5"/>
      <w:bookmarkStart w:id="773" w:name="Tc_QXzw86trf0Gyjq7kr4ypiA_1_2"/>
      <w:bookmarkStart w:id="774" w:name="_3f113470_0725_4497_8433_9e8eaf2b3cc1"/>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b/>
          <w:sz w:val="20"/>
        </w:rPr>
        <w:t>7. Debt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Short-term debt consists of the following (carrying balances in thousands):</w:t>
      </w:r>
    </w:p>
    <w:p>
      <w:pPr>
        <w:pStyle w:val="TextBody"/>
        <w:bidi w:val="0"/>
        <w:spacing w:lineRule="atLeast" w:line="200" w:before="0" w:after="0"/>
        <w:ind w:left="0" w:right="0" w:hanging="0"/>
        <w:jc w:val="left"/>
        <w:rPr/>
      </w:pPr>
      <w:r>
        <w:rPr/>
        <w:t>​</w:t>
      </w:r>
    </w:p>
    <w:tbl>
      <w:tblPr>
        <w:tblW w:w="8303" w:type="dxa"/>
        <w:jc w:val="left"/>
        <w:tblInd w:w="0" w:type="dxa"/>
        <w:tblLayout w:type="fixed"/>
        <w:tblCellMar>
          <w:top w:w="0" w:type="dxa"/>
          <w:left w:w="0" w:type="dxa"/>
          <w:bottom w:w="0" w:type="dxa"/>
          <w:right w:w="0" w:type="dxa"/>
        </w:tblCellMar>
      </w:tblPr>
      <w:tblGrid>
        <w:gridCol w:w="3646"/>
        <w:gridCol w:w="109"/>
        <w:gridCol w:w="512"/>
        <w:gridCol w:w="298"/>
        <w:gridCol w:w="286"/>
        <w:gridCol w:w="512"/>
        <w:gridCol w:w="298"/>
        <w:gridCol w:w="286"/>
        <w:gridCol w:w="211"/>
        <w:gridCol w:w="781"/>
        <w:gridCol w:w="286"/>
        <w:gridCol w:w="211"/>
        <w:gridCol w:w="676"/>
        <w:gridCol w:w="19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15210" cy="175260"/>
                      <wp:effectExtent l="0" t="0" r="0" b="0"/>
                      <wp:wrapNone/>
                      <wp:docPr id="235" name="Frame234"/>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25120" cy="175260"/>
                      <wp:effectExtent l="0" t="0" r="0" b="0"/>
                      <wp:wrapNone/>
                      <wp:docPr id="237" name="Frame236"/>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9230" cy="175260"/>
                      <wp:effectExtent l="0" t="0" r="0" b="0"/>
                      <wp:wrapNone/>
                      <wp:docPr id="238" name="Frame23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1610" cy="175260"/>
                      <wp:effectExtent l="0" t="0" r="0" b="0"/>
                      <wp:wrapNone/>
                      <wp:docPr id="239" name="Frame2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25120" cy="175260"/>
                      <wp:effectExtent l="0" t="0" r="0" b="0"/>
                      <wp:wrapNone/>
                      <wp:docPr id="240" name="Frame239"/>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9230" cy="175260"/>
                      <wp:effectExtent l="0" t="0" r="0" b="0"/>
                      <wp:wrapNone/>
                      <wp:docPr id="241" name="Frame24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1610" cy="175260"/>
                      <wp:effectExtent l="0" t="0" r="0" b="0"/>
                      <wp:wrapNone/>
                      <wp:docPr id="242" name="Frame2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95935" cy="175260"/>
                      <wp:effectExtent l="0" t="0" r="0" b="0"/>
                      <wp:wrapNone/>
                      <wp:docPr id="244" name="Frame2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1610" cy="175260"/>
                      <wp:effectExtent l="0" t="0" r="0" b="0"/>
                      <wp:wrapNone/>
                      <wp:docPr id="245" name="Frame2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29260" cy="175260"/>
                      <wp:effectExtent l="0" t="0" r="0" b="0"/>
                      <wp:wrapNone/>
                      <wp:docPr id="247" name="Frame2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1285" cy="175260"/>
                      <wp:effectExtent l="0" t="0" r="0" b="0"/>
                      <wp:wrapNone/>
                      <wp:docPr id="248" name="Frame24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28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8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28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86" w:type="dxa"/>
            <w:tcBorders/>
            <w:vAlign w:val="center"/>
          </w:tcPr>
          <w:p>
            <w:pPr>
              <w:pStyle w:val="TableContents"/>
              <w:bidi w:val="0"/>
              <w:spacing w:before="0" w:after="0"/>
              <w:ind w:left="0" w:right="0" w:hanging="0"/>
              <w:jc w:val="center"/>
              <w:rPr/>
            </w:pPr>
            <w:r>
              <w:rPr/>
              <w:t>  ​ ​</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86" w:type="dxa"/>
            <w:tcBorders/>
            <w:vAlign w:val="center"/>
          </w:tcPr>
          <w:p>
            <w:pPr>
              <w:pStyle w:val="TableContents"/>
              <w:bidi w:val="0"/>
              <w:spacing w:before="0" w:after="0"/>
              <w:ind w:left="0" w:right="0" w:hanging="0"/>
              <w:jc w:val="center"/>
              <w:rPr/>
            </w:pPr>
            <w:r>
              <w:rPr/>
              <w:t>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86" w:type="dxa"/>
            <w:tcBorders/>
            <w:vAlign w:val="center"/>
          </w:tcPr>
          <w:p>
            <w:pPr>
              <w:pStyle w:val="TableContents"/>
              <w:bidi w:val="0"/>
              <w:spacing w:before="0" w:after="0"/>
              <w:ind w:left="0" w:right="0" w:hanging="0"/>
              <w:jc w:val="center"/>
              <w:rPr/>
            </w:pPr>
            <w:r>
              <w:rPr/>
              <w:t>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1" w:type="dxa"/>
            <w:tcBorders/>
            <w:vAlign w:val="center"/>
          </w:tcPr>
          <w:p>
            <w:pPr>
              <w:pStyle w:val="TableContents"/>
              <w:bidi w:val="0"/>
              <w:spacing w:before="0" w:after="0"/>
              <w:ind w:left="0" w:right="0" w:hanging="0"/>
              <w:jc w:val="center"/>
              <w:rPr/>
            </w:pPr>
            <w:r>
              <w:rPr/>
              <w:t>​</w:t>
            </w:r>
          </w:p>
        </w:tc>
      </w:tr>
      <w:tr>
        <w:trPr/>
        <w:tc>
          <w:tcPr>
            <w:tcW w:w="8303"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0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86" w:type="dxa"/>
            <w:tcBorders/>
            <w:vAlign w:val="center"/>
          </w:tcPr>
          <w:p>
            <w:pPr>
              <w:pStyle w:val="TableContents"/>
              <w:bidi w:val="0"/>
              <w:spacing w:before="0" w:after="0"/>
              <w:ind w:left="0" w:right="0" w:hanging="0"/>
              <w:jc w:val="center"/>
              <w:rPr/>
            </w:pPr>
            <w:r>
              <w:rPr/>
              <w:t>​</w:t>
            </w:r>
          </w:p>
        </w:tc>
        <w:tc>
          <w:tcPr>
            <w:tcW w:w="216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1" w:type="dxa"/>
            <w:tcBorders/>
            <w:vAlign w:val="center"/>
          </w:tcPr>
          <w:p>
            <w:pPr>
              <w:pStyle w:val="TableContents"/>
              <w:bidi w:val="0"/>
              <w:spacing w:before="0" w:after="0"/>
              <w:ind w:left="0" w:right="0" w:hanging="0"/>
              <w:jc w:val="center"/>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 current portion</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89,806</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short-term debt </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144,146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color w:val="575757"/>
              </w:rPr>
            </w:pPr>
            <w:r>
              <w:rPr>
                <w:color w:val="575757"/>
              </w:rPr>
              <w:t>​</w:t>
            </w:r>
          </w:p>
        </w:tc>
        <w:tc>
          <w:tcPr>
            <w:tcW w:w="298"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color w:val="575757"/>
              </w:rPr>
            </w:pPr>
            <w:r>
              <w:rPr>
                <w:color w:val="575757"/>
              </w:rPr>
              <w:t>​</w:t>
            </w:r>
          </w:p>
        </w:tc>
        <w:tc>
          <w:tcPr>
            <w:tcW w:w="512" w:type="dxa"/>
            <w:tcBorders/>
            <w:vAlign w:val="center"/>
          </w:tcPr>
          <w:p>
            <w:pPr>
              <w:pStyle w:val="TableContents"/>
              <w:bidi w:val="0"/>
              <w:spacing w:before="0" w:after="0"/>
              <w:ind w:left="0" w:right="0" w:hanging="0"/>
              <w:jc w:val="left"/>
              <w:rPr>
                <w:color w:val="575757"/>
              </w:rPr>
            </w:pPr>
            <w:r>
              <w:rPr>
                <w:color w:val="575757"/>
              </w:rPr>
              <w:t>​</w:t>
            </w:r>
          </w:p>
        </w:tc>
        <w:tc>
          <w:tcPr>
            <w:tcW w:w="298"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733,952</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a trade accounts receivable securitization program (the “Securitization Program”) in the United States with a group of financial institutions, which is due in December 2026. The Securitization Program allows the Company to transfer, on an ongoing revolving basis, an undivided interest in a designated pool of trade accounts receivable, to provide security or collateral for borrowings of up to $500.0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$1.23 billion and $813.9 million at June 27, 2026, and June 28, 2025, respectively. The Securitization Program contains certain covenants relating to the quality of the receivables sold. There were $500.0 million borrowings outstanding under the Securitization Program as of June 27, 2026, and as of June 28, 2025.</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July 2026, subsequent to the end of fiscal 2026, the Company amended and extended its Securitization Program for two years. The Amendment increased the maximum purchase limit under the Receivables Purchase Agreement from $500.0 million to $700.0 million, extended the facility termination date to July 1, 2028, and excluded certain receivables from the agreement. Other terms of the agreement remained substantially unchanged.</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Other short-term debt consists of various committed and uncommitted lines of credit and other forms of bank debt with financial institutions utilized primarily to support the ongoing working capital requirements of the Company, including its foreign operations. The available unused capacity under the uncommitted lines of credit available to the Company and its subsidiaries was approximately $325.0 million as of June 27, 2026, and June 28,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bookmarkStart w:id="775" w:name="Tc_t1pwbJOuX0mDKg86DVavWQ_16_11"/>
      <w:bookmarkStart w:id="776" w:name="Tc_-2EVaVuaVkypO8nnv12lAA_16_8"/>
      <w:bookmarkStart w:id="777" w:name="Tc_fMobo7TLtUyDc9-RRrGwGA_16_0"/>
      <w:bookmarkStart w:id="778" w:name="Tc_BbNdaV92dkyV2tTApp3waw_15_0"/>
      <w:bookmarkStart w:id="779" w:name="Tc_cz7eoDn_Ok6HpTvMp2_q0Q_14_0"/>
      <w:bookmarkStart w:id="780" w:name="Tc_m_PrKnRPfkOjjPzkWrA6KA_13_6"/>
      <w:bookmarkStart w:id="781" w:name="Tc_24BswxyOdUOblW3p6zVdnA_13_3"/>
      <w:bookmarkStart w:id="782" w:name="Tc_LbRErodUuUCGNHK0vYtIXw_13_0"/>
      <w:bookmarkStart w:id="783" w:name="Tc_CWmpjWbt_UO5fO0rdk8aXQ_12_6"/>
      <w:bookmarkStart w:id="784" w:name="Tc_blWmTxwdg0ia3TarUbIB5g_12_3"/>
      <w:bookmarkStart w:id="785" w:name="Tc_hQTdqoxNJkKMkafYy3GYcw_12_0"/>
      <w:bookmarkStart w:id="786" w:name="Tc_gbBu-9S0Ek-0bdLict_7ow_11_12"/>
      <w:bookmarkStart w:id="787" w:name="Tc_Vmp3hWTjJ0CqP4fleBHlog_11_5"/>
      <w:bookmarkStart w:id="788" w:name="Tc_j2rF620fJkaqNqhy9q30Gw_11_3"/>
      <w:bookmarkStart w:id="789" w:name="Tc_DQPqUVtEk0eI-IjB4WO2rg_11_0"/>
      <w:bookmarkStart w:id="790" w:name="Tc_SXgHbNG-XUmlO1aND4Knlg_10_6"/>
      <w:bookmarkStart w:id="791" w:name="Tc_yaLO3ut7fkqb4V7dHhsuIg_10_3"/>
      <w:bookmarkStart w:id="792" w:name="Tc_DtMXek6yrE6C7dt3_87iRg_10_0"/>
      <w:bookmarkStart w:id="793" w:name="Tc_xoVWHBvAMkSAQhFBhKyRtA_9_9"/>
      <w:bookmarkStart w:id="794" w:name="Tc_x-V5d3qjuEaykaJhhfvfgw_9_6"/>
      <w:bookmarkStart w:id="795" w:name="Tc_92_P6a_HG0CIhhXIcE7PmA_9_2"/>
      <w:bookmarkStart w:id="796" w:name="Tc_wYOGx6yJVkKDbv30KMK4_g_9_0"/>
      <w:bookmarkStart w:id="797" w:name="Tc_LPUGpEzMiEakh7CqVMvngw_8_0"/>
      <w:bookmarkStart w:id="798" w:name="Tc_SfPuNJhZW0-gEqyusYQZZw_7_6"/>
      <w:bookmarkStart w:id="799" w:name="Tc_k2CzHOO6oEOTm8r5_rKA8Q_7_3"/>
      <w:bookmarkStart w:id="800" w:name="Tc_ruhnLTvywkSXZEt0D3TBog_7_0"/>
      <w:bookmarkStart w:id="801" w:name="Tc_UzfRiRtTIEG9-A8sIfa28Q_6_12"/>
      <w:bookmarkStart w:id="802" w:name="Tc_1PAN0FwNV0qUVhiD3c-CMQ_6_5"/>
      <w:bookmarkStart w:id="803" w:name="Tc_wgtyOBfGrUmM3dEtJdkeUg_6_3"/>
      <w:bookmarkStart w:id="804" w:name="Tc_igVVVAO3tEOoGjPVDtE82g_6_0"/>
      <w:bookmarkStart w:id="805" w:name="Tc_f59acsXMj0a_ebhvJ1wqlw_5_6"/>
      <w:bookmarkStart w:id="806" w:name="Tc_Gj1VmGr7UU2QG2zdptPx7A_5_3"/>
      <w:bookmarkStart w:id="807" w:name="Tc_ZqqSqYM8GE6k_BI0KEQvjw_5_0"/>
      <w:bookmarkStart w:id="808" w:name="Tc_Geuu6ZwhTkKXLNQYIC1poQ_4_11"/>
      <w:bookmarkStart w:id="809" w:name="Tc_ciG83soM1E6CLASI6ycZ_A_4_9"/>
      <w:bookmarkStart w:id="810" w:name="Tc_bUfw4S_7bUa1IFj32t2KgQ_4_8"/>
      <w:bookmarkStart w:id="811" w:name="Tc_tZJ98_Q0X0CcIcgtUyGLZA_4_6"/>
      <w:bookmarkStart w:id="812" w:name="Tc_oXSrOrKYQU6q296DATqUNw_4_2"/>
      <w:bookmarkStart w:id="813" w:name="Tc_zuRj7cAfpUOCFdTK0RH27A_4_0"/>
      <w:bookmarkStart w:id="814" w:name="Tc_Q3ZlocJeFUeWzjNwhY2T5g_3_8"/>
      <w:bookmarkStart w:id="815" w:name="Tc_tuvwV85LNUaW43VBglYGCg_3_2"/>
      <w:bookmarkStart w:id="816" w:name="Tc_EdT0RqopuU2B0lSGHyzR9g_2_11"/>
      <w:bookmarkStart w:id="817" w:name="Tc_OUxzsLOxbEi6Ks3HrNKzGA_2_8"/>
      <w:bookmarkStart w:id="818" w:name="Tc_u1hWa79LjEOH2zSpXnVMNQ_2_5"/>
      <w:bookmarkStart w:id="819" w:name="Tc_SdXn53BWjkuDu5u-3WEs4g_2_2"/>
      <w:bookmarkStart w:id="820" w:name="Tc_dRfAROet5U-3t6OMLIyF2A_1_11"/>
      <w:bookmarkStart w:id="821" w:name="Tc_t2bv7kMj5UyQFLI2bvNsTw_1_8"/>
      <w:bookmarkStart w:id="822" w:name="Tc_x0UKKNPVPUKyuvNfBYJI9Q_1_5"/>
      <w:bookmarkStart w:id="823" w:name="Tc_fXRwge3KlEqNh1m7M_xOLg_1_2"/>
      <w:bookmarkStart w:id="824" w:name="_765425f2_84a4_454d_8888_1604d1c2059b"/>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ascii="Times New Roman;Times;serif" w:hAnsi="Times New Roman;Times;serif"/>
          <w:sz w:val="20"/>
        </w:rPr>
        <w:t>Long-term debt consists of the following (carrying balances in thousands):</w:t>
      </w:r>
    </w:p>
    <w:p>
      <w:pPr>
        <w:pStyle w:val="TextBody"/>
        <w:bidi w:val="0"/>
        <w:spacing w:lineRule="atLeast" w:line="200" w:before="0" w:after="0"/>
        <w:ind w:left="0" w:right="0" w:hanging="0"/>
        <w:jc w:val="left"/>
        <w:rPr/>
      </w:pPr>
      <w:r>
        <w:rPr/>
        <w:t>​</w:t>
      </w:r>
    </w:p>
    <w:tbl>
      <w:tblPr>
        <w:tblW w:w="9623" w:type="dxa"/>
        <w:jc w:val="left"/>
        <w:tblInd w:w="0" w:type="dxa"/>
        <w:tblLayout w:type="fixed"/>
        <w:tblCellMar>
          <w:top w:w="0" w:type="dxa"/>
          <w:left w:w="0" w:type="dxa"/>
          <w:bottom w:w="0" w:type="dxa"/>
          <w:right w:w="0" w:type="dxa"/>
        </w:tblCellMar>
      </w:tblPr>
      <w:tblGrid>
        <w:gridCol w:w="4621"/>
        <w:gridCol w:w="109"/>
        <w:gridCol w:w="512"/>
        <w:gridCol w:w="298"/>
        <w:gridCol w:w="346"/>
        <w:gridCol w:w="512"/>
        <w:gridCol w:w="298"/>
        <w:gridCol w:w="226"/>
        <w:gridCol w:w="211"/>
        <w:gridCol w:w="931"/>
        <w:gridCol w:w="226"/>
        <w:gridCol w:w="211"/>
        <w:gridCol w:w="931"/>
        <w:gridCol w:w="191"/>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934335" cy="175260"/>
                      <wp:effectExtent l="0" t="0" r="0" b="0"/>
                      <wp:wrapNone/>
                      <wp:docPr id="249" name="Frame248"/>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5120" cy="175260"/>
                      <wp:effectExtent l="0" t="0" r="0" b="0"/>
                      <wp:wrapNone/>
                      <wp:docPr id="251" name="Frame250"/>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89230" cy="175260"/>
                      <wp:effectExtent l="0" t="0" r="0" b="0"/>
                      <wp:wrapNone/>
                      <wp:docPr id="252" name="Frame25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25120" cy="175260"/>
                      <wp:effectExtent l="0" t="0" r="0" b="0"/>
                      <wp:wrapNone/>
                      <wp:docPr id="254" name="Frame253"/>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9230" cy="175260"/>
                      <wp:effectExtent l="0" t="0" r="0" b="0"/>
                      <wp:wrapNone/>
                      <wp:docPr id="255" name="Frame254"/>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43510" cy="175260"/>
                      <wp:effectExtent l="0" t="0" r="0" b="0"/>
                      <wp:wrapNone/>
                      <wp:docPr id="256" name="Frame2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91185" cy="175260"/>
                      <wp:effectExtent l="0" t="0" r="0" b="0"/>
                      <wp:wrapNone/>
                      <wp:docPr id="258" name="Frame2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3510" cy="175260"/>
                      <wp:effectExtent l="0" t="0" r="0" b="0"/>
                      <wp:wrapNone/>
                      <wp:docPr id="259" name="Frame25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91185" cy="175260"/>
                      <wp:effectExtent l="0" t="0" r="0" b="0"/>
                      <wp:wrapNone/>
                      <wp:docPr id="261" name="Frame2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1285" cy="175260"/>
                      <wp:effectExtent l="0" t="0" r="0" b="0"/>
                      <wp:wrapNone/>
                      <wp:docPr id="262" name="Frame26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2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26" w:type="dxa"/>
            <w:tcBorders/>
            <w:vAlign w:val="center"/>
          </w:tcPr>
          <w:p>
            <w:pPr>
              <w:pStyle w:val="TableContents"/>
              <w:bidi w:val="0"/>
              <w:spacing w:before="0" w:after="0"/>
              <w:ind w:left="0" w:right="0" w:hanging="0"/>
              <w:jc w:val="center"/>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1" w:type="dxa"/>
            <w:tcBorders/>
            <w:vAlign w:val="center"/>
          </w:tcPr>
          <w:p>
            <w:pPr>
              <w:pStyle w:val="TableContents"/>
              <w:bidi w:val="0"/>
              <w:spacing w:before="0" w:after="0"/>
              <w:ind w:left="0" w:right="0" w:hanging="0"/>
              <w:jc w:val="center"/>
              <w:rPr/>
            </w:pPr>
            <w:r>
              <w:rPr/>
              <w:t>​</w:t>
            </w:r>
          </w:p>
        </w:tc>
      </w:tr>
      <w:tr>
        <w:trPr/>
        <w:tc>
          <w:tcPr>
            <w:tcW w:w="9623"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26" w:type="dxa"/>
            <w:tcBorders/>
            <w:vAlign w:val="center"/>
          </w:tcPr>
          <w:p>
            <w:pPr>
              <w:pStyle w:val="TableContents"/>
              <w:bidi w:val="0"/>
              <w:spacing w:before="0" w:after="0"/>
              <w:ind w:left="0" w:right="0" w:hanging="0"/>
              <w:jc w:val="center"/>
              <w:rPr/>
            </w:pPr>
            <w:r>
              <w:rPr/>
              <w:t>​</w:t>
            </w:r>
          </w:p>
        </w:tc>
        <w:tc>
          <w:tcPr>
            <w:tcW w:w="25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1" w:type="dxa"/>
            <w:tcBorders/>
            <w:vAlign w:val="center"/>
          </w:tcPr>
          <w:p>
            <w:pPr>
              <w:pStyle w:val="TableContents"/>
              <w:bidi w:val="0"/>
              <w:spacing w:before="0" w:after="0"/>
              <w:ind w:left="0" w:right="0" w:hanging="0"/>
              <w:jc w:val="center"/>
              <w:rPr/>
            </w:pPr>
            <w:r>
              <w:rPr/>
              <w:t> </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w:t>
            </w:r>
          </w:p>
        </w:tc>
        <w:tc>
          <w:tcPr>
            <w:tcW w:w="109" w:type="dxa"/>
            <w:tcBorders/>
            <w:shd w:fill="CCEEFF" w:val="clear"/>
            <w:vAlign w:val="center"/>
          </w:tcPr>
          <w:p>
            <w:pPr>
              <w:pStyle w:val="TableContents"/>
              <w:bidi w:val="0"/>
              <w:spacing w:before="0" w:after="0"/>
              <w:ind w:left="0" w:right="0" w:hanging="0"/>
              <w:jc w:val="center"/>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(due January 2030)</w:t>
            </w:r>
          </w:p>
        </w:tc>
        <w:tc>
          <w:tcPr>
            <w:tcW w:w="109"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557,000</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411,586</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 noncurrent portion</w:t>
            </w:r>
          </w:p>
        </w:tc>
        <w:tc>
          <w:tcPr>
            <w:tcW w:w="109" w:type="dxa"/>
            <w:tcBorders/>
            <w:shd w:fill="CCEEFF" w:val="clear"/>
            <w:vAlign w:val="center"/>
          </w:tcPr>
          <w:p>
            <w:pPr>
              <w:pStyle w:val="TableContents"/>
              <w:bidi w:val="0"/>
              <w:spacing w:before="0" w:after="0"/>
              <w:ind w:left="0" w:right="0" w:hanging="0"/>
              <w:jc w:val="center"/>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173,925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debt</w:t>
            </w:r>
          </w:p>
        </w:tc>
        <w:tc>
          <w:tcPr>
            <w:tcW w:w="109"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18,481</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21,975</w:t>
            </w:r>
          </w:p>
        </w:tc>
        <w:tc>
          <w:tcPr>
            <w:tcW w:w="191"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notes due:</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April 2026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2028</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2030 (Convertible Notes)</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2031</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2032</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before discount and debt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2,583,561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 – unamortized</w:t>
            </w:r>
          </w:p>
        </w:tc>
        <w:tc>
          <w:tcPr>
            <w:tcW w:w="109"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color w:val="575757"/>
              </w:rPr>
            </w:pPr>
            <w:r>
              <w:rPr>
                <w:color w:val="575757"/>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w:t>
            </w:r>
          </w:p>
        </w:tc>
        <w:tc>
          <w:tcPr>
            <w:tcW w:w="191"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2,478,864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2,574,729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June 28, 2025, the Company classified its $550</w:t>
            </w:r>
            <w:r>
              <w:rPr>
                <w:caps w:val="false"/>
                <w:smallCaps w:val="false"/>
              </w:rPr>
              <w:t xml:space="preserve"> </w:t>
            </w:r>
            <w:r>
              <w:rPr>
                <w:rFonts w:ascii="Times New Roman;Times;serif" w:hAnsi="Times New Roman;Times;serif"/>
                <w:b w:val="false"/>
                <w:i w:val="false"/>
                <w:caps w:val="false"/>
                <w:smallCaps w:val="false"/>
                <w:sz w:val="18"/>
              </w:rPr>
              <w:t>million of 4.63%</w:t>
            </w:r>
            <w:r>
              <w:rPr>
                <w:caps w:val="false"/>
                <w:smallCaps w:val="false"/>
              </w:rPr>
              <w:t xml:space="preserve"> </w:t>
            </w:r>
            <w:r>
              <w:rPr>
                <w:rFonts w:ascii="Times New Roman;Times;serif" w:hAnsi="Times New Roman;Times;serif"/>
                <w:b w:val="false"/>
                <w:i w:val="false"/>
                <w:caps w:val="false"/>
                <w:smallCaps w:val="false"/>
                <w:sz w:val="18"/>
              </w:rPr>
              <w:t>Notes due April 2026 as long-term debt based on its ability and intent to refinance these notes on a long-term basis.</w:t>
            </w:r>
          </w:p>
        </w:tc>
      </w:tr>
    </w:tbl>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April 2026, the Company amended its five-year syndicated revolving credit facility (the “Credit Facility”) and exercised the accordion feature under which the revolving line of credit limit increased by $250 million to a limit of $1.75 billion. Under the Credit Facility, the Company may select from various interest rate options, currencies, and maturities, may issue up to $200.0 million of letters of credit and borrow up to $300.0 million of loans in certain approved currencies. The Credit Facility contains certain covenants including various limitations on debt incurrence, share repurchases, dividends, investments, and capital expenditures. The Credit Facility also includes a financial covenant requiring the Company to maintain a leverage ratio below a certain threshold, which the Company was in compliance with as of June 27, 2026. At June 27, 2026, and June 28, 2025, there were $0.8 million in letters of credit issued under the Credit Facility. The Credit Facility matures in January 2030.</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On August 28, 2025, the Company amended its Credit Facility through September 2026 to temporarily raise the maximum permitted leverage ratio. The amendment also restricts the Company's ability to make certain payments including the repurchase of shares in excess of $100 million worth of its common stock, which was reached in the first quarter of fiscal 2026 in connection with the issuance of the Convertible Notes.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April 2026, the Company repaid the $550 million 4.63% Notes due April 2026 with available borrowing capacity under the Credit Facility.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July 2025, the Company entered into a credit agreement (“2025 Term Loan”) for approximately $266.5 million that matures in approximately equal annual installments over three years. The Term Loan bears a blended variable interest rate between tranches denominated in USD and EUR.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In August 2026, subsequent to the end of fiscal 2026, the Company entered into a credit agreement (“2026 Term Loan”) for $375 million. The loan is priced at a variable interest rate and matures in July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bookmarkStart w:id="825" w:name="Tc_x2XZW9vrf0qU-K333zUZsQ_9_2"/>
      <w:bookmarkStart w:id="826" w:name="Tc_4lJ_d22T7E-VGqshLHw4rw_9_0"/>
      <w:bookmarkStart w:id="827" w:name="Tc_wpMIqd5BNUiCq7Hgb8unpg_8_0"/>
      <w:bookmarkStart w:id="828" w:name="Tc_72fPrpev7EykA1V-0bd_gw_7_0"/>
      <w:bookmarkStart w:id="829" w:name="Tc_d-A8MdSJdUOcr_G6XMkj9Q_6_0"/>
      <w:bookmarkStart w:id="830" w:name="Tc_-tmLozAj4UWVQXXwyZsSQA_5_0"/>
      <w:bookmarkStart w:id="831" w:name="Tc_UiarAGN5XUe-GbJgi0omsA_4_0"/>
      <w:bookmarkStart w:id="832" w:name="Tc_DXkOVDTO8kqDg00MSEMFbA_3_0"/>
      <w:bookmarkStart w:id="833" w:name="Tc_WtUOwN0mzEqyvATcn9LyBQ_2_0"/>
      <w:bookmarkStart w:id="834" w:name="Tc_sjA2jeVAskS-sPCeCMfRFA_1_2"/>
      <w:bookmarkStart w:id="835" w:name="Tc_uCf6JfBo0UeIFM4dWWD-dg_1_0"/>
      <w:bookmarkStart w:id="836" w:name="_ff10c17a_f1d8_4a47_8edf_f5fa8b3cf4c8"/>
      <w:bookmarkStart w:id="837" w:name="_2efaaddf_faa4_44df_b3b8_37dd31567306"/>
      <w:bookmarkStart w:id="838" w:name="_217553ee_594e_4466_ae8b_b9ff9048d269"/>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r>
        <w:rPr>
          <w:rFonts w:ascii="Times New Roman;Times;serif" w:hAnsi="Times New Roman;Times;serif"/>
          <w:sz w:val="20"/>
        </w:rPr>
        <w:t>In September 2025, the Company issued $650 million aggregate principal amount of convertible senior notes due 2030 (the “Convertible Notes”). The net proceeds from the sale of the Convertible Notes were approximately $633.8 million.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Convertible Notes accrue interest at a rate of 1.75% per annum. Before June 1, 2030, noteholders will have the right to convert their Convertible Notes only upon the occurrence of certain events, including but not limited to, the Company’s common stock trading above approximately $91 per share for each of at least 20 trading days, whether or not consecutive, during the 30 consecutive trading days ending on, and including, the last trading day of the immediately preceding fiscal quarter, the market value of the Convertible Notes trading below 98% of the product of the trading price of the Company’s common stock and the conversion rate for a specific period, and certain fundamental changes to the Company’s corporate structure. The initial conversion price is approximately $70.27 per share of common stock.</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may redeem all or any portion of the Convertible Notes, at the Company’s option, on or after September 8, 2028, if the sale price of the Company’s common stock has been at least approximately $91 per common share for at least 20 trading days during any 30 consecutive trading-day period.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Upon conversion of the Convertible Notes, the Company must satisfy the aggregate principal amount of the notes being converted in cash. For any conversion obligation exceeding the aggregate principal amount, the Company may, at its discretion, settle the remainder through cash, shares of the Company’s common stock, or a combination thereof.</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Aggregate debt maturities for the next five fiscal years and thereafter are as follows (in thousands):</w:t>
      </w:r>
    </w:p>
    <w:p>
      <w:pPr>
        <w:pStyle w:val="TextBody"/>
        <w:bidi w:val="0"/>
        <w:spacing w:lineRule="atLeast" w:line="200" w:before="0" w:after="0"/>
        <w:ind w:left="0" w:right="0" w:hanging="0"/>
        <w:jc w:val="left"/>
        <w:rPr/>
      </w:pPr>
      <w:r>
        <w:rPr/>
        <w:t>​</w:t>
      </w:r>
    </w:p>
    <w:tbl>
      <w:tblPr>
        <w:tblW w:w="5648" w:type="dxa"/>
        <w:jc w:val="left"/>
        <w:tblInd w:w="0" w:type="dxa"/>
        <w:tblLayout w:type="fixed"/>
        <w:tblCellMar>
          <w:top w:w="0" w:type="dxa"/>
          <w:left w:w="0" w:type="dxa"/>
          <w:bottom w:w="0" w:type="dxa"/>
          <w:right w:w="0" w:type="dxa"/>
        </w:tblCellMar>
      </w:tblPr>
      <w:tblGrid>
        <w:gridCol w:w="4006"/>
        <w:gridCol w:w="346"/>
        <w:gridCol w:w="211"/>
        <w:gridCol w:w="931"/>
        <w:gridCol w:w="154"/>
      </w:tblGrid>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733,952</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592,763</w:t>
            </w:r>
          </w:p>
        </w:tc>
        <w:tc>
          <w:tcPr>
            <w:tcW w:w="154" w:type="dxa"/>
            <w:tcBorders/>
            <w:vAlign w:val="center"/>
          </w:tcPr>
          <w:p>
            <w:pPr>
              <w:pStyle w:val="TableContents"/>
              <w:bidi w:val="0"/>
              <w:spacing w:before="0" w:after="0"/>
              <w:ind w:left="0" w:right="0" w:hanging="0"/>
              <w:jc w:val="right"/>
              <w:rPr>
                <w:color w:val="575757"/>
              </w:rPr>
            </w:pPr>
            <w:r>
              <w:rPr>
                <w:color w:val="575757"/>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87,076</w:t>
            </w:r>
          </w:p>
        </w:tc>
        <w:tc>
          <w:tcPr>
            <w:tcW w:w="154"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559,957</w:t>
            </w:r>
          </w:p>
        </w:tc>
        <w:tc>
          <w:tcPr>
            <w:tcW w:w="154" w:type="dxa"/>
            <w:tcBorders/>
            <w:vAlign w:val="center"/>
          </w:tcPr>
          <w:p>
            <w:pPr>
              <w:pStyle w:val="TableContents"/>
              <w:bidi w:val="0"/>
              <w:spacing w:before="0" w:after="0"/>
              <w:ind w:left="0" w:right="0" w:hanging="0"/>
              <w:jc w:val="right"/>
              <w:rPr>
                <w:color w:val="575757"/>
              </w:rPr>
            </w:pPr>
            <w:r>
              <w:rPr>
                <w:color w:val="575757"/>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952,957</w:t>
            </w:r>
          </w:p>
        </w:tc>
        <w:tc>
          <w:tcPr>
            <w:tcW w:w="154"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306,653</w:t>
            </w:r>
          </w:p>
        </w:tc>
        <w:tc>
          <w:tcPr>
            <w:tcW w:w="154" w:type="dxa"/>
            <w:tcBorders/>
            <w:vAlign w:val="center"/>
          </w:tcPr>
          <w:p>
            <w:pPr>
              <w:pStyle w:val="TableContents"/>
              <w:bidi w:val="0"/>
              <w:spacing w:before="0" w:after="0"/>
              <w:ind w:left="0" w:right="0" w:hanging="0"/>
              <w:jc w:val="right"/>
              <w:rPr>
                <w:color w:val="575757"/>
              </w:rPr>
            </w:pPr>
            <w:r>
              <w:rPr>
                <w:color w:val="575757"/>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3,233,358</w:t>
            </w:r>
          </w:p>
        </w:tc>
        <w:tc>
          <w:tcPr>
            <w:tcW w:w="154"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4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 – unamortized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(20,542)</w:t>
            </w:r>
          </w:p>
        </w:tc>
        <w:tc>
          <w:tcPr>
            <w:tcW w:w="154" w:type="dxa"/>
            <w:tcBorders/>
            <w:vAlign w:val="center"/>
          </w:tcPr>
          <w:p>
            <w:pPr>
              <w:pStyle w:val="TableContents"/>
              <w:bidi w:val="0"/>
              <w:spacing w:before="0" w:after="0"/>
              <w:ind w:left="0" w:right="0" w:hanging="0"/>
              <w:jc w:val="right"/>
              <w:rPr>
                <w:color w:val="575757"/>
              </w:rPr>
            </w:pPr>
            <w:r>
              <w:rPr>
                <w:color w:val="575757"/>
              </w:rPr>
              <w:t>​</w:t>
            </w:r>
          </w:p>
        </w:tc>
      </w:tr>
      <w:tr>
        <w:trPr/>
        <w:tc>
          <w:tcPr>
            <w:tcW w:w="4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3,212,816</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At June 27, 2026, the carrying value and fair value of the Company’s total debt was $3.21 billion and $3.46 billion, respectively. At June 28, 2025, the carrying value and fair value of the Company’s total debt was $2.66 billion and $2.65 billion, respectively. Fair value for public notes including convertible notes was estimated based on quoted market prices (Level 1) and, for other forms of debt, fair value approximates carrying value due to the market based variable nature of the interest rates on those debt facilities (Level 2).</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839" w:name="Tc_NtvtBjYgC0q7E047DZm65A_10_5"/>
      <w:bookmarkStart w:id="840" w:name="Tc_qM4PSE48EEmXbOPrAgD3XA_10_2"/>
      <w:bookmarkStart w:id="841" w:name="Tc_g6lDM2mezEC1MMC0J8bETg_10_0"/>
      <w:bookmarkStart w:id="842" w:name="Tc_xtekngbzXkWhv-AIlgV10A_9_0"/>
      <w:bookmarkStart w:id="843" w:name="Tc_3vQWLNmSVEaHbpE94OiTvQ_8_0"/>
      <w:bookmarkStart w:id="844" w:name="Tc_dU7x0lihgkGPQ5ffPrr-TQ_7_0"/>
      <w:bookmarkStart w:id="845" w:name="Tc_smLF2mAD2EGToSt6Hnypqg_6_0"/>
      <w:bookmarkStart w:id="846" w:name="Tc_cPAsnpXrDU6-Wzkd9nszXA_5_0"/>
      <w:bookmarkStart w:id="847" w:name="Tc_r3wyAWjVWEaofDYtkdNr7w_4_0"/>
      <w:bookmarkStart w:id="848" w:name="Tc_g9fLUeExIkyAbrq7FJKkaQ_3_5"/>
      <w:bookmarkStart w:id="849" w:name="Tc_RJyyxyVU80GRXBV_lqBi8Q_3_2"/>
      <w:bookmarkStart w:id="850" w:name="Tc_JlPQInRYlE6_fLkBmRWw_g_3_0"/>
      <w:bookmarkStart w:id="851" w:name="Tc_VFGIUfKUEkaN-0ZR380Q8Q_2_2"/>
      <w:bookmarkStart w:id="852" w:name="Tc_sIvqQpB4l028w-3XYdD_6g_1_5"/>
      <w:bookmarkStart w:id="853" w:name="Tc_udLr09Mn4EWB7OsUU2F6gw_1_2"/>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Times New Roman;Times;serif" w:hAnsi="Times New Roman;Times;serif"/>
          <w:b/>
          <w:sz w:val="20"/>
        </w:rPr>
        <w:t>8. Accrued expenses and other</w:t>
      </w:r>
    </w:p>
    <w:p>
      <w:pPr>
        <w:pStyle w:val="TextBody"/>
        <w:bidi w:val="0"/>
        <w:spacing w:lineRule="auto" w:line="343" w:before="120" w:after="80"/>
        <w:ind w:left="0" w:right="0" w:firstLine="475"/>
        <w:jc w:val="left"/>
        <w:rPr>
          <w:rFonts w:ascii="Times New Roman;Times;serif" w:hAnsi="Times New Roman;Times;serif"/>
          <w:sz w:val="20"/>
        </w:rPr>
      </w:pPr>
      <w:r>
        <w:rPr>
          <w:rFonts w:ascii="Times New Roman;Times;serif" w:hAnsi="Times New Roman;Times;serif"/>
          <w:sz w:val="20"/>
        </w:rPr>
        <w:t>Accrued expenses and other consist of the following:</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firstLine="475"/>
        <w:jc w:val="both"/>
        <w:rPr/>
      </w:pPr>
      <w:r>
        <w:rPr/>
        <w:t>​</w:t>
      </w:r>
    </w:p>
    <w:tbl>
      <w:tblPr>
        <w:tblW w:w="6736" w:type="dxa"/>
        <w:jc w:val="left"/>
        <w:tblInd w:w="0" w:type="dxa"/>
        <w:tblLayout w:type="fixed"/>
        <w:tblCellMar>
          <w:top w:w="0" w:type="dxa"/>
          <w:left w:w="0" w:type="dxa"/>
          <w:bottom w:w="0" w:type="dxa"/>
          <w:right w:w="0" w:type="dxa"/>
        </w:tblCellMar>
      </w:tblPr>
      <w:tblGrid>
        <w:gridCol w:w="3301"/>
        <w:gridCol w:w="346"/>
        <w:gridCol w:w="271"/>
        <w:gridCol w:w="1005"/>
        <w:gridCol w:w="346"/>
        <w:gridCol w:w="271"/>
        <w:gridCol w:w="1005"/>
        <w:gridCol w:w="1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96135" cy="175260"/>
                      <wp:effectExtent l="0" t="0" r="0" b="0"/>
                      <wp:wrapNone/>
                      <wp:docPr id="263" name="Frame26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2085" cy="175260"/>
                      <wp:effectExtent l="0" t="0" r="0" b="0"/>
                      <wp:wrapNone/>
                      <wp:docPr id="265" name="Frame26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38175" cy="175260"/>
                      <wp:effectExtent l="0" t="0" r="0" b="0"/>
                      <wp:wrapNone/>
                      <wp:docPr id="266" name="Frame265"/>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2085" cy="175260"/>
                      <wp:effectExtent l="0" t="0" r="0" b="0"/>
                      <wp:wrapNone/>
                      <wp:docPr id="268" name="Frame2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38175" cy="175260"/>
                      <wp:effectExtent l="0" t="0" r="0" b="0"/>
                      <wp:wrapNone/>
                      <wp:docPr id="269" name="Frame268"/>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1285" cy="175260"/>
                      <wp:effectExtent l="0" t="0" r="0" b="0"/>
                      <wp:wrapNone/>
                      <wp:docPr id="270" name="Frame2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191" w:type="dxa"/>
            <w:tcBorders/>
            <w:vAlign w:val="center"/>
          </w:tcPr>
          <w:p>
            <w:pPr>
              <w:pStyle w:val="TableContents"/>
              <w:bidi w:val="0"/>
              <w:spacing w:before="0" w:after="0"/>
              <w:ind w:left="0" w:right="0" w:hanging="0"/>
              <w:jc w:val="center"/>
              <w:rPr/>
            </w:pPr>
            <w:r>
              <w:rPr/>
              <w:t> </w:t>
            </w:r>
          </w:p>
        </w:tc>
      </w:tr>
      <w:tr>
        <w:trPr/>
        <w:tc>
          <w:tcPr>
            <w:tcW w:w="673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9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salaries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248,095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208,723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operating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208,848</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131,951</w:t>
            </w:r>
          </w:p>
        </w:tc>
        <w:tc>
          <w:tcPr>
            <w:tcW w:w="1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and banking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50,196</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restructuring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70,261</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21,612</w:t>
            </w:r>
          </w:p>
        </w:tc>
        <w:tc>
          <w:tcPr>
            <w:tcW w:w="1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31,541</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plant and equipment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13,083</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16,538</w:t>
            </w:r>
          </w:p>
        </w:tc>
        <w:tc>
          <w:tcPr>
            <w:tcW w:w="1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37,242</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 and other</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659,266</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497,154</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lineRule="auto" w:line="343"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lineRule="atLeast" w:line="220" w:before="0" w:after="0"/>
        <w:ind w:left="0" w:right="0" w:hanging="0"/>
        <w:jc w:val="left"/>
        <w:rPr>
          <w:rFonts w:ascii="Times New Roman;Times;serif" w:hAnsi="Times New Roman;Times;serif"/>
          <w:b/>
          <w:sz w:val="20"/>
        </w:rPr>
      </w:pPr>
      <w:bookmarkStart w:id="854" w:name="Tc_ZCbwfQqcEU6deSjduH380w_14_8"/>
      <w:bookmarkStart w:id="855" w:name="Tc_jPM0aP9eRkmQqlgJixqS6A_14_5"/>
      <w:bookmarkStart w:id="856" w:name="Tc_3BJRiBWBgkCnW9rRkJ1B5g_14_2"/>
      <w:bookmarkStart w:id="857" w:name="Tc_4RwNfiLKYk6K2X-IjIu_gw_14_0"/>
      <w:bookmarkStart w:id="858" w:name="Tc_4u8GL2s5h0u1FzqFpbAL8Q_13_0"/>
      <w:bookmarkStart w:id="859" w:name="Tc_-kAA6vpELE-ttk8B-fdrdw_12_0"/>
      <w:bookmarkStart w:id="860" w:name="Tc_na15YedvsEq6uMTus97Qtg_11_0"/>
      <w:bookmarkStart w:id="861" w:name="Tc_jFp_klQMfkuKKvBZ2xpnhw_10_0"/>
      <w:bookmarkStart w:id="862" w:name="Tc_vYhsXg3WkUeeHMejM2bhRw_9_0"/>
      <w:bookmarkStart w:id="863" w:name="Tc_Mz2I0ykXyU6_bAaX9m2zYA_8_0"/>
      <w:bookmarkStart w:id="864" w:name="Tc_20NdPgOJeU6h3XJ7LghY_Q_7_0"/>
      <w:bookmarkStart w:id="865" w:name="Tc_WBzEJt1WCEOOmz_3Y-ltzQ_6_0"/>
      <w:bookmarkStart w:id="866" w:name="Tc_fqPWBQ1dhkqsUbYn4-XEWg_5_8"/>
      <w:bookmarkStart w:id="867" w:name="Tc_2-NK6sEAL0GZfTtWR13UVg_5_5"/>
      <w:bookmarkStart w:id="868" w:name="Tc_PSF5i5VqyUC5gQvjEDWU_w_5_2"/>
      <w:bookmarkStart w:id="869" w:name="Tc_mbISzdQzVkekpLT4eg3e2w_5_0"/>
      <w:bookmarkStart w:id="870" w:name="Tc_cyepVVPs2UOH_sakmFMUIg_4_0"/>
      <w:bookmarkStart w:id="871" w:name="Tc_1s2xfQo9jEuA2BHmy_GT-w_3_2"/>
      <w:bookmarkStart w:id="872" w:name="Tc_EvmNoFy6PUaqxJYRl6DRMQ_2_8"/>
      <w:bookmarkStart w:id="873" w:name="Tc_4z0OvzN3f0-rj6-TnAHDGQ_2_5"/>
      <w:bookmarkStart w:id="874" w:name="Tc_f45BPVp5F0KMN8T5d8tSSQ_2_2"/>
      <w:bookmarkStart w:id="875" w:name="Tc_RzuMUC__SEmBcEvW8x-9ZA_1_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rFonts w:ascii="Times New Roman;Times;serif" w:hAnsi="Times New Roman;Times;serif"/>
          <w:b/>
          <w:sz w:val="20"/>
        </w:rPr>
        <w:t>9. Income taxes</w:t>
      </w:r>
    </w:p>
    <w:p>
      <w:pPr>
        <w:pStyle w:val="TextBody"/>
        <w:bidi w:val="0"/>
        <w:spacing w:lineRule="auto" w:line="343" w:before="120" w:after="120"/>
        <w:ind w:left="0" w:right="0" w:firstLine="475"/>
        <w:jc w:val="left"/>
        <w:rPr>
          <w:rFonts w:ascii="Times New Roman;Times;serif" w:hAnsi="Times New Roman;Times;serif"/>
          <w:sz w:val="20"/>
        </w:rPr>
      </w:pPr>
      <w:r>
        <w:rPr>
          <w:rFonts w:ascii="Times New Roman;Times;serif" w:hAnsi="Times New Roman;Times;serif"/>
          <w:sz w:val="20"/>
        </w:rPr>
        <w:t>The components of income tax expense (“tax provision”) are included in the table below.</w:t>
      </w:r>
    </w:p>
    <w:p>
      <w:pPr>
        <w:pStyle w:val="TextBody"/>
        <w:bidi w:val="0"/>
        <w:spacing w:lineRule="auto" w:line="343" w:before="0" w:after="0"/>
        <w:ind w:left="0" w:right="0" w:firstLine="475"/>
        <w:jc w:val="both"/>
        <w:rPr/>
      </w:pPr>
      <w:r>
        <w:rPr/>
        <w:t>​</w:t>
      </w:r>
    </w:p>
    <w:tbl>
      <w:tblPr>
        <w:tblW w:w="6783" w:type="dxa"/>
        <w:jc w:val="left"/>
        <w:tblInd w:w="0" w:type="dxa"/>
        <w:tblLayout w:type="fixed"/>
        <w:tblCellMar>
          <w:top w:w="0" w:type="dxa"/>
          <w:left w:w="0" w:type="dxa"/>
          <w:bottom w:w="0" w:type="dxa"/>
          <w:right w:w="0" w:type="dxa"/>
        </w:tblCellMar>
      </w:tblPr>
      <w:tblGrid>
        <w:gridCol w:w="1726"/>
        <w:gridCol w:w="346"/>
        <w:gridCol w:w="271"/>
        <w:gridCol w:w="1005"/>
        <w:gridCol w:w="346"/>
        <w:gridCol w:w="255"/>
        <w:gridCol w:w="1021"/>
        <w:gridCol w:w="346"/>
        <w:gridCol w:w="271"/>
        <w:gridCol w:w="1005"/>
        <w:gridCol w:w="191"/>
      </w:tblGrid>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20"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c>
          <w:tcPr>
            <w:tcW w:w="191" w:type="dxa"/>
            <w:tcBorders/>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276"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276"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 2024</w:t>
            </w:r>
          </w:p>
        </w:tc>
        <w:tc>
          <w:tcPr>
            <w:tcW w:w="191" w:type="dxa"/>
            <w:tcBorders/>
            <w:vAlign w:val="center"/>
          </w:tcPr>
          <w:p>
            <w:pPr>
              <w:pStyle w:val="TableContents"/>
              <w:bidi w:val="0"/>
              <w:spacing w:before="0" w:after="0"/>
              <w:ind w:left="0" w:right="0" w:hanging="0"/>
              <w:jc w:val="center"/>
              <w:rPr/>
            </w:pPr>
            <w:r>
              <w:rPr/>
              <w:t> </w:t>
            </w:r>
          </w:p>
        </w:tc>
      </w:tr>
      <w:tr>
        <w:trPr/>
        <w:tc>
          <w:tcPr>
            <w:tcW w:w="6783"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20"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pPr>
            <w:r>
              <w:rPr/>
              <w:t> </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19,211</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14,165</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50,428</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5,104</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110,406</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2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90,637</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94,663</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taxes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pPr>
            <w:r>
              <w:rPr/>
              <w:t> </w:t>
            </w:r>
          </w:p>
        </w:tc>
        <w:tc>
          <w:tcPr>
            <w:tcW w:w="1005"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131,771</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pPr>
            <w:r>
              <w:rPr/>
              <w:t> </w:t>
            </w:r>
          </w:p>
        </w:tc>
        <w:tc>
          <w:tcPr>
            <w:tcW w:w="102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109,906</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pPr>
            <w:r>
              <w:rPr/>
              <w:t> </w:t>
            </w:r>
          </w:p>
        </w:tc>
        <w:tc>
          <w:tcPr>
            <w:tcW w:w="1005" w:type="dxa"/>
            <w:tcBorders>
              <w:top w:val="single" w:sz="2" w:space="0" w:color="000000"/>
              <w:bottom w:val="single" w:sz="1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00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02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00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righ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(105,777)</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taxes</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pPr>
            <w:r>
              <w:rPr/>
              <w:t> </w:t>
            </w:r>
          </w:p>
        </w:tc>
        <w:tc>
          <w:tcPr>
            <w:tcW w:w="1005"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c>
          <w:tcPr>
            <w:tcW w:w="346" w:type="dxa"/>
            <w:tcBorders/>
            <w:vAlign w:val="center"/>
          </w:tcPr>
          <w:p>
            <w:pPr>
              <w:pStyle w:val="TableContents"/>
              <w:bidi w:val="0"/>
              <w:spacing w:before="0" w:after="0"/>
              <w:ind w:left="0" w:right="0" w:hanging="0"/>
              <w:jc w:val="left"/>
              <w:rPr/>
            </w:pPr>
            <w:r>
              <w:rPr/>
              <w:t>​</w:t>
            </w:r>
          </w:p>
        </w:tc>
        <w:tc>
          <w:tcPr>
            <w:tcW w:w="255"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pPr>
            <w:r>
              <w:rPr/>
              <w:t> </w:t>
            </w:r>
          </w:p>
        </w:tc>
        <w:tc>
          <w:tcPr>
            <w:tcW w:w="1021"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(99,554)</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pPr>
            <w:r>
              <w:rPr/>
              <w:t> </w:t>
            </w:r>
          </w:p>
        </w:tc>
        <w:tc>
          <w:tcPr>
            <w:tcW w:w="1005"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(16,046)</w:t>
            </w:r>
          </w:p>
        </w:tc>
        <w:tc>
          <w:tcPr>
            <w:tcW w:w="191"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133,047</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133,564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tax provision is computed based upon income before income taxes from both U.S. and foreign operations. U.S. income before income taxes was $108.6 million, $34.0 million, and $186.6 million in fiscal 2026, 2025, and 2024, respectively, and foreign income before income taxes was $358.8 million, $216.6 million, and $445.6 million, in fiscal 2026, 2025, and 2024, respectively.</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On July 4, 2025, the U.S. government enacted the One Big Beautiful Bill Act (the “OBBB”). The bill includes extensions of current tax provisions and makes many significant tax changes. Most of the provisions enacted by the OBBB take effect in fiscal year 2025 to 2027. The Company expects no material adverse impact related to the OBBB in fiscal 2026. The Company will continue to monitor OBBB developments and update the potential impacts on its consolidated financial statements as new information becomes available.</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Organization for Economic Co-operation and Development (OECD) has enacted a new global minimum tax framework known as Pillar Two. These rules have been agreed to by most OECD members. The OECD has since issued administrative guidance providing transition and safe harbor rules including the Side-by-Side package which exempts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US-parented MNE Groups from the Income Inclusion Rule (IIR) and the Undertaxed Profits Rule (UTPR) in other jurisdictions. The Company was subject to Pillar Two rules starting in fiscal 2025. As of June 27, 2026, Pillar Two taxes do not have a significant impact on the Company’s income tax expense. The Company is continuing to monitor the relevant developments and evaluate the potential impacts.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asserts that all its unremitted foreign earnings are permanently reinvested, and any unrecorded liabilities related to this assertion are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200"/>
        <w:ind w:left="0" w:right="0" w:firstLine="475"/>
        <w:jc w:val="left"/>
        <w:rPr>
          <w:rFonts w:ascii="Times New Roman;Times;serif" w:hAnsi="Times New Roman;Times;serif"/>
          <w:sz w:val="20"/>
        </w:rPr>
      </w:pPr>
      <w:bookmarkStart w:id="876" w:name="Tc_pJOVngkMkU-0-R3XHfevqQ_33_0"/>
      <w:bookmarkStart w:id="877" w:name="Tc_zKeQtuJl8UOoj8u9fbDNNQ_32_0"/>
      <w:bookmarkStart w:id="878" w:name="Tc_lLO4Mcn8fEqwXXOtjBBjPA_31_0"/>
      <w:bookmarkStart w:id="879" w:name="Tc_brp0mNnGFEiAfkneqazjqA_30_0"/>
      <w:bookmarkStart w:id="880" w:name="Tc_mvwYeuVIfUme5ENt3khLwg_29_0"/>
      <w:bookmarkStart w:id="881" w:name="Tc_I1qPqGN310G9xNvTKiSKxg_28_0"/>
      <w:bookmarkStart w:id="882" w:name="Tc_5KKbQPqC-U2kLqP1rBkLNg_27_0"/>
      <w:bookmarkStart w:id="883" w:name="Tc_AOVI7Nh94UORYlporCLqew_26_0"/>
      <w:bookmarkStart w:id="884" w:name="Tc_3dM0Y97J10WSgqCn1L-FtA_25_0"/>
      <w:bookmarkStart w:id="885" w:name="Tc_mLw02gpgHUSlGCm0WKfmiw_24_0"/>
      <w:bookmarkStart w:id="886" w:name="Tc_jLGuf3ldDUqYT3znqtwitw_23_0"/>
      <w:bookmarkStart w:id="887" w:name="Tc_GH5NZIdWe0eZg9-bcjN8gQ_22_0"/>
      <w:bookmarkStart w:id="888" w:name="Tc_YPSdvt6USUyB0loYnq3GiA_21_0"/>
      <w:bookmarkStart w:id="889" w:name="Tc_EH6L-MuwHkeLDKbwGjtGAA_20_0"/>
      <w:bookmarkStart w:id="890" w:name="Tc_eHkG4srdC0yAbtraWZ_d-w_19_0"/>
      <w:bookmarkStart w:id="891" w:name="Tc_Goq-2FFv-0KeEJ5d60R2OQ_18_0"/>
      <w:bookmarkStart w:id="892" w:name="Tc_utvBjhIsPUKhkMKxRGMe8A_17_0"/>
      <w:bookmarkStart w:id="893" w:name="Tc_yhuDY6Aqq0yuS-NdhDrVYg_16_0"/>
      <w:bookmarkStart w:id="894" w:name="Tc_c20XAw_6l0WAJH5EFDTezg_15_0"/>
      <w:bookmarkStart w:id="895" w:name="Tc_w3eL9SPr1kC66Gcj3EjQ3A_14_0"/>
      <w:bookmarkStart w:id="896" w:name="Tc_yUZLZnonL0uXhQr77lZTMQ_13_0"/>
      <w:bookmarkStart w:id="897" w:name="Tc_sCj2ATW_LEOcgE0o3lN5sg_12_0"/>
      <w:bookmarkStart w:id="898" w:name="Tc_KZbP3C6jhUWZG6k7sfirwQ_11_0"/>
      <w:bookmarkStart w:id="899" w:name="Tc_aG12XsWNmUaXwp7mmpTI6A_10_0"/>
      <w:bookmarkStart w:id="900" w:name="Tc_1LRUOoxf0kWPPV2earHUVA_9_0"/>
      <w:bookmarkStart w:id="901" w:name="Tc_MvpfkxSzOE-BaNkfF-ll2g_8_0"/>
      <w:bookmarkStart w:id="902" w:name="Tc_k1_A2aoslEO31SQ79a9pIg_7_0"/>
      <w:bookmarkStart w:id="903" w:name="Tc_HC63Uy2Xt0OvARIw_xjU2w_6_0"/>
      <w:bookmarkStart w:id="904" w:name="Tc_37N111chm0SSC59wvy270g_5_0"/>
      <w:bookmarkStart w:id="905" w:name="Tc_Kb5hPiNtN0GnMtFbOh2Wuw_4_6"/>
      <w:bookmarkStart w:id="906" w:name="Tc_ZwfHFGv7LUuSvyFCFqrS6w_4_2"/>
      <w:bookmarkStart w:id="907" w:name="Tc_WHvDSriTVE2M-x0265Kf0A_4_0"/>
      <w:bookmarkStart w:id="908" w:name="Tc_wou0GCTY50amFtvHGj3GTA_3_2"/>
      <w:bookmarkStart w:id="909" w:name="Tc_XPtUN9myMEeaFXZi8G_G3g_2_5"/>
      <w:bookmarkStart w:id="910" w:name="Tc_JUmIQCrLtEmdLXXwWixzMg_2_2"/>
      <w:bookmarkStart w:id="911" w:name="Tc_-ONw94bJWkOLPubGGn3woQ_1_5"/>
      <w:bookmarkStart w:id="912" w:name="Tc_LtJXH2RDVEqP4wyCqHu5hQ_1_2"/>
      <w:bookmarkStart w:id="913" w:name="_b219e7b8_78af_461f_9dd0_5a40d3462aae"/>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sz w:val="20"/>
        </w:rPr>
        <w:t>Reconciliation of the U.S. federal statutory income tax rate to the effective income tax rate is as follows:</w:t>
      </w:r>
    </w:p>
    <w:tbl>
      <w:tblPr>
        <w:tblW w:w="8479" w:type="dxa"/>
        <w:jc w:val="left"/>
        <w:tblInd w:w="0" w:type="dxa"/>
        <w:tblLayout w:type="fixed"/>
        <w:tblCellMar>
          <w:top w:w="0" w:type="dxa"/>
          <w:left w:w="0" w:type="dxa"/>
          <w:bottom w:w="0" w:type="dxa"/>
          <w:right w:w="0" w:type="dxa"/>
        </w:tblCellMar>
      </w:tblPr>
      <w:tblGrid>
        <w:gridCol w:w="5431"/>
        <w:gridCol w:w="109"/>
        <w:gridCol w:w="294"/>
        <w:gridCol w:w="1092"/>
        <w:gridCol w:w="118"/>
        <w:gridCol w:w="854"/>
        <w:gridCol w:w="581"/>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448685" cy="175260"/>
                      <wp:effectExtent l="0" t="0" r="0" b="0"/>
                      <wp:wrapNone/>
                      <wp:docPr id="271" name="Frame270"/>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6690" cy="175260"/>
                      <wp:effectExtent l="0" t="0" r="0" b="0"/>
                      <wp:wrapNone/>
                      <wp:docPr id="273" name="Frame272"/>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3420" cy="175260"/>
                      <wp:effectExtent l="0" t="0" r="0" b="0"/>
                      <wp:wrapNone/>
                      <wp:docPr id="274" name="Frame273"/>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4930" cy="175260"/>
                      <wp:effectExtent l="0" t="0" r="0" b="0"/>
                      <wp:wrapNone/>
                      <wp:docPr id="275" name="Frame274"/>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42290" cy="175260"/>
                      <wp:effectExtent l="0" t="0" r="0" b="0"/>
                      <wp:wrapNone/>
                      <wp:docPr id="276" name="Frame275"/>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8935" cy="175260"/>
                      <wp:effectExtent l="0" t="0" r="0" b="0"/>
                      <wp:wrapNone/>
                      <wp:docPr id="277" name="Frame27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18" w:type="dxa"/>
            <w:tcBorders/>
            <w:vAlign w:val="center"/>
          </w:tcPr>
          <w:p>
            <w:pPr>
              <w:pStyle w:val="TableContents"/>
              <w:bidi w:val="0"/>
              <w:spacing w:before="0" w:after="0"/>
              <w:ind w:left="0" w:right="0" w:hanging="0"/>
              <w:jc w:val="center"/>
              <w:rPr/>
            </w:pPr>
            <w:r>
              <w:rPr/>
              <w:t>​</w:t>
            </w:r>
          </w:p>
        </w:tc>
        <w:tc>
          <w:tcPr>
            <w:tcW w:w="14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c>
          <w:tcPr>
            <w:tcW w:w="118" w:type="dxa"/>
            <w:tcBorders/>
            <w:vAlign w:val="center"/>
          </w:tcPr>
          <w:p>
            <w:pPr>
              <w:pStyle w:val="TableContents"/>
              <w:bidi w:val="0"/>
              <w:spacing w:before="0" w:after="0"/>
              <w:ind w:left="0" w:right="0" w:hanging="0"/>
              <w:jc w:val="center"/>
              <w:rPr/>
            </w:pPr>
            <w:r>
              <w:rPr/>
              <w:t>​</w:t>
            </w:r>
          </w:p>
        </w:tc>
        <w:tc>
          <w:tcPr>
            <w:tcW w:w="14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r>
      <w:tr>
        <w:trPr/>
        <w:tc>
          <w:tcPr>
            <w:tcW w:w="847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4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939" w:type="dxa"/>
            <w:gridSpan w:val="5"/>
            <w:tcBorders/>
            <w:vAlign w:val="center"/>
          </w:tcPr>
          <w:p>
            <w:pPr>
              <w:pStyle w:val="TableContents"/>
              <w:bidi w:val="0"/>
              <w:spacing w:before="0" w:after="0"/>
              <w:ind w:left="0" w:right="0" w:hanging="0"/>
              <w:jc w:val="center"/>
              <w:rPr>
                <w:rFonts w:ascii="Times New Roman;Times;serif" w:hAnsi="Times New Roman;Times;serif"/>
                <w:i/>
                <w:sz w:val="17"/>
              </w:rPr>
            </w:pPr>
            <w:r>
              <w:rPr>
                <w:rFonts w:ascii="Times New Roman;Times;serif" w:hAnsi="Times New Roman;Times;serif"/>
                <w:i/>
                <w:sz w:val="17"/>
              </w:rPr>
              <w:t>($ in thousands, unless otherwise stated)</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expense at U.S. federal statutory income tax rate</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98,162</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4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 xml:space="preserve">State and local income tax, net of federal effect </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4,394</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tax effects</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settlement</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right"/>
              <w:rPr/>
            </w:pPr>
            <w:r>
              <w:rPr/>
              <w:t> </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changes in tax laws or rates enacted in the current period</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9,330</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righ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6,837</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righ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Malta:</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righ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Notional interest deduction</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righ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w:t>
            </w:r>
          </w:p>
        </w:tc>
        <w:tc>
          <w:tcPr>
            <w:tcW w:w="118"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81" w:type="dxa"/>
            <w:tcBorders/>
            <w:vAlign w:val="center"/>
          </w:tcPr>
          <w:p>
            <w:pPr>
              <w:pStyle w:val="TableContents"/>
              <w:bidi w:val="0"/>
              <w:spacing w:before="0" w:after="0"/>
              <w:ind w:left="0" w:right="0" w:hanging="0"/>
              <w:jc w:val="right"/>
              <w:rPr/>
            </w:pPr>
            <w:r>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Statutory tax rate difference between Malta and 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8,827</w:t>
            </w:r>
          </w:p>
        </w:tc>
        <w:tc>
          <w:tcPr>
            <w:tcW w:w="118"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81"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pricing</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cross-border tax laws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Foreign-derived intangible income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valuation allowances</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translation gain</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6,328</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pricing</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unrecognized tax benefits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3,935</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109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1,986</w:t>
            </w:r>
          </w:p>
        </w:tc>
        <w:tc>
          <w:tcPr>
            <w:tcW w:w="118" w:type="dxa"/>
            <w:tcBorders/>
            <w:vAlign w:val="center"/>
          </w:tcPr>
          <w:p>
            <w:pPr>
              <w:pStyle w:val="TableContents"/>
              <w:bidi w:val="0"/>
              <w:spacing w:before="0" w:after="0"/>
              <w:ind w:left="0" w:right="0" w:hanging="0"/>
              <w:jc w:val="left"/>
              <w:rPr>
                <w:color w:val="575757"/>
              </w:rPr>
            </w:pPr>
            <w:r>
              <w:rPr>
                <w:color w:val="575757"/>
              </w:rPr>
              <w:t>​</w:t>
            </w:r>
          </w:p>
        </w:tc>
        <w:tc>
          <w:tcPr>
            <w:tcW w:w="85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581" w:type="dxa"/>
            <w:tcBorders/>
            <w:vAlign w:val="center"/>
          </w:tcPr>
          <w:p>
            <w:pPr>
              <w:pStyle w:val="TableContents"/>
              <w:bidi w:val="0"/>
              <w:spacing w:before="0" w:after="0"/>
              <w:ind w:left="0" w:right="0" w:hanging="0"/>
              <w:jc w:val="left"/>
              <w:rPr>
                <w:color w:val="575757"/>
              </w:rPr>
            </w:pPr>
            <w:r>
              <w:rPr>
                <w:color w:val="575757"/>
              </w:rPr>
              <w:t>​</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133,047</w:t>
            </w:r>
          </w:p>
        </w:tc>
        <w:tc>
          <w:tcPr>
            <w:tcW w:w="11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581" w:type="dxa"/>
            <w:tcBorders/>
            <w:shd w:fill="CCEEFF" w:val="clear"/>
            <w:vAlign w:val="center"/>
          </w:tcPr>
          <w:p>
            <w:pPr>
              <w:pStyle w:val="TableContents"/>
              <w:bidi w:val="0"/>
              <w:spacing w:before="0" w:after="0"/>
              <w:ind w:left="0" w:right="0" w:hanging="0"/>
              <w:jc w:val="left"/>
              <w:rPr>
                <w:color w:val="575757"/>
              </w:rPr>
            </w:pPr>
            <w:r>
              <w:rPr>
                <w:color w:val="575757"/>
              </w:rPr>
              <w:t>​</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State taxes in Illinois, California, Texas, Pennsylvania, and Arizona made up the majority (greater than 50 percent) of the tax effect in this category.</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tLeast" w:line="200" w:before="0" w:after="0"/>
        <w:ind w:left="0" w:right="0" w:firstLine="475"/>
        <w:jc w:val="left"/>
        <w:rPr>
          <w:rFonts w:ascii="Times New Roman;Times;serif" w:hAnsi="Times New Roman;Times;serif"/>
          <w:sz w:val="20"/>
        </w:rPr>
      </w:pPr>
      <w:bookmarkStart w:id="914" w:name="Tc_im2wPRhoqEqBUoP-tfimHw_17_5"/>
      <w:bookmarkStart w:id="915" w:name="Tc_i_G0-hi6xUyYRmPDaeYWRg_17_2"/>
      <w:bookmarkStart w:id="916" w:name="Tc_GshjlWXiT0icH-SJEdLQFw_17_0"/>
      <w:bookmarkStart w:id="917" w:name="Tc_sNuRQxcC-EqfvXik2Yp1iQ_16_0"/>
      <w:bookmarkStart w:id="918" w:name="Tc_wYj7ZC1EN0mh-M0ucUUleA_15_0"/>
      <w:bookmarkStart w:id="919" w:name="Tc_m2k1V2UQhUWwh5dPlUu9SQ_13_0"/>
      <w:bookmarkStart w:id="920" w:name="Tc_aJI_crFlMEi1DTZAayNqEg_11_0"/>
      <w:bookmarkStart w:id="921" w:name="Tc_0MgSNr7bh0yPbVB7a7bGug_10_0"/>
      <w:bookmarkStart w:id="922" w:name="Tc_LJwso1FyF06rZeI8R_bsRQ_9_0"/>
      <w:bookmarkStart w:id="923" w:name="Tc_QQ10689qJUKtRU5TuHsChg_8_0"/>
      <w:bookmarkStart w:id="924" w:name="Tc_R3yCFgi-M0C8eHrs24tgGQ_7_0"/>
      <w:bookmarkStart w:id="925" w:name="Tc_Hc-cg4PVwkanX4Z7O0AS6w_6_0"/>
      <w:bookmarkStart w:id="926" w:name="Tc_FpIuYHR-YUCi5xs3kZ3h4Q_5_5"/>
      <w:bookmarkStart w:id="927" w:name="Tc_QH1Y2l3R80Sie8RwAfO-CQ_5_2"/>
      <w:bookmarkStart w:id="928" w:name="Tc_XJPXqyYt0EKktXfb5Muh3Q_5_0"/>
      <w:bookmarkStart w:id="929" w:name="Tc_7CzOGR4MgkGhYQbXz-Q_BA_4_0"/>
      <w:bookmarkStart w:id="930" w:name="Tc_qQA4nursXEy6qAciZ000dQ_3_2"/>
      <w:bookmarkStart w:id="931" w:name="Tc_MxQhxgdfhEqourav__I-nQ_2_5"/>
      <w:bookmarkStart w:id="932" w:name="Tc_8118hGa__Uy1wxzZMTODPA_2_2"/>
      <w:bookmarkStart w:id="933" w:name="Tc_S-Mcyn0p0kWBoO5xpym9nw_1_5"/>
      <w:bookmarkStart w:id="934" w:name="Tc_8hSozDolSEOppofhSxuSZg_1_2"/>
      <w:bookmarkStart w:id="935" w:name="Tc_qSvTyeYwlUCTTjWSqfVY7g_10_6"/>
      <w:bookmarkStart w:id="936" w:name="Tc_ACzcHWRa5Uqh_04LVgop9Q_10_3"/>
      <w:bookmarkStart w:id="937" w:name="Tc_SRRQO_OXhEajeZ_60BrCHQ_10_0"/>
      <w:bookmarkStart w:id="938" w:name="Tc_5i9VZ_74kEGq7327JC5OsQ_9_0"/>
      <w:bookmarkStart w:id="939" w:name="Tc_08bqoU7de0S3pafjqjcnKA_8_5"/>
      <w:bookmarkStart w:id="940" w:name="Tc_7KUHFqBTa0arMj0ZOijO2g_8_0"/>
      <w:bookmarkStart w:id="941" w:name="Tc_R-2Qk7DPfU2L9eJB-a3K2w_7_0"/>
      <w:bookmarkStart w:id="942" w:name="Tc_yCdFnudlfkCECkR43MRgfA_6_0"/>
      <w:bookmarkStart w:id="943" w:name="Tc_4RfbORh8PU-INeeHrBgq_w_5_0"/>
      <w:bookmarkStart w:id="944" w:name="Tc_7OjlaIOAEUyfaKUdGLuwiw_4_0"/>
      <w:bookmarkStart w:id="945" w:name="Tc_rjaVBicwpUKpvwvQ51uyvw_3_0"/>
      <w:bookmarkStart w:id="946" w:name="Tc_siwJcelAOkOxzlPwFTf5Qg_2_6"/>
      <w:bookmarkStart w:id="947" w:name="Tc_YQmU5Ejrs0631jocO7IJcg_2_3"/>
      <w:bookmarkStart w:id="948" w:name="Tc_JWmiRz5WUk644JLDeoMhhA_2_0"/>
      <w:bookmarkStart w:id="949" w:name="Tc_LYFzB4AkckCA_6p4-igycw_1_5"/>
      <w:bookmarkStart w:id="950" w:name="Tc_Hz-vP_9TB0iM2TjBI6dbeA_1_2"/>
      <w:bookmarkStart w:id="951" w:name="_7559e724_dc44_4e12_9b1d_7fd6234ea491"/>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sz w:val="20"/>
        </w:rPr>
        <w:t>Reconciliations of the U.S. federal statutory income tax rate to the effective income tax rates, prior to the adoption of ASU 2023-09, are as follows:</w:t>
      </w:r>
    </w:p>
    <w:tbl>
      <w:tblPr>
        <w:tblW w:w="7010" w:type="dxa"/>
        <w:jc w:val="left"/>
        <w:tblInd w:w="0" w:type="dxa"/>
        <w:tblLayout w:type="fixed"/>
        <w:tblCellMar>
          <w:top w:w="0" w:type="dxa"/>
          <w:left w:w="0" w:type="dxa"/>
          <w:bottom w:w="0" w:type="dxa"/>
          <w:right w:w="0" w:type="dxa"/>
        </w:tblCellMar>
      </w:tblPr>
      <w:tblGrid>
        <w:gridCol w:w="3721"/>
        <w:gridCol w:w="346"/>
        <w:gridCol w:w="797"/>
        <w:gridCol w:w="479"/>
        <w:gridCol w:w="346"/>
        <w:gridCol w:w="705"/>
        <w:gridCol w:w="61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362835" cy="175260"/>
                      <wp:effectExtent l="0" t="0" r="0" b="0"/>
                      <wp:wrapNone/>
                      <wp:docPr id="278" name="Frame27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6095" cy="175260"/>
                      <wp:effectExtent l="0" t="0" r="0" b="0"/>
                      <wp:wrapNone/>
                      <wp:docPr id="280" name="Frame27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04165" cy="175260"/>
                      <wp:effectExtent l="0" t="0" r="0" b="0"/>
                      <wp:wrapNone/>
                      <wp:docPr id="281" name="Frame28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47675" cy="175260"/>
                      <wp:effectExtent l="0" t="0" r="0" b="0"/>
                      <wp:wrapNone/>
                      <wp:docPr id="283" name="Frame282"/>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91160" cy="175260"/>
                      <wp:effectExtent l="0" t="0" r="0" b="0"/>
                      <wp:wrapNone/>
                      <wp:docPr id="284" name="Frame28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346" w:type="dxa"/>
            <w:tcBorders/>
            <w:vAlign w:val="center"/>
          </w:tcPr>
          <w:p>
            <w:pPr>
              <w:pStyle w:val="TableContents"/>
              <w:bidi w:val="0"/>
              <w:spacing w:before="0" w:after="0"/>
              <w:ind w:left="0" w:right="0" w:hanging="0"/>
              <w:jc w:val="left"/>
              <w:rPr/>
            </w:pPr>
            <w:r>
              <w:rPr/>
              <w:t>  ​ ​ ​</w:t>
            </w:r>
          </w:p>
        </w:tc>
        <w:tc>
          <w:tcPr>
            <w:tcW w:w="13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 2024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rate</w:t>
            </w:r>
          </w:p>
        </w:tc>
        <w:tc>
          <w:tcPr>
            <w:tcW w:w="346" w:type="dxa"/>
            <w:tcBorders/>
            <w:shd w:fill="CCEEFF" w:val="clear"/>
            <w:vAlign w:val="center"/>
          </w:tcPr>
          <w:p>
            <w:pPr>
              <w:pStyle w:val="TableContents"/>
              <w:bidi w:val="0"/>
              <w:spacing w:before="0" w:after="0"/>
              <w:ind w:left="0" w:right="0" w:hanging="0"/>
              <w:jc w:val="left"/>
              <w:rPr/>
            </w:pPr>
            <w:r>
              <w:rPr/>
              <w:t>  ​ ​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taxes</w:t>
            </w:r>
          </w:p>
        </w:tc>
        <w:tc>
          <w:tcPr>
            <w:tcW w:w="3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616"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 on foreign income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allowances</w:t>
            </w:r>
          </w:p>
        </w:tc>
        <w:tc>
          <w:tcPr>
            <w:tcW w:w="3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4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616"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unrecognized tax benefit reserves</w:t>
            </w:r>
          </w:p>
        </w:tc>
        <w:tc>
          <w:tcPr>
            <w:tcW w:w="34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audit settlements</w:t>
            </w:r>
          </w:p>
        </w:tc>
        <w:tc>
          <w:tcPr>
            <w:tcW w:w="3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616"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of tax attribute carryforwards</w:t>
            </w:r>
          </w:p>
        </w:tc>
        <w:tc>
          <w:tcPr>
            <w:tcW w:w="34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4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 </w:t>
            </w:r>
          </w:p>
        </w:tc>
        <w:tc>
          <w:tcPr>
            <w:tcW w:w="79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7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61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Tax on foreign income represents the tax rate impact of the difference between foreign rates and the U.S. federal statutory rate applied to foreign income or loss and foreign income taxed in the U.S. at rates other than its statutory rate</w:t>
            </w:r>
            <w:r>
              <w:rPr>
                <w:rFonts w:ascii="Times New Roman;Times;serif" w:hAnsi="Times New Roman;Times;serif"/>
                <w:b w:val="false"/>
                <w:i w:val="false"/>
                <w:caps w:val="false"/>
                <w:smallCaps w:val="false"/>
                <w:sz w:val="20"/>
              </w:rPr>
              <w:t>.</w:t>
            </w:r>
          </w:p>
        </w:tc>
      </w:tr>
    </w:tbl>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applies the guidance in ASC 740 </w:t>
      </w:r>
      <w:r>
        <w:rPr>
          <w:rFonts w:ascii="Times New Roman;Times;serif" w:hAnsi="Times New Roman;Times;serif"/>
          <w:i/>
          <w:sz w:val="20"/>
        </w:rPr>
        <w:t>Income Taxes</w:t>
      </w:r>
      <w:r>
        <w:rPr>
          <w:rFonts w:ascii="Times New Roman;Times;serif" w:hAnsi="Times New Roman;Times;serif"/>
          <w:sz w:val="20"/>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The significant components of deferred tax assets and liabilities, included in “Other assets” on the consolidated balance sheets, are as follows:</w:t>
      </w:r>
    </w:p>
    <w:p>
      <w:pPr>
        <w:pStyle w:val="TextBody"/>
        <w:bidi w:val="0"/>
        <w:spacing w:lineRule="auto" w:line="343" w:before="120" w:after="0"/>
        <w:ind w:left="0" w:right="0" w:firstLine="475"/>
        <w:jc w:val="both"/>
        <w:rPr/>
      </w:pPr>
      <w:r>
        <w:rPr/>
        <w:t>​</w:t>
      </w:r>
    </w:p>
    <w:tbl>
      <w:tblPr>
        <w:tblW w:w="7953" w:type="dxa"/>
        <w:jc w:val="left"/>
        <w:tblInd w:w="0" w:type="dxa"/>
        <w:tblLayout w:type="fixed"/>
        <w:tblCellMar>
          <w:top w:w="0" w:type="dxa"/>
          <w:left w:w="0" w:type="dxa"/>
          <w:bottom w:w="0" w:type="dxa"/>
          <w:right w:w="0" w:type="dxa"/>
        </w:tblCellMar>
      </w:tblPr>
      <w:tblGrid>
        <w:gridCol w:w="4846"/>
        <w:gridCol w:w="346"/>
        <w:gridCol w:w="211"/>
        <w:gridCol w:w="901"/>
        <w:gridCol w:w="346"/>
        <w:gridCol w:w="211"/>
        <w:gridCol w:w="901"/>
        <w:gridCol w:w="19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077210" cy="175260"/>
                      <wp:effectExtent l="0" t="0" r="0" b="0"/>
                      <wp:wrapNone/>
                      <wp:docPr id="285" name="Frame284"/>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72135" cy="175260"/>
                      <wp:effectExtent l="0" t="0" r="0" b="0"/>
                      <wp:wrapNone/>
                      <wp:docPr id="288" name="Frame2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72135" cy="175260"/>
                      <wp:effectExtent l="0" t="0" r="0" b="0"/>
                      <wp:wrapNone/>
                      <wp:docPr id="291" name="Frame2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1285" cy="175260"/>
                      <wp:effectExtent l="0" t="0" r="0" b="0"/>
                      <wp:wrapNone/>
                      <wp:docPr id="292" name="Frame29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1" w:type="dxa"/>
            <w:tcBorders/>
            <w:vAlign w:val="center"/>
          </w:tcPr>
          <w:p>
            <w:pPr>
              <w:pStyle w:val="TableContents"/>
              <w:bidi w:val="0"/>
              <w:spacing w:before="0" w:after="0"/>
              <w:ind w:left="0" w:right="0" w:hanging="0"/>
              <w:jc w:val="center"/>
              <w:rPr/>
            </w:pPr>
            <w:r>
              <w:rPr/>
              <w:t> </w:t>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1" w:type="dxa"/>
            <w:tcBorders/>
            <w:vAlign w:val="center"/>
          </w:tcPr>
          <w:p>
            <w:pPr>
              <w:pStyle w:val="TableContents"/>
              <w:bidi w:val="0"/>
              <w:spacing w:before="0" w:after="0"/>
              <w:ind w:left="0" w:right="0" w:hanging="0"/>
              <w:jc w:val="center"/>
              <w:rPr/>
            </w:pPr>
            <w:r>
              <w:rPr/>
              <w:t> </w:t>
            </w:r>
          </w:p>
        </w:tc>
      </w:tr>
      <w:tr>
        <w:trPr/>
        <w:tc>
          <w:tcPr>
            <w:tcW w:w="795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state and foreign net operating loss carry-forwards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264,043</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valuation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19,070</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valuation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17,510</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deductions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accrued liabilities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189,583</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valuation allowances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(253,618)</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324,013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bookmarkStart w:id="952" w:name="Tc_1_axxADfI0WsrjW8lupkYw_10_5"/>
      <w:bookmarkStart w:id="953" w:name="Tc_vw8oDBRmi0yV03ICqRIG2w_10_2"/>
      <w:bookmarkStart w:id="954" w:name="Tc_JfRRwkkCq0OOfu5k4NTL7w_10_0"/>
      <w:bookmarkStart w:id="955" w:name="Tc_M1gpayD4qEmnkA417PJ3cg_9_0"/>
      <w:bookmarkStart w:id="956" w:name="Tc_a0JJC0qcQUejp1_svG4DDQ_8_0"/>
      <w:bookmarkStart w:id="957" w:name="Tc_A27qPiQK80id1EmBo8vdTw_7_0"/>
      <w:bookmarkStart w:id="958" w:name="Tc_Sgj6SBRKTUmK6fNoggRifQ_6_0"/>
      <w:bookmarkStart w:id="959" w:name="Tc_mT3Kv02KXEu25SRScdnFng_5_0"/>
      <w:bookmarkStart w:id="960" w:name="Tc_8nhwTP5jgkyHYp1ib6Tg5Q_4_0"/>
      <w:bookmarkStart w:id="961" w:name="Tc_YUOUMbE_BkatG5GPCUKKZg_3_5"/>
      <w:bookmarkStart w:id="962" w:name="Tc_s1SEINkxZUKd8chVw38eRg_3_2"/>
      <w:bookmarkStart w:id="963" w:name="Tc_2Ppp9LFF9EqEMqj-COElWQ_3_0"/>
      <w:bookmarkStart w:id="964" w:name="Tc_sbvnIOc2eke0dMeEte1F0g_2_2"/>
      <w:bookmarkStart w:id="965" w:name="Tc_XdFbRqfc6UOyvVDoNaHS-A_1_5"/>
      <w:bookmarkStart w:id="966" w:name="Tc_uTNXsCLqJkOF62ywAQ1w9A_1_2"/>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 xml:space="preserve">The change in valuation allowances in fiscal 2026 from fiscal 2025 was related to a $1.0 million decrease resulting from current year activities and true ups related to prior years, and a $4.4 million decrease resulting from changing foreign exchange rates.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 xml:space="preserve">As of June 27, 2026, the Company had net operating and capital loss carry-forwards of approximately $1.23 billion, of which $18.9 million will expire during fiscal 2027 and fiscal 2028, $208.2 million have expiration dates ranging from fiscal 2029 to fiscal 2045, and the remaining $1.00 billion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 </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27, 2026, unrecognized tax benefits were $123.9 million. Accrued interest expense and penalties related to unrecognized tax benefits are $32.0 million and $28.0 million as of the end of fiscal 2026 and 2025, respectively.</w:t>
      </w:r>
    </w:p>
    <w:p>
      <w:pPr>
        <w:pStyle w:val="TextBody"/>
        <w:bidi w:val="0"/>
        <w:spacing w:lineRule="auto" w:line="343" w:before="120" w:after="0"/>
        <w:ind w:left="0" w:right="0" w:firstLine="475"/>
        <w:jc w:val="left"/>
        <w:rPr>
          <w:rFonts w:ascii="Times New Roman;Times;serif" w:hAnsi="Times New Roman;Times;serif"/>
          <w:sz w:val="20"/>
        </w:rPr>
      </w:pPr>
      <w:r>
        <w:rPr>
          <w:rFonts w:ascii="Times New Roman;Times;serif" w:hAnsi="Times New Roman;Times;serif"/>
          <w:sz w:val="20"/>
        </w:rPr>
        <w:t>Reconciliations of the beginning and ending liability balances for unrecognized tax benefits, excluding interest and penalties, are as follows:</w:t>
      </w:r>
    </w:p>
    <w:p>
      <w:pPr>
        <w:pStyle w:val="TextBody"/>
        <w:bidi w:val="0"/>
        <w:spacing w:lineRule="atLeast" w:line="200" w:before="0" w:after="0"/>
        <w:ind w:left="0" w:right="0" w:hanging="0"/>
        <w:jc w:val="left"/>
        <w:rPr/>
      </w:pPr>
      <w:r>
        <w:rPr/>
        <w:t>​</w:t>
      </w:r>
    </w:p>
    <w:tbl>
      <w:tblPr>
        <w:tblW w:w="8971" w:type="dxa"/>
        <w:jc w:val="left"/>
        <w:tblInd w:w="0" w:type="dxa"/>
        <w:tblLayout w:type="fixed"/>
        <w:tblCellMar>
          <w:top w:w="0" w:type="dxa"/>
          <w:left w:w="0" w:type="dxa"/>
          <w:bottom w:w="0" w:type="dxa"/>
          <w:right w:w="0" w:type="dxa"/>
        </w:tblCellMar>
      </w:tblPr>
      <w:tblGrid>
        <w:gridCol w:w="5536"/>
        <w:gridCol w:w="346"/>
        <w:gridCol w:w="303"/>
        <w:gridCol w:w="973"/>
        <w:gridCol w:w="346"/>
        <w:gridCol w:w="271"/>
        <w:gridCol w:w="1005"/>
        <w:gridCol w:w="19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515360" cy="175260"/>
                      <wp:effectExtent l="0" t="0" r="0" b="0"/>
                      <wp:wrapNone/>
                      <wp:docPr id="293" name="Frame292"/>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92405" cy="175260"/>
                      <wp:effectExtent l="0" t="0" r="0" b="0"/>
                      <wp:wrapNone/>
                      <wp:docPr id="295" name="Frame29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17855" cy="175260"/>
                      <wp:effectExtent l="0" t="0" r="0" b="0"/>
                      <wp:wrapNone/>
                      <wp:docPr id="296" name="Frame295"/>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72085" cy="175260"/>
                      <wp:effectExtent l="0" t="0" r="0" b="0"/>
                      <wp:wrapNone/>
                      <wp:docPr id="298" name="Frame2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38175" cy="175260"/>
                      <wp:effectExtent l="0" t="0" r="0" b="0"/>
                      <wp:wrapNone/>
                      <wp:docPr id="299" name="Frame298"/>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1285" cy="175260"/>
                      <wp:effectExtent l="0" t="0" r="0" b="0"/>
                      <wp:wrapNone/>
                      <wp:docPr id="300" name="Frame2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tc>
        <w:tc>
          <w:tcPr>
            <w:tcW w:w="346" w:type="dxa"/>
            <w:tcBorders/>
            <w:vAlign w:val="center"/>
          </w:tcPr>
          <w:p>
            <w:pPr>
              <w:pStyle w:val="TableContents"/>
              <w:bidi w:val="0"/>
              <w:spacing w:before="0" w:after="0"/>
              <w:ind w:left="0" w:right="0" w:hanging="0"/>
              <w:jc w:val="center"/>
              <w:rPr/>
            </w:pPr>
            <w:r>
              <w:rPr/>
              <w:t>  ​ ​ ​</w:t>
            </w:r>
          </w:p>
        </w:tc>
        <w:tc>
          <w:tcPr>
            <w:tcW w:w="12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897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9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92,578</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100,661</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taken in prior periods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191" w:type="dxa"/>
            <w:tcBorders/>
            <w:vAlign w:val="center"/>
          </w:tcPr>
          <w:p>
            <w:pPr>
              <w:pStyle w:val="TableContents"/>
              <w:bidi w:val="0"/>
              <w:spacing w:before="0" w:after="0"/>
              <w:ind w:left="0" w:right="0" w:hanging="0"/>
              <w:jc w:val="right"/>
              <w:rPr>
                <w:color w:val="575757"/>
              </w:rPr>
            </w:pPr>
            <w:r>
              <w:rPr>
                <w:color w:val="575757"/>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tax positions taken in prior periods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righ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(7,159)</w:t>
            </w:r>
          </w:p>
        </w:tc>
        <w:tc>
          <w:tcPr>
            <w:tcW w:w="191"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taken in current period</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c>
          <w:tcPr>
            <w:tcW w:w="191" w:type="dxa"/>
            <w:tcBorders/>
            <w:vAlign w:val="center"/>
          </w:tcPr>
          <w:p>
            <w:pPr>
              <w:pStyle w:val="TableContents"/>
              <w:bidi w:val="0"/>
              <w:spacing w:before="0" w:after="0"/>
              <w:ind w:left="0" w:right="0" w:hanging="0"/>
              <w:jc w:val="right"/>
              <w:rPr>
                <w:color w:val="575757"/>
              </w:rPr>
            </w:pPr>
            <w:r>
              <w:rPr>
                <w:color w:val="575757"/>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related to settlements with taxing authorities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righ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w:t>
            </w:r>
          </w:p>
        </w:tc>
        <w:tc>
          <w:tcPr>
            <w:tcW w:w="191"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related to the lapse of applicable statutes of limitations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191" w:type="dxa"/>
            <w:tcBorders/>
            <w:vAlign w:val="center"/>
          </w:tcPr>
          <w:p>
            <w:pPr>
              <w:pStyle w:val="TableContents"/>
              <w:bidi w:val="0"/>
              <w:spacing w:before="0" w:after="0"/>
              <w:ind w:left="0" w:right="0" w:hanging="0"/>
              <w:jc w:val="right"/>
              <w:rPr>
                <w:color w:val="575757"/>
              </w:rPr>
            </w:pPr>
            <w:r>
              <w:rPr>
                <w:color w:val="575757"/>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related to 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191" w:type="dxa"/>
            <w:tcBorders/>
            <w:shd w:fill="CCEEFF" w:val="clear"/>
            <w:vAlign w:val="center"/>
          </w:tcPr>
          <w:p>
            <w:pPr>
              <w:pStyle w:val="TableContents"/>
              <w:bidi w:val="0"/>
              <w:spacing w:before="0" w:after="0"/>
              <w:ind w:left="0" w:right="0" w:hanging="0"/>
              <w:jc w:val="right"/>
              <w:rPr>
                <w:color w:val="575757"/>
              </w:rPr>
            </w:pPr>
            <w:r>
              <w:rPr>
                <w:color w:val="575757"/>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91,872</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92,578</w:t>
            </w:r>
          </w:p>
        </w:tc>
        <w:tc>
          <w:tcPr>
            <w:tcW w:w="191"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2016. The years remaining subject to audit, by major jurisdiction, are as follows:</w:t>
      </w:r>
    </w:p>
    <w:p>
      <w:pPr>
        <w:pStyle w:val="TextBody"/>
        <w:bidi w:val="0"/>
        <w:spacing w:before="0" w:after="0"/>
        <w:ind w:left="0" w:right="0" w:hanging="0"/>
        <w:jc w:val="left"/>
        <w:rPr/>
      </w:pPr>
      <w:r>
        <w:rPr/>
        <w:t>​</w:t>
      </w:r>
    </w:p>
    <w:tbl>
      <w:tblPr>
        <w:tblW w:w="5384" w:type="dxa"/>
        <w:jc w:val="left"/>
        <w:tblInd w:w="0" w:type="dxa"/>
        <w:tblLayout w:type="fixed"/>
        <w:tblCellMar>
          <w:top w:w="0" w:type="dxa"/>
          <w:left w:w="0" w:type="dxa"/>
          <w:bottom w:w="0" w:type="dxa"/>
          <w:right w:w="0" w:type="dxa"/>
        </w:tblCellMar>
      </w:tblPr>
      <w:tblGrid>
        <w:gridCol w:w="2731"/>
        <w:gridCol w:w="346"/>
        <w:gridCol w:w="2116"/>
        <w:gridCol w:w="1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734185" cy="175260"/>
                      <wp:effectExtent l="0" t="0" r="0" b="0"/>
                      <wp:wrapNone/>
                      <wp:docPr id="301" name="Frame30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43660" cy="175260"/>
                      <wp:effectExtent l="0" t="0" r="0" b="0"/>
                      <wp:wrapNone/>
                      <wp:docPr id="303" name="Frame302"/>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1285" cy="175260"/>
                      <wp:effectExtent l="0" t="0" r="0" b="0"/>
                      <wp:wrapNone/>
                      <wp:docPr id="304" name="Frame30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Jurisdiction</w:t>
            </w:r>
          </w:p>
        </w:tc>
        <w:tc>
          <w:tcPr>
            <w:tcW w:w="346" w:type="dxa"/>
            <w:tcBorders/>
            <w:vAlign w:val="center"/>
          </w:tcPr>
          <w:p>
            <w:pPr>
              <w:pStyle w:val="TableContents"/>
              <w:bidi w:val="0"/>
              <w:spacing w:before="0" w:after="0"/>
              <w:ind w:left="0" w:right="0" w:hanging="0"/>
              <w:jc w:val="center"/>
              <w:rPr/>
            </w:pPr>
            <w:r>
              <w:rPr/>
              <w:t>  ​ ​ ​</w:t>
            </w:r>
          </w:p>
        </w:tc>
        <w:tc>
          <w:tcPr>
            <w:tcW w:w="211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w:t>
            </w:r>
          </w:p>
        </w:tc>
        <w:tc>
          <w:tcPr>
            <w:tcW w:w="191" w:type="dxa"/>
            <w:tcBorders/>
            <w:vAlign w:val="center"/>
          </w:tcPr>
          <w:p>
            <w:pPr>
              <w:pStyle w:val="TableContents"/>
              <w:bidi w:val="0"/>
              <w:spacing w:before="0" w:after="0"/>
              <w:ind w:left="0" w:right="0" w:hanging="0"/>
              <w:jc w:val="center"/>
              <w:rPr/>
            </w:pPr>
            <w:r>
              <w:rPr/>
              <w:t>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(Federal and state)</w:t>
            </w:r>
          </w:p>
        </w:tc>
        <w:tc>
          <w:tcPr>
            <w:tcW w:w="346" w:type="dxa"/>
            <w:tcBorders/>
            <w:shd w:fill="CCEEFF" w:val="clear"/>
            <w:vAlign w:val="center"/>
          </w:tcPr>
          <w:p>
            <w:pPr>
              <w:pStyle w:val="TableContents"/>
              <w:bidi w:val="0"/>
              <w:spacing w:before="0" w:after="0"/>
              <w:ind w:left="0" w:right="0" w:hanging="0"/>
              <w:jc w:val="left"/>
              <w:rPr/>
            </w:pPr>
            <w:r>
              <w:rPr/>
              <w:t> </w:t>
            </w:r>
          </w:p>
        </w:tc>
        <w:tc>
          <w:tcPr>
            <w:tcW w:w="21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2016, 2017, 2019 - 2026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Taiwan </w:t>
            </w:r>
          </w:p>
        </w:tc>
        <w:tc>
          <w:tcPr>
            <w:tcW w:w="3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2021 - 2026</w:t>
            </w:r>
          </w:p>
        </w:tc>
        <w:tc>
          <w:tcPr>
            <w:tcW w:w="1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0"/>
              <w:ind w:left="0" w:right="0" w:hanging="0"/>
              <w:jc w:val="left"/>
              <w:rPr/>
            </w:pPr>
            <w:r>
              <w:rPr/>
              <w:t> </w:t>
            </w:r>
          </w:p>
        </w:tc>
        <w:tc>
          <w:tcPr>
            <w:tcW w:w="21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2020 - 2026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2023 - 2026</w:t>
            </w:r>
          </w:p>
        </w:tc>
        <w:tc>
          <w:tcPr>
            <w:tcW w:w="1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Singapore </w:t>
            </w:r>
          </w:p>
        </w:tc>
        <w:tc>
          <w:tcPr>
            <w:tcW w:w="346" w:type="dxa"/>
            <w:tcBorders/>
            <w:shd w:fill="CCEEFF" w:val="clear"/>
            <w:vAlign w:val="center"/>
          </w:tcPr>
          <w:p>
            <w:pPr>
              <w:pStyle w:val="TableContents"/>
              <w:bidi w:val="0"/>
              <w:spacing w:before="0" w:after="0"/>
              <w:ind w:left="0" w:right="0" w:hanging="0"/>
              <w:jc w:val="left"/>
              <w:rPr/>
            </w:pPr>
            <w:r>
              <w:rPr/>
              <w:t> </w:t>
            </w:r>
          </w:p>
        </w:tc>
        <w:tc>
          <w:tcPr>
            <w:tcW w:w="21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2021 - 2026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346" w:type="dxa"/>
            <w:tcBorders/>
            <w:vAlign w:val="center"/>
          </w:tcPr>
          <w:p>
            <w:pPr>
              <w:pStyle w:val="TableContents"/>
              <w:bidi w:val="0"/>
              <w:spacing w:before="0" w:after="0"/>
              <w:ind w:left="0" w:right="0" w:hanging="0"/>
              <w:jc w:val="left"/>
              <w:rPr/>
            </w:pPr>
            <w:r>
              <w:rPr/>
              <w:t> </w:t>
            </w:r>
          </w:p>
        </w:tc>
        <w:tc>
          <w:tcPr>
            <w:tcW w:w="21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2022 - 2026</w:t>
            </w:r>
          </w:p>
        </w:tc>
        <w:tc>
          <w:tcPr>
            <w:tcW w:w="1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2023 - 2026</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2021 - 2026</w:t>
            </w:r>
          </w:p>
        </w:tc>
        <w:tc>
          <w:tcPr>
            <w:tcW w:w="191"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967" w:name="Tc_UyKbiFrJUUKLS7CUv1a4Xg_27_5"/>
      <w:bookmarkStart w:id="968" w:name="Tc_fnfPNIquoEm2ivbmtmhn_g_27_2"/>
      <w:bookmarkStart w:id="969" w:name="Tc_ywcYqh3btku6KLA6d3-Eow_26_0"/>
      <w:bookmarkStart w:id="970" w:name="Tc_DubNhhqk20mabAnjl7ksWg_25_0"/>
      <w:bookmarkStart w:id="971" w:name="Tc_tZ55XmsQWE-xMBHXjqO9Sg_24_5"/>
      <w:bookmarkStart w:id="972" w:name="Tc_o726psjm_US4NmSLUs-UCQ_24_2"/>
      <w:bookmarkStart w:id="973" w:name="Tc_CXdzmh4RqUmpJHBs5RvEAA_24_0"/>
      <w:bookmarkStart w:id="974" w:name="Tc_4lI9CeazuEObdEEYmoXlTw_23_0"/>
      <w:bookmarkStart w:id="975" w:name="Tc_NyyB49Srh0KMlvVp8jJw9w_22_5"/>
      <w:bookmarkStart w:id="976" w:name="Tc_yl8iSn-oM0aFM8AvnVGpyA_22_2"/>
      <w:bookmarkStart w:id="977" w:name="Tc_TtGpAhLfNEmfwOkX3nUZ-A_21_0"/>
      <w:bookmarkStart w:id="978" w:name="Tc_ykflwshQJECenyv89kyXyA_20_5"/>
      <w:bookmarkStart w:id="979" w:name="Tc_aRpWpQYFm06w640gbMZPYA_20_2"/>
      <w:bookmarkStart w:id="980" w:name="Tc_7OmpFgUUsE6TUBdnu8wVmw_20_0"/>
      <w:bookmarkStart w:id="981" w:name="Tc_18jIE2SyO0WaG48yhod16w_19_0"/>
      <w:bookmarkStart w:id="982" w:name="Tc_e1Fh2I5inkG-MvVah4DwiQ_17_5"/>
      <w:bookmarkStart w:id="983" w:name="Tc_F-5Y_xFFgUebw11NnPG52A_17_2"/>
      <w:bookmarkStart w:id="984" w:name="Tc_MQUPPwaBa0Om2lyJAhBYjw_17_0"/>
      <w:bookmarkStart w:id="985" w:name="Tc_2EgSkAlBukqw7FhyOOebTA_16_5"/>
      <w:bookmarkStart w:id="986" w:name="Tc_BWD9ON6qZU-6keNQRxsqog_16_2"/>
      <w:bookmarkStart w:id="987" w:name="Tc_TXQ-TRQ1IEyd9Ku58BnL4w_16_0"/>
      <w:bookmarkStart w:id="988" w:name="Tc_EdfLnM5vGEKEcBq3McUE5w_15_0"/>
      <w:bookmarkStart w:id="989" w:name="Tc_SQEm3naaR0SfboROcLHsbQ_14_0"/>
      <w:bookmarkStart w:id="990" w:name="Tc_XHmFUvDtxka4g__1V6TeWg_13_0"/>
      <w:bookmarkStart w:id="991" w:name="Tc_-A0h8nNalk24ZDJOy3LTug_12_5"/>
      <w:bookmarkStart w:id="992" w:name="Tc_gVD8n0dKd0G4f5T7SPB8TQ_12_2"/>
      <w:bookmarkStart w:id="993" w:name="Tc_UR2jEFZTI0KERKDDUuexqQ_12_0"/>
      <w:bookmarkStart w:id="994" w:name="Tc_Izn5cHD92kmx3rTvNQw_RQ_11_0"/>
      <w:bookmarkStart w:id="995" w:name="Tc_bkvY1g4uf0CK-YQ15fOH0w_10_5"/>
      <w:bookmarkStart w:id="996" w:name="Tc_LSJWzJcRykW1eZQ2Ty0ofw_10_2"/>
      <w:bookmarkStart w:id="997" w:name="Tc_sTOo_i6f_ECX501IwbKimg_10_0"/>
      <w:bookmarkStart w:id="998" w:name="Tc_BKRd1SHiZUKLOOcNv2Q4lQ_9_0"/>
      <w:bookmarkStart w:id="999" w:name="Tc_i81FWUrYMkSyQWkN0kUB8A_8_0"/>
      <w:bookmarkStart w:id="1000" w:name="Tc_4fw27tqT80u1EKbYOuhFGA_7_0"/>
      <w:bookmarkStart w:id="1001" w:name="Tc_4J81CBIX2k2Cx-rhN4sCRw_6_0"/>
      <w:bookmarkStart w:id="1002" w:name="Tc_UYACBwSN4ECK3zpmF4w9yg_5_5"/>
      <w:bookmarkStart w:id="1003" w:name="Tc_kdlpHEhLs06oaAEWvBwG1w_5_2"/>
      <w:bookmarkStart w:id="1004" w:name="Tc_ypoSw-KX00O91W1ojKAWXA_5_0"/>
      <w:bookmarkStart w:id="1005" w:name="Tc_U5aVIalrxEiNgdnxt2S7lw_4_0"/>
      <w:bookmarkStart w:id="1006" w:name="Tc__pzi6ct1c0-0l896UuIvKA_3_2"/>
      <w:bookmarkStart w:id="1007" w:name="Tc_T7xUbmY41E-_7Wj8unUTng_2_5"/>
      <w:bookmarkStart w:id="1008" w:name="Tc_-8FK9Gb_WUi79e589Pewrg_2_2"/>
      <w:bookmarkStart w:id="1009" w:name="Tc_FmyFLijgG0mKb69-m1eQyQ_1_5"/>
      <w:bookmarkStart w:id="1010" w:name="Tc_t7kUOhVCwESKtt9bFBqnPw_1_2"/>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b/>
          <w:sz w:val="20"/>
        </w:rPr>
        <w:t>10. Pension and retirement plans</w:t>
      </w:r>
    </w:p>
    <w:p>
      <w:pPr>
        <w:pStyle w:val="TextBody"/>
        <w:bidi w:val="0"/>
        <w:spacing w:lineRule="auto" w:line="343" w:before="120" w:after="0"/>
        <w:ind w:left="0" w:right="0" w:firstLine="120"/>
        <w:jc w:val="left"/>
        <w:rPr>
          <w:rFonts w:ascii="Times New Roman;Times;serif" w:hAnsi="Times New Roman;Times;serif"/>
          <w:b/>
          <w:i/>
          <w:sz w:val="20"/>
        </w:rPr>
      </w:pPr>
      <w:r>
        <w:rPr>
          <w:rFonts w:ascii="Times New Roman;Times;serif" w:hAnsi="Times New Roman;Times;serif"/>
          <w:b/>
          <w:i/>
          <w:sz w:val="20"/>
        </w:rPr>
        <w:t>Pension Plan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has a noncontributory defined benefit pension plan that covers substantially all current or former U.S. Employees (the “Plan”).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Plan meets the definition of a defined benefit plan and, as a result, the Company applies ASC 715 pension accounting to the Plan. </w:t>
      </w:r>
    </w:p>
    <w:p>
      <w:pPr>
        <w:pStyle w:val="TextBody"/>
        <w:bidi w:val="0"/>
        <w:spacing w:lineRule="auto" w:line="343" w:before="120" w:after="120"/>
        <w:ind w:left="0" w:right="0" w:firstLine="475"/>
        <w:jc w:val="left"/>
        <w:rPr>
          <w:rFonts w:ascii="Times New Roman;Times;serif" w:hAnsi="Times New Roman;Times;serif"/>
          <w:sz w:val="20"/>
        </w:rPr>
      </w:pPr>
      <w:r>
        <w:rPr>
          <w:rFonts w:ascii="Times New Roman;Times;serif" w:hAnsi="Times New Roman;Times;serif"/>
          <w:sz w:val="20"/>
        </w:rPr>
        <w:t>The following table outlines changes in benefit obligations, plan assets, and the funded status of the Plan as of the end of fiscal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10"/>
        <w:gridCol w:w="346"/>
        <w:gridCol w:w="211"/>
        <w:gridCol w:w="794"/>
        <w:gridCol w:w="346"/>
        <w:gridCol w:w="211"/>
        <w:gridCol w:w="794"/>
        <w:gridCol w:w="193"/>
      </w:tblGrid>
      <w:tr>
        <w:trPr/>
        <w:tc>
          <w:tcPr>
            <w:tcW w:w="7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641850" cy="175260"/>
                      <wp:effectExtent l="0" t="0" r="0" b="0"/>
                      <wp:wrapNone/>
                      <wp:docPr id="305" name="Frame304"/>
                      <a:graphic xmlns:a="http://schemas.openxmlformats.org/drawingml/2006/main">
                        <a:graphicData uri="http://schemas.microsoft.com/office/word/2010/wordprocessingShape">
                          <wps:wsp>
                            <wps:cNvSpPr txBox="1"/>
                            <wps:spPr>
                              <a:xfrm>
                                <a:off x="0" y="0"/>
                                <a:ext cx="4641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04190" cy="175260"/>
                      <wp:effectExtent l="0" t="0" r="0" b="0"/>
                      <wp:wrapNone/>
                      <wp:docPr id="308" name="Frame30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04190" cy="175260"/>
                      <wp:effectExtent l="0" t="0" r="0" b="0"/>
                      <wp:wrapNone/>
                      <wp:docPr id="311" name="Frame31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2555" cy="175260"/>
                      <wp:effectExtent l="0" t="0" r="0" b="0"/>
                      <wp:wrapNone/>
                      <wp:docPr id="312" name="Frame311"/>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3" w:type="dxa"/>
            <w:tcBorders/>
            <w:vAlign w:val="center"/>
          </w:tcPr>
          <w:p>
            <w:pPr>
              <w:pStyle w:val="TableContents"/>
              <w:bidi w:val="0"/>
              <w:spacing w:before="0" w:after="0"/>
              <w:ind w:left="0" w:right="0" w:hanging="0"/>
              <w:jc w:val="center"/>
              <w:rPr/>
            </w:pPr>
            <w:r>
              <w:rPr/>
              <w:t> </w: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3" w:type="dxa"/>
            <w:tcBorders/>
            <w:vAlign w:val="center"/>
          </w:tcPr>
          <w:p>
            <w:pPr>
              <w:pStyle w:val="TableContents"/>
              <w:bidi w:val="0"/>
              <w:spacing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235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3" w:type="dxa"/>
            <w:tcBorders/>
            <w:vAlign w:val="center"/>
          </w:tcPr>
          <w:p>
            <w:pPr>
              <w:pStyle w:val="TableContents"/>
              <w:bidi w:val="0"/>
              <w:spacing w:before="0" w:after="0"/>
              <w:ind w:left="0" w:right="0" w:hanging="0"/>
              <w:jc w:val="center"/>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benefit obligations: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center"/>
              <w:rPr/>
            </w:pPr>
            <w:r>
              <w:rPr/>
              <w:t>​</w:t>
            </w:r>
          </w:p>
        </w:tc>
        <w:tc>
          <w:tcPr>
            <w:tcW w:w="193" w:type="dxa"/>
            <w:tcBorders/>
            <w:shd w:fill="CCEEFF" w:val="clear"/>
            <w:vAlign w:val="center"/>
          </w:tcPr>
          <w:p>
            <w:pPr>
              <w:pStyle w:val="TableContents"/>
              <w:bidi w:val="0"/>
              <w:spacing w:before="0" w:after="0"/>
              <w:ind w:left="0" w:right="0" w:hanging="0"/>
              <w:jc w:val="center"/>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obligations at 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470,843</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24,732</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(44,367)</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obligations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473,980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480,705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33,220</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477,558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Funded status of the plan recognized as a non-current asset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in 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net actuarial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199,856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prior service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plan assets and benefit obligations recognized in 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actuarial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c>
          <w:tcPr>
            <w:tcW w:w="193" w:type="dxa"/>
            <w:tcBorders/>
            <w:vAlign w:val="center"/>
          </w:tcPr>
          <w:p>
            <w:pPr>
              <w:pStyle w:val="TableContents"/>
              <w:bidi w:val="0"/>
              <w:spacing w:before="0" w:after="0"/>
              <w:ind w:left="0" w:right="0" w:hanging="0"/>
              <w:jc w:val="left"/>
              <w:rPr/>
            </w:pPr>
            <w:r>
              <w:rPr/>
              <w:t>​</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3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Included in “Accumulated other comprehensive loss” at June 27, 2026, is $193.1 million of net actuarial losses that have not yet been recognized in net periodic pension cost, of which $17.5 million is expected to be recognized as a component of net periodic pension cost during fiscal 2027.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z w:val="20"/>
        </w:rPr>
      </w:pPr>
      <w:bookmarkStart w:id="1011" w:name="Tc_nyJhUcnQJ0i3eakrjD9kGg_6_0"/>
      <w:bookmarkStart w:id="1012" w:name="Tc_nshny6eQ7E2lflhLYbwSKg_5_0"/>
      <w:bookmarkStart w:id="1013" w:name="Tc_i1DUvUMpS0iDV5FgR9jYlg_4_0"/>
      <w:bookmarkStart w:id="1014" w:name="Tc_kLcpWW--DkOP3T9skStVLA_3_0"/>
      <w:bookmarkStart w:id="1015" w:name="Tc_ZJ13rneyZ0SlXK_t9pR-cA_2_0"/>
      <w:bookmarkStart w:id="1016" w:name="Tc_RFfImxjn8E-C7ahN2otWZA_1_1"/>
      <w:bookmarkStart w:id="1017" w:name="Tc_AcRgsokp0UK6W2s-nTgp_w_1_0"/>
      <w:bookmarkStart w:id="1018" w:name="_7fcb9f00_9cee_4ab7_981e_16676633d8e2"/>
      <w:bookmarkStart w:id="1019" w:name="Tc_JxFA5yBv90SnpzGWtdbzpg_12_8"/>
      <w:bookmarkStart w:id="1020" w:name="Tc_3jh1X5qqIkGfbGseDt7WVg_12_5"/>
      <w:bookmarkStart w:id="1021" w:name="Tc_Dc6m3tJ3uEmgaaxdDfE2oQ_12_2"/>
      <w:bookmarkStart w:id="1022" w:name="Tc_8YIp2fv9SUy3o-FHH_RwZw_12_0"/>
      <w:bookmarkStart w:id="1023" w:name="Tc_hJVgeC-84kOn85ZeNyuxuQ_5_8"/>
      <w:bookmarkStart w:id="1024" w:name="Tc_LaBKn8b4NE28VkFQAEvn8w_5_5"/>
      <w:bookmarkStart w:id="1025" w:name="Tc_NRvf5FeDg0a9lehHXaMZKg_5_2"/>
      <w:bookmarkStart w:id="1026" w:name="Tc_3alvTsJ6nUmgkMaMq4-oNA_5_0"/>
      <w:bookmarkStart w:id="1027" w:name="Tc_CUYXYxsj9E-tlGq35rnTmw_4_2"/>
      <w:bookmarkStart w:id="1028" w:name="Tc_j19yqbaMPUG_4bL1J-nO7A_3_8"/>
      <w:bookmarkStart w:id="1029" w:name="Tc_YrkveVSLeUqRstfnjyMDeQ_3_5"/>
      <w:bookmarkStart w:id="1030" w:name="Tc_QSZBVPrQGUuJxGSBO74d0g_3_2"/>
      <w:bookmarkStart w:id="1031" w:name="Tc_kRxQTHBm10evBCqWjhMbZw_2_8"/>
      <w:bookmarkStart w:id="1032" w:name="Tc_AWyK0Pw0O0efPTrLdtI0Cw_2_5"/>
      <w:bookmarkStart w:id="1033" w:name="Tc_l7G7l-sPrkW0hZUhCeHSAA_2_2"/>
      <w:bookmarkStart w:id="1034" w:name="Tc_fMBMNYZmIU2uRiiPPsHGdw_1_2"/>
      <w:bookmarkStart w:id="1035" w:name="_8b0b797f_a52c_4045_9ebe_5f1933629982"/>
      <w:bookmarkStart w:id="1036" w:name="Tc_EnDdBWd4fUOzg_6_av-3bQ_5_6"/>
      <w:bookmarkStart w:id="1037" w:name="Tc_xh_TveC_o0WIWQMDKVSi4w_5_3"/>
      <w:bookmarkStart w:id="1038" w:name="Tc_tGwNSmzXSkWNXma4rveWOA_5_0"/>
      <w:bookmarkStart w:id="1039" w:name="Tc_5JVXi_7R3kiqgAKDxWAxng_4_6"/>
      <w:bookmarkStart w:id="1040" w:name="Tc_LL3YDtiqwE2lON5FXnnTLQ_4_3"/>
      <w:bookmarkStart w:id="1041" w:name="Tc_KDIX6MaAo0itEBt2c_GYOw_4_0"/>
      <w:bookmarkStart w:id="1042" w:name="Tc_bXPTKbWIQEm90vvj26c-AA_3_6"/>
      <w:bookmarkStart w:id="1043" w:name="Tc_Y0gh4QtuWkGN-Xfhjv-_Rw_3_3"/>
      <w:bookmarkStart w:id="1044" w:name="Tc_NMAJWaCyOEeMXXP9qsSgeQ_3_0"/>
      <w:bookmarkStart w:id="1045" w:name="Tc_nN5UKAuNZEuK1CfzN85aMw_2_6"/>
      <w:bookmarkStart w:id="1046" w:name="Tc_OK_NDrHKQkixgw7AiZ-WYA_2_3"/>
      <w:bookmarkStart w:id="1047" w:name="Tc_uytEc_u4WESSyb3GO2a47Q_2_0"/>
      <w:bookmarkStart w:id="1048" w:name="Tc_p7ex_7bFPkGHqVHtYymwYw_1_5"/>
      <w:bookmarkStart w:id="1049" w:name="Tc_exUFET521k-ZoXHZ20vJAg_1_2"/>
      <w:bookmarkStart w:id="1050" w:name="Tc_lmO0mh6C3UiFAWwxl0zoIA_2_6"/>
      <w:bookmarkStart w:id="1051" w:name="Tc_1gxdz6g5tUWDHw8yxzsOOQ_2_3"/>
      <w:bookmarkStart w:id="1052" w:name="Tc_woVFD4Gk2km1IdvlML5VJw_2_0"/>
      <w:bookmarkStart w:id="1053" w:name="Tc_WRXANpb3N0yb02ZIo5JTHw_1_5"/>
      <w:bookmarkStart w:id="1054" w:name="Tc_PuxR_cZkKku0dY17Pl--NQ_1_2"/>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sz w:val="20"/>
        </w:rPr>
        <w:t>Assumptions used to calculate actuarial present values of benefit obligations are as follows:</w:t>
      </w:r>
    </w:p>
    <w:p>
      <w:pPr>
        <w:pStyle w:val="TextBody"/>
        <w:bidi w:val="0"/>
        <w:spacing w:before="0" w:after="0"/>
        <w:ind w:left="0" w:right="0" w:hanging="0"/>
        <w:jc w:val="left"/>
        <w:rPr/>
      </w:pPr>
      <w:r>
        <w:rPr/>
        <w:t>​</w:t>
      </w:r>
    </w:p>
    <w:tbl>
      <w:tblPr>
        <w:tblW w:w="3382" w:type="dxa"/>
        <w:jc w:val="left"/>
        <w:tblInd w:w="0" w:type="dxa"/>
        <w:tblLayout w:type="fixed"/>
        <w:tblCellMar>
          <w:top w:w="0" w:type="dxa"/>
          <w:left w:w="0" w:type="dxa"/>
          <w:bottom w:w="0" w:type="dxa"/>
          <w:right w:w="0" w:type="dxa"/>
        </w:tblCellMar>
      </w:tblPr>
      <w:tblGrid>
        <w:gridCol w:w="1201"/>
        <w:gridCol w:w="346"/>
        <w:gridCol w:w="361"/>
        <w:gridCol w:w="361"/>
        <w:gridCol w:w="346"/>
        <w:gridCol w:w="361"/>
        <w:gridCol w:w="406"/>
      </w:tblGrid>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76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discount rate selected by the Company for the Plan reflects the current rate at which the underlying liability could be settled at the measurement date as of June 27, 2026. The estimated discount rate in fiscal 2026 and fiscal 2025 was based on the spot yield curve approach, which applies the individual spot rates from a highly rated bond yield curve to each future year’s estimated cash flows.</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weighted-average assumptions used to determine net benefit costs are as follows:</w:t>
      </w:r>
    </w:p>
    <w:p>
      <w:pPr>
        <w:pStyle w:val="TextBody"/>
        <w:bidi w:val="0"/>
        <w:spacing w:before="0" w:after="0"/>
        <w:ind w:left="0" w:right="0" w:hanging="0"/>
        <w:jc w:val="left"/>
        <w:rPr/>
      </w:pPr>
      <w:r>
        <w:rPr/>
        <w:t>​</w:t>
      </w:r>
    </w:p>
    <w:tbl>
      <w:tblPr>
        <w:tblW w:w="4597" w:type="dxa"/>
        <w:jc w:val="left"/>
        <w:tblInd w:w="0" w:type="dxa"/>
        <w:tblLayout w:type="fixed"/>
        <w:tblCellMar>
          <w:top w:w="0" w:type="dxa"/>
          <w:left w:w="0" w:type="dxa"/>
          <w:bottom w:w="0" w:type="dxa"/>
          <w:right w:w="0" w:type="dxa"/>
        </w:tblCellMar>
      </w:tblPr>
      <w:tblGrid>
        <w:gridCol w:w="2596"/>
        <w:gridCol w:w="346"/>
        <w:gridCol w:w="361"/>
        <w:gridCol w:w="271"/>
        <w:gridCol w:w="346"/>
        <w:gridCol w:w="361"/>
        <w:gridCol w:w="316"/>
      </w:tblGrid>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  ​ ​ ​</w:t>
            </w:r>
          </w:p>
        </w:tc>
        <w:tc>
          <w:tcPr>
            <w:tcW w:w="6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6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compensation increase</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crediting rate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Components of net periodic pension cost for the Plan during the last three fiscal years are as follows:</w:t>
      </w:r>
    </w:p>
    <w:p>
      <w:pPr>
        <w:pStyle w:val="TextBody"/>
        <w:bidi w:val="0"/>
        <w:spacing w:before="0" w:after="0"/>
        <w:ind w:left="0" w:right="0" w:hanging="0"/>
        <w:jc w:val="left"/>
        <w:rPr/>
      </w:pPr>
      <w:r>
        <w:rPr/>
        <w:t>​</w:t>
      </w:r>
    </w:p>
    <w:tbl>
      <w:tblPr>
        <w:tblW w:w="9280" w:type="dxa"/>
        <w:jc w:val="left"/>
        <w:tblInd w:w="0" w:type="dxa"/>
        <w:tblLayout w:type="fixed"/>
        <w:tblCellMar>
          <w:top w:w="0" w:type="dxa"/>
          <w:left w:w="0" w:type="dxa"/>
          <w:bottom w:w="0" w:type="dxa"/>
          <w:right w:w="0" w:type="dxa"/>
        </w:tblCellMar>
      </w:tblPr>
      <w:tblGrid>
        <w:gridCol w:w="5296"/>
        <w:gridCol w:w="226"/>
        <w:gridCol w:w="211"/>
        <w:gridCol w:w="796"/>
        <w:gridCol w:w="346"/>
        <w:gridCol w:w="211"/>
        <w:gridCol w:w="796"/>
        <w:gridCol w:w="346"/>
        <w:gridCol w:w="211"/>
        <w:gridCol w:w="841"/>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362960" cy="175260"/>
                      <wp:effectExtent l="0" t="0" r="0" b="0"/>
                      <wp:wrapNone/>
                      <wp:docPr id="313" name="Frame312"/>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3510" cy="175260"/>
                      <wp:effectExtent l="0" t="0" r="0" b="0"/>
                      <wp:wrapNone/>
                      <wp:docPr id="314" name="Frame3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5460" cy="175260"/>
                      <wp:effectExtent l="0" t="0" r="0" b="0"/>
                      <wp:wrapNone/>
                      <wp:docPr id="316" name="Frame3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05460" cy="175260"/>
                      <wp:effectExtent l="0" t="0" r="0" b="0"/>
                      <wp:wrapNone/>
                      <wp:docPr id="319" name="Frame3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34035" cy="175260"/>
                      <wp:effectExtent l="0" t="0" r="0" b="0"/>
                      <wp:wrapNone/>
                      <wp:docPr id="322" name="Frame3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75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52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52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928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75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 within selling, general and administrative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10,252</w:t>
            </w:r>
          </w:p>
        </w:tc>
      </w:tr>
      <w:tr>
        <w:trPr/>
        <w:tc>
          <w:tcPr>
            <w:tcW w:w="52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22,966</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24,732</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24,579</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(39,941)</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net actuarial loss and other</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11,365</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5,226</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periodic pension benefit within other expense,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(15,135)</w:t>
            </w:r>
          </w:p>
        </w:tc>
      </w:tr>
      <w:tr>
        <w:trPr/>
        <w:tc>
          <w:tcPr>
            <w:tcW w:w="529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 (benefit)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(4,883)</w:t>
            </w:r>
          </w:p>
        </w:tc>
      </w:tr>
    </w:tbl>
    <w:p>
      <w:pPr>
        <w:pStyle w:val="TextBody"/>
        <w:bidi w:val="0"/>
        <w:spacing w:lineRule="atLeast" w:line="142"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made $8.0 million of contributions in fiscal 2026 and fiscal 2025 and expects to make approximately $8.0 million of contributions in fiscal 2027.</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Benefit payments are expected to be paid to Plan participants as follows for the next five fiscal years and the aggregate for the five years thereafter (in thousands):</w:t>
      </w:r>
    </w:p>
    <w:tbl>
      <w:tblPr>
        <w:tblW w:w="2842" w:type="dxa"/>
        <w:jc w:val="left"/>
        <w:tblInd w:w="0" w:type="dxa"/>
        <w:tblLayout w:type="fixed"/>
        <w:tblCellMar>
          <w:top w:w="0" w:type="dxa"/>
          <w:left w:w="0" w:type="dxa"/>
          <w:bottom w:w="0" w:type="dxa"/>
          <w:right w:w="0" w:type="dxa"/>
        </w:tblCellMar>
      </w:tblPr>
      <w:tblGrid>
        <w:gridCol w:w="1696"/>
        <w:gridCol w:w="211"/>
        <w:gridCol w:w="781"/>
        <w:gridCol w:w="154"/>
      </w:tblGrid>
      <w:tr>
        <w:trPr/>
        <w:tc>
          <w:tcPr>
            <w:tcW w:w="169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50,468</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1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38,450</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1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39,815</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1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40,516</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1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42,576</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1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through 2036</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203,386</w:t>
            </w:r>
          </w:p>
        </w:tc>
        <w:tc>
          <w:tcPr>
            <w:tcW w:w="154"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sz w:val="20"/>
        </w:rPr>
      </w:pPr>
      <w:bookmarkStart w:id="1055" w:name="Tc_4QffhDMo4kGEiLN_B8WKyQ_11_14"/>
      <w:bookmarkStart w:id="1056" w:name="Tc_jAiUecUqCUCcYpq7iRAbXw_11_11"/>
      <w:bookmarkStart w:id="1057" w:name="Tc_5S3yd93PzUu_FYs41Jm-jw_11_9"/>
      <w:bookmarkStart w:id="1058" w:name="Tc_2JJBxziceEalWGFK7qkyaw_11_8"/>
      <w:bookmarkStart w:id="1059" w:name="Tc_08sZyrnzfE2F9zaod0uqKw_11_6"/>
      <w:bookmarkStart w:id="1060" w:name="Tc_W8Pg2K2WHUyFV7keUbAW0A_11_5"/>
      <w:bookmarkStart w:id="1061" w:name="Tc_wnh5DI9w_0iQWgB5ao-RFA_11_2"/>
      <w:bookmarkStart w:id="1062" w:name="Tc_IglGqlE020-EOH5E9K53cg_11_0"/>
      <w:bookmarkStart w:id="1063" w:name="Tc_eTX0h5s1rEaWf23Av8ndLQ_10_9"/>
      <w:bookmarkStart w:id="1064" w:name="Tc_0iStZEHu3kOv1qsYrjrvfQ_10_6"/>
      <w:bookmarkStart w:id="1065" w:name="Tc_rBet8DrBDUS8HzFnVOWm5Q_10_3"/>
      <w:bookmarkStart w:id="1066" w:name="Tc_oRzc94OHBE6q7_266VyzLA_10_0"/>
      <w:bookmarkStart w:id="1067" w:name="Tc_KffJKVWnDUGAn1Q5IGH6Fw_9_9"/>
      <w:bookmarkStart w:id="1068" w:name="Tc_FGCpQg-1lkibEooG43-uXA_9_6"/>
      <w:bookmarkStart w:id="1069" w:name="Tc_wl54IfG1d02Ntc9stYcs3w_9_3"/>
      <w:bookmarkStart w:id="1070" w:name="Tc_aWVXrtdmI0eOa5WYUIsVRw_9_0"/>
      <w:bookmarkStart w:id="1071" w:name="Tc_u3NUcq6xA0aAZuHYJTr64w_8_0"/>
      <w:bookmarkStart w:id="1072" w:name="Tc_hBU6d1vI3UOJveiOJnXRoQ_7_9"/>
      <w:bookmarkStart w:id="1073" w:name="Tc_qJeiF8XcfUukbkmdHobGMw_7_6"/>
      <w:bookmarkStart w:id="1074" w:name="Tc_8tLDTpviP0ax9JA10p9Utg_7_3"/>
      <w:bookmarkStart w:id="1075" w:name="Tc_t_x-FvK3kUy0LG8riVIiwA_7_0"/>
      <w:bookmarkStart w:id="1076" w:name="Tc_Y_mYbm8SH0u9-aquhWEryg_6_9"/>
      <w:bookmarkStart w:id="1077" w:name="Tc_bGIOXayT806CI1FfEgGHBA_6_6"/>
      <w:bookmarkStart w:id="1078" w:name="Tc_H1K1JASHAkig_m0kXL8j3Q_6_3"/>
      <w:bookmarkStart w:id="1079" w:name="Tc_d2idZPQWdU2-tM5XE_fuAA_6_0"/>
      <w:bookmarkStart w:id="1080" w:name="Tc_Maj1xnvzfUC7xlhbfopNWg_5_9"/>
      <w:bookmarkStart w:id="1081" w:name="Tc_oIkvTH5kz0GGofJTDpa7NA_5_6"/>
      <w:bookmarkStart w:id="1082" w:name="Tc_eAox2F-L3EaEdRYrojOLVg_5_3"/>
      <w:bookmarkStart w:id="1083" w:name="Tc_3vZrxuUd0UK_BQj9RlQ-_w_5_0"/>
      <w:bookmarkStart w:id="1084" w:name="Tc_UnfBL91KdUm5YiaYxwEW-Q_4_0"/>
      <w:bookmarkStart w:id="1085" w:name="Tc_I-smc5V54U-SHNRqSUK1Ow_3_14"/>
      <w:bookmarkStart w:id="1086" w:name="Tc_EjZXNmDmPkKikzthrGszTA_3_12"/>
      <w:bookmarkStart w:id="1087" w:name="Tc_MAP5J3YR-U-53QMnXAN-zw_3_11"/>
      <w:bookmarkStart w:id="1088" w:name="Tc_hOcY4VQyAkC_UiHXoni_eQ_3_9"/>
      <w:bookmarkStart w:id="1089" w:name="Tc_FC4NBQaBMUWFHmPQIPKX7A_3_8"/>
      <w:bookmarkStart w:id="1090" w:name="Tc_sAvo7Tvc6keDpfGfuEEpaQ_3_6"/>
      <w:bookmarkStart w:id="1091" w:name="Tc_HyfricEJEkOa7eGPVQjpNQ_3_5"/>
      <w:bookmarkStart w:id="1092" w:name="Tc_j1shxzdm7kO6bw5WZ7Ztrg_3_2"/>
      <w:bookmarkStart w:id="1093" w:name="Tc_g3wcQCnM50-iIFZ0q49XDw_3_0"/>
      <w:bookmarkStart w:id="1094" w:name="Tc_xY3wGg7aykSCYc_convBvA_2_2"/>
      <w:bookmarkStart w:id="1095" w:name="Tc_YqXALtJXckKAV2kGhlnFmQ_1_14"/>
      <w:bookmarkStart w:id="1096" w:name="Tc_mIuy4pTqq0-vg40LU6c68w_1_11"/>
      <w:bookmarkStart w:id="1097" w:name="Tc_ecde2CvpVEGpJG9rPBrkCg_1_8"/>
      <w:bookmarkStart w:id="1098" w:name="Tc_cIaQGw-ZtE6AZRUAzYTzaw_1_5"/>
      <w:bookmarkStart w:id="1099" w:name="Tc_bWdrSwFwZ0qLANH6Qfox2g_1_2"/>
      <w:bookmarkStart w:id="1100" w:name="_73840737_10a5_469e_8ef6_a07631e9e462"/>
      <w:bookmarkStart w:id="1101" w:name="Tc_opJawqUaIkmnDeMIdY8Zeg_4_6"/>
      <w:bookmarkStart w:id="1102" w:name="Tc_zbuwZ-vGsECQlk7erDmEug_4_3"/>
      <w:bookmarkStart w:id="1103" w:name="Tc_bPadHc7G9UaqYCYiZy4OUw_4_0"/>
      <w:bookmarkStart w:id="1104" w:name="Tc_AsBIyy0QoECC8UUCW_MPXw_3_6"/>
      <w:bookmarkStart w:id="1105" w:name="Tc_2jtQPLUuQEOJTVJB9LYycA_3_3"/>
      <w:bookmarkStart w:id="1106" w:name="Tc_vcBuKmrFpEGSbREjGMKbmg_3_0"/>
      <w:bookmarkStart w:id="1107" w:name="Tc_lF_wz0wG7UGKH1fT2A23Kg_2_6"/>
      <w:bookmarkStart w:id="1108" w:name="Tc_IQiqTyNzm0KScdkzBLzF8w_2_3"/>
      <w:bookmarkStart w:id="1109" w:name="Tc_FrhUsQx83kCaMZponQv2vA_2_0"/>
      <w:bookmarkStart w:id="1110" w:name="Tc_TTsPwNw3w0OPfAuBHGin_A_1_5"/>
      <w:bookmarkStart w:id="1111" w:name="Tc_CJ1hWxdZ1E2MNRcrOLnmIQ_1_2"/>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sz w:val="20"/>
        </w:rPr>
        <w:t>The Plan’s assets are held in trust and were invested as follows as of the measurement date at the end of fiscal 2026 and 2025:</w:t>
      </w:r>
    </w:p>
    <w:p>
      <w:pPr>
        <w:pStyle w:val="TextBody"/>
        <w:bidi w:val="0"/>
        <w:spacing w:lineRule="atLeast" w:line="200" w:before="0" w:after="0"/>
        <w:ind w:left="0" w:right="0" w:hanging="0"/>
        <w:jc w:val="left"/>
        <w:rPr/>
      </w:pPr>
      <w:r>
        <w:rPr/>
        <w:t>​</w:t>
      </w:r>
    </w:p>
    <w:tbl>
      <w:tblPr>
        <w:tblW w:w="4447" w:type="dxa"/>
        <w:jc w:val="left"/>
        <w:tblInd w:w="0" w:type="dxa"/>
        <w:tblLayout w:type="fixed"/>
        <w:tblCellMar>
          <w:top w:w="0" w:type="dxa"/>
          <w:left w:w="0" w:type="dxa"/>
          <w:bottom w:w="0" w:type="dxa"/>
          <w:right w:w="0" w:type="dxa"/>
        </w:tblCellMar>
      </w:tblPr>
      <w:tblGrid>
        <w:gridCol w:w="2446"/>
        <w:gridCol w:w="346"/>
        <w:gridCol w:w="316"/>
        <w:gridCol w:w="316"/>
        <w:gridCol w:w="346"/>
        <w:gridCol w:w="316"/>
        <w:gridCol w:w="361"/>
      </w:tblGrid>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debt securities</w:t>
            </w:r>
          </w:p>
        </w:tc>
        <w:tc>
          <w:tcPr>
            <w:tcW w:w="3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2027 is currently 8.0%, which is 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June 27, 2026,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pStyle w:val="TextBody"/>
        <w:bidi w:val="0"/>
        <w:spacing w:before="200" w:after="120"/>
        <w:ind w:left="0" w:right="0" w:firstLine="475"/>
        <w:jc w:val="left"/>
        <w:rPr>
          <w:rFonts w:ascii="Times New Roman;Times;serif" w:hAnsi="Times New Roman;Times;serif"/>
          <w:sz w:val="20"/>
        </w:rPr>
      </w:pPr>
      <w:r>
        <w:rPr>
          <w:rFonts w:ascii="Times New Roman;Times;serif" w:hAnsi="Times New Roman;Times;serif"/>
          <w:sz w:val="20"/>
        </w:rPr>
        <w:t>The following table sets forth the fair value of the Plan’s investments as of June 27, 2026:</w:t>
      </w:r>
    </w:p>
    <w:tbl>
      <w:tblPr>
        <w:tblW w:w="9143" w:type="dxa"/>
        <w:jc w:val="left"/>
        <w:tblInd w:w="0" w:type="dxa"/>
        <w:tblLayout w:type="fixed"/>
        <w:tblCellMar>
          <w:top w:w="0" w:type="dxa"/>
          <w:left w:w="0" w:type="dxa"/>
          <w:bottom w:w="0" w:type="dxa"/>
          <w:right w:w="0" w:type="dxa"/>
        </w:tblCellMar>
      </w:tblPr>
      <w:tblGrid>
        <w:gridCol w:w="2461"/>
        <w:gridCol w:w="346"/>
        <w:gridCol w:w="211"/>
        <w:gridCol w:w="676"/>
        <w:gridCol w:w="346"/>
        <w:gridCol w:w="278"/>
        <w:gridCol w:w="458"/>
        <w:gridCol w:w="346"/>
        <w:gridCol w:w="278"/>
        <w:gridCol w:w="458"/>
        <w:gridCol w:w="346"/>
        <w:gridCol w:w="300"/>
        <w:gridCol w:w="1110"/>
        <w:gridCol w:w="346"/>
        <w:gridCol w:w="211"/>
        <w:gridCol w:w="78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62735" cy="175260"/>
                      <wp:effectExtent l="0" t="0" r="0" b="0"/>
                      <wp:wrapNone/>
                      <wp:docPr id="323" name="Frame322"/>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76530" cy="175260"/>
                      <wp:effectExtent l="0" t="0" r="0" b="0"/>
                      <wp:wrapNone/>
                      <wp:docPr id="328" name="Frame32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90830" cy="175260"/>
                      <wp:effectExtent l="0" t="0" r="0" b="0"/>
                      <wp:wrapNone/>
                      <wp:docPr id="329" name="Frame32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76530" cy="175260"/>
                      <wp:effectExtent l="0" t="0" r="0" b="0"/>
                      <wp:wrapNone/>
                      <wp:docPr id="331" name="Frame33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90830" cy="175260"/>
                      <wp:effectExtent l="0" t="0" r="0" b="0"/>
                      <wp:wrapNone/>
                      <wp:docPr id="332" name="Frame331"/>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90500" cy="175260"/>
                      <wp:effectExtent l="0" t="0" r="0" b="0"/>
                      <wp:wrapNone/>
                      <wp:docPr id="334" name="Frame33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04850" cy="175260"/>
                      <wp:effectExtent l="0" t="0" r="0" b="0"/>
                      <wp:wrapNone/>
                      <wp:docPr id="335" name="Frame334"/>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338"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1285" cy="175260"/>
                      <wp:effectExtent l="0" t="0" r="0" b="0"/>
                      <wp:wrapNone/>
                      <wp:docPr id="339" name="Frame33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7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7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4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Asset Value</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9143"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6145"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22,661</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22,661</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Seeking Investments: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676"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color w:val="575757"/>
              </w:rPr>
            </w:pPr>
            <w:r>
              <w:rPr>
                <w:color w:val="575757"/>
              </w:rPr>
              <w:t>​</w:t>
            </w:r>
          </w:p>
        </w:tc>
        <w:tc>
          <w:tcPr>
            <w:tcW w:w="458"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color w:val="575757"/>
              </w:rPr>
            </w:pPr>
            <w:r>
              <w:rPr>
                <w:color w:val="575757"/>
              </w:rPr>
              <w:t>​</w:t>
            </w:r>
          </w:p>
        </w:tc>
        <w:tc>
          <w:tcPr>
            <w:tcW w:w="458"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color w:val="575757"/>
              </w:rPr>
            </w:pPr>
            <w:r>
              <w:rPr>
                <w:color w:val="575757"/>
              </w:rPr>
              <w:t>​</w:t>
            </w:r>
          </w:p>
        </w:tc>
        <w:tc>
          <w:tcPr>
            <w:tcW w:w="1110"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781"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151,184</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151,184</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 </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 </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78,515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78,515</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 yield credit and bonds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83,745</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83,745</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Investments: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113,482</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113,482</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45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45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11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34,481</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34,481</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22,661</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461,407</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484,068</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0" w:after="0"/>
        <w:ind w:left="0" w:right="0" w:firstLine="475"/>
        <w:jc w:val="both"/>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Certain investments included in the table above are measured at fair value using the net asset value per share (or its equivalent) practical expedient and are not included in the three levels of the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z w:val="20"/>
        </w:rPr>
      </w:pPr>
      <w:bookmarkStart w:id="1112" w:name="Tc_y6dsJhf9lEyTaQKcZUhTtA_11_14"/>
      <w:bookmarkStart w:id="1113" w:name="Tc_J5QdRsHmVkyg5QtbEHxImg_11_11"/>
      <w:bookmarkStart w:id="1114" w:name="Tc_PKDfy7uo2UCmjFfXOssi8Q_11_9"/>
      <w:bookmarkStart w:id="1115" w:name="Tc_UJwMEbhuBEO0JzfK_DYUJQ_11_8"/>
      <w:bookmarkStart w:id="1116" w:name="Tc_uSqspoevSkG8sAX_WtwGXw_11_6"/>
      <w:bookmarkStart w:id="1117" w:name="Tc_VDjiabABdkGnRNj2SemWvA_11_5"/>
      <w:bookmarkStart w:id="1118" w:name="Tc_RSsPUalMQEq8kg85Fg292Q_11_2"/>
      <w:bookmarkStart w:id="1119" w:name="Tc_mQK5xaht00Ogu5OEgSyskQ_11_0"/>
      <w:bookmarkStart w:id="1120" w:name="Tc_n8tp9mM4LU2VCO-g_Ho7jw_10_9"/>
      <w:bookmarkStart w:id="1121" w:name="Tc_0T46swVT-ESNgxyjz-t4pg_10_6"/>
      <w:bookmarkStart w:id="1122" w:name="Tc_rJZU3xVn8E-lUX1tvJ7aQA_10_3"/>
      <w:bookmarkStart w:id="1123" w:name="Tc_6P01OnO-Mk6PJKPya4xvcA_10_0"/>
      <w:bookmarkStart w:id="1124" w:name="Tc_1G3oln_hXky8snSjin2eRQ_9_9"/>
      <w:bookmarkStart w:id="1125" w:name="Tc_JjR2H2mXPEy0ucdAUeEe4Q_9_6"/>
      <w:bookmarkStart w:id="1126" w:name="Tc_Jq6eAEftm0CxNJHGkOobJQ_9_3"/>
      <w:bookmarkStart w:id="1127" w:name="Tc_ZXPSYchE-kGW8xShygkQgQ_9_0"/>
      <w:bookmarkStart w:id="1128" w:name="Tc_qc1RP8p7uUO6KWcaWrf9kg_8_0"/>
      <w:bookmarkStart w:id="1129" w:name="Tc_QhJ10WxeiUeBid6oe42RBQ_7_9"/>
      <w:bookmarkStart w:id="1130" w:name="Tc_5Cql6UIh70aMAGBVSp-CLg_7_6"/>
      <w:bookmarkStart w:id="1131" w:name="Tc_6w--3yAqwEeKdzv4PFoJZA_7_3"/>
      <w:bookmarkStart w:id="1132" w:name="Tc_Kutrcrff0k6yr5f5TC9EAg_7_0"/>
      <w:bookmarkStart w:id="1133" w:name="Tc_XtGuS7eVWEOIfBpDwykorQ_6_9"/>
      <w:bookmarkStart w:id="1134" w:name="Tc_yRIEjeqzwkmA_T-mSO0csw_6_6"/>
      <w:bookmarkStart w:id="1135" w:name="Tc_I8FxxEOpGUaJKOl0QzYXSA_6_3"/>
      <w:bookmarkStart w:id="1136" w:name="Tc_05xDd2P22kW0EuNHK01ElA_6_0"/>
      <w:bookmarkStart w:id="1137" w:name="Tc_0Jx7ubndE0KS6hwPqHkREQ_5_9"/>
      <w:bookmarkStart w:id="1138" w:name="Tc_PSBx-JaN2UmlcNZ2ZY4-8w_5_6"/>
      <w:bookmarkStart w:id="1139" w:name="Tc_oIwOzv-V-E-vXFMfmUmTLw_5_3"/>
      <w:bookmarkStart w:id="1140" w:name="Tc_bjtVvNRUS02mHKgqcZva9w_5_0"/>
      <w:bookmarkStart w:id="1141" w:name="Tc_FeXxJqV8qUG8mEcPn1b96A_4_0"/>
      <w:bookmarkStart w:id="1142" w:name="Tc_E9u-9SCLwkmhpO0Ux369WA_3_14"/>
      <w:bookmarkStart w:id="1143" w:name="Tc_ZPyDMuoHd0ibkIXtquAXSA_3_12"/>
      <w:bookmarkStart w:id="1144" w:name="Tc_LsEKeF5MLE-_hb-C27BQ1g_3_11"/>
      <w:bookmarkStart w:id="1145" w:name="Tc_0hxRpGKLKku2mToETEZRMA_3_9"/>
      <w:bookmarkStart w:id="1146" w:name="Tc_-bsZDkYqdUyivnjSszNHwA_3_8"/>
      <w:bookmarkStart w:id="1147" w:name="Tc__XGxCPMVpEWKEM7u4-fqEQ_3_6"/>
      <w:bookmarkStart w:id="1148" w:name="Tc_11n5BxtgcEyLf5QA9A4TiA_3_5"/>
      <w:bookmarkStart w:id="1149" w:name="Tc_5UdLO1rKxEyDBXaQocTFEA_3_2"/>
      <w:bookmarkStart w:id="1150" w:name="Tc_GvndAdPttEeah0ODrPtI6w_3_0"/>
      <w:bookmarkStart w:id="1151" w:name="Tc_HeTHbpCtJU2DKViOq3MUFg_2_2"/>
      <w:bookmarkStart w:id="1152" w:name="Tc_Nz54d9t85kOg4pXvwwgPEA_1_14"/>
      <w:bookmarkStart w:id="1153" w:name="Tc_VDnZJ5MPtkGR5Ucs4CdLbw_1_11"/>
      <w:bookmarkStart w:id="1154" w:name="Tc_8OAuVeqBCU6gw_w4b_IGrA_1_8"/>
      <w:bookmarkStart w:id="1155" w:name="Tc_7AwGG5v4AU2USgekIxFcEA_1_5"/>
      <w:bookmarkStart w:id="1156" w:name="Tc_GJmMl8Lq2Eu1CyRLyCqaug_1_2"/>
      <w:bookmarkStart w:id="1157" w:name="_421fba31_f880_49eb_9496_9c65c0502c2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Times New Roman;Times;serif" w:hAnsi="Times New Roman;Times;serif"/>
          <w:sz w:val="20"/>
        </w:rPr>
        <w:t>The following table sets forth the fair value of the Plan’s investments as of June 28, 2025:</w:t>
      </w:r>
    </w:p>
    <w:tbl>
      <w:tblPr>
        <w:tblW w:w="9143" w:type="dxa"/>
        <w:jc w:val="left"/>
        <w:tblInd w:w="0" w:type="dxa"/>
        <w:tblLayout w:type="fixed"/>
        <w:tblCellMar>
          <w:top w:w="0" w:type="dxa"/>
          <w:left w:w="0" w:type="dxa"/>
          <w:bottom w:w="0" w:type="dxa"/>
          <w:right w:w="0" w:type="dxa"/>
        </w:tblCellMar>
      </w:tblPr>
      <w:tblGrid>
        <w:gridCol w:w="2461"/>
        <w:gridCol w:w="346"/>
        <w:gridCol w:w="211"/>
        <w:gridCol w:w="676"/>
        <w:gridCol w:w="346"/>
        <w:gridCol w:w="278"/>
        <w:gridCol w:w="458"/>
        <w:gridCol w:w="346"/>
        <w:gridCol w:w="278"/>
        <w:gridCol w:w="458"/>
        <w:gridCol w:w="346"/>
        <w:gridCol w:w="300"/>
        <w:gridCol w:w="1110"/>
        <w:gridCol w:w="346"/>
        <w:gridCol w:w="211"/>
        <w:gridCol w:w="78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562735" cy="175260"/>
                      <wp:effectExtent l="0" t="0" r="0" b="0"/>
                      <wp:wrapNone/>
                      <wp:docPr id="340" name="Frame33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29260" cy="175260"/>
                      <wp:effectExtent l="0" t="0" r="0" b="0"/>
                      <wp:wrapNone/>
                      <wp:docPr id="343" name="Frame3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76530" cy="175260"/>
                      <wp:effectExtent l="0" t="0" r="0" b="0"/>
                      <wp:wrapNone/>
                      <wp:docPr id="345" name="Frame34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90830" cy="175260"/>
                      <wp:effectExtent l="0" t="0" r="0" b="0"/>
                      <wp:wrapNone/>
                      <wp:docPr id="346" name="Frame34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6530" cy="175260"/>
                      <wp:effectExtent l="0" t="0" r="0" b="0"/>
                      <wp:wrapNone/>
                      <wp:docPr id="348" name="Frame34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90830" cy="175260"/>
                      <wp:effectExtent l="0" t="0" r="0" b="0"/>
                      <wp:wrapNone/>
                      <wp:docPr id="349" name="Frame34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90500" cy="175260"/>
                      <wp:effectExtent l="0" t="0" r="0" b="0"/>
                      <wp:wrapNone/>
                      <wp:docPr id="351" name="Frame35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704850" cy="175260"/>
                      <wp:effectExtent l="0" t="0" r="0" b="0"/>
                      <wp:wrapNone/>
                      <wp:docPr id="352" name="Frame351"/>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5"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1285" cy="175260"/>
                      <wp:effectExtent l="0" t="0" r="0" b="0"/>
                      <wp:wrapNone/>
                      <wp:docPr id="356" name="Frame35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7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7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14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Asset Value</w:t>
            </w:r>
          </w:p>
        </w:tc>
        <w:tc>
          <w:tcPr>
            <w:tcW w:w="346" w:type="dxa"/>
            <w:tcBorders/>
            <w:vAlign w:val="center"/>
          </w:tcPr>
          <w:p>
            <w:pPr>
              <w:pStyle w:val="TableContents"/>
              <w:bidi w:val="0"/>
              <w:spacing w:before="0" w:after="0"/>
              <w:ind w:left="0" w:right="0" w:hanging="0"/>
              <w:jc w:val="center"/>
              <w:rPr>
                <w:color w:val="575757"/>
              </w:rPr>
            </w:pPr>
            <w:r>
              <w:rPr>
                <w:color w:val="575757"/>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9143"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6145"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color w:val="575757"/>
              </w:rPr>
            </w:pPr>
            <w:r>
              <w:rPr>
                <w:color w:val="575757"/>
              </w:rPr>
              <w:t> </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17,880</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17,880</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Seeking Investments: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676"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color w:val="575757"/>
              </w:rPr>
            </w:pPr>
            <w:r>
              <w:rPr>
                <w:color w:val="575757"/>
              </w:rPr>
              <w:t>​</w:t>
            </w:r>
          </w:p>
        </w:tc>
        <w:tc>
          <w:tcPr>
            <w:tcW w:w="458"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color w:val="575757"/>
              </w:rPr>
            </w:pPr>
            <w:r>
              <w:rPr>
                <w:color w:val="575757"/>
              </w:rPr>
              <w:t>​</w:t>
            </w:r>
          </w:p>
        </w:tc>
        <w:tc>
          <w:tcPr>
            <w:tcW w:w="458"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color w:val="575757"/>
              </w:rPr>
            </w:pPr>
            <w:r>
              <w:rPr>
                <w:color w:val="575757"/>
              </w:rPr>
              <w:t>​</w:t>
            </w:r>
          </w:p>
        </w:tc>
        <w:tc>
          <w:tcPr>
            <w:tcW w:w="1110" w:type="dxa"/>
            <w:tcBorders/>
            <w:vAlign w:val="center"/>
          </w:tcPr>
          <w:p>
            <w:pPr>
              <w:pStyle w:val="TableContents"/>
              <w:bidi w:val="0"/>
              <w:spacing w:before="0" w:after="0"/>
              <w:ind w:left="0" w:right="0" w:hanging="0"/>
              <w:jc w:val="righ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781" w:type="dxa"/>
            <w:tcBorders/>
            <w:vAlign w:val="center"/>
          </w:tcPr>
          <w:p>
            <w:pPr>
              <w:pStyle w:val="TableContents"/>
              <w:bidi w:val="0"/>
              <w:spacing w:before="0" w:after="0"/>
              <w:ind w:left="0" w:right="0" w:hanging="0"/>
              <w:jc w:val="right"/>
              <w:rPr>
                <w:color w:val="575757"/>
              </w:rPr>
            </w:pPr>
            <w:r>
              <w:rPr>
                <w:color w:val="575757"/>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147,890</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147,890</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 </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 </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74,747</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74,747</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 yield credit and bonds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color w:val="575757"/>
              </w:rPr>
            </w:pPr>
            <w:r>
              <w:rPr>
                <w:color w:val="575757"/>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color w:val="575757"/>
              </w:rPr>
            </w:pPr>
            <w:r>
              <w:rPr>
                <w:color w:val="575757"/>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color w:val="575757"/>
              </w:rPr>
            </w:pPr>
            <w:r>
              <w:rPr>
                <w:color w:val="575757"/>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84,857</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84,857</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Income Investments: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color w:val="575757"/>
              </w:rPr>
            </w:pPr>
            <w:r>
              <w:rPr>
                <w:color w:val="575757"/>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vAlign w:val="center"/>
          </w:tcPr>
          <w:p>
            <w:pPr>
              <w:pStyle w:val="TableContents"/>
              <w:bidi w:val="0"/>
              <w:spacing w:before="0" w:after="0"/>
              <w:ind w:left="0" w:right="0" w:hanging="0"/>
              <w:jc w:val="right"/>
              <w:rPr/>
            </w:pPr>
            <w:r>
              <w:rPr/>
              <w:t>​</w:t>
            </w:r>
          </w:p>
        </w:tc>
        <w:tc>
          <w:tcPr>
            <w:tcW w:w="4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vAlign w:val="center"/>
          </w:tcPr>
          <w:p>
            <w:pPr>
              <w:pStyle w:val="TableContents"/>
              <w:bidi w:val="0"/>
              <w:spacing w:before="0" w:after="0"/>
              <w:ind w:left="0" w:right="0" w:hanging="0"/>
              <w:jc w:val="right"/>
              <w:rPr/>
            </w:pPr>
            <w:r>
              <w:rPr/>
              <w:t>​</w:t>
            </w:r>
          </w:p>
        </w:tc>
        <w:tc>
          <w:tcPr>
            <w:tcW w:w="11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shd w:fill="CCEEFF" w:val="clear"/>
            <w:vAlign w:val="center"/>
          </w:tcPr>
          <w:p>
            <w:pPr>
              <w:pStyle w:val="TableContents"/>
              <w:bidi w:val="0"/>
              <w:spacing w:before="0" w:after="0"/>
              <w:ind w:left="0" w:right="0" w:hanging="0"/>
              <w:jc w:val="right"/>
              <w:rPr/>
            </w:pPr>
            <w:r>
              <w:rPr/>
              <w:t> </w:t>
            </w:r>
          </w:p>
        </w:tc>
        <w:tc>
          <w:tcPr>
            <w:tcW w:w="4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shd w:fill="CCEEFF" w:val="clear"/>
            <w:vAlign w:val="center"/>
          </w:tcPr>
          <w:p>
            <w:pPr>
              <w:pStyle w:val="TableContents"/>
              <w:bidi w:val="0"/>
              <w:spacing w:before="0" w:after="0"/>
              <w:ind w:left="0" w:right="0" w:hanging="0"/>
              <w:jc w:val="right"/>
              <w:rPr/>
            </w:pPr>
            <w:r>
              <w:rPr/>
              <w:t> </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113,401</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113,401</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45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78"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458"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30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11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38,783</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38,783</w:t>
            </w:r>
          </w:p>
        </w:tc>
        <w:tc>
          <w:tcPr>
            <w:tcW w:w="191" w:type="dxa"/>
            <w:tcBorders/>
            <w:vAlign w:val="center"/>
          </w:tcPr>
          <w:p>
            <w:pPr>
              <w:pStyle w:val="TableContents"/>
              <w:bidi w:val="0"/>
              <w:spacing w:before="0" w:after="0"/>
              <w:ind w:left="0" w:right="0" w:hanging="0"/>
              <w:jc w:val="left"/>
              <w:rPr>
                <w:color w:val="575757"/>
              </w:rPr>
            </w:pPr>
            <w:r>
              <w:rPr>
                <w:color w:val="575757"/>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17,880</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459,678</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477,558</w:t>
            </w:r>
          </w:p>
        </w:tc>
        <w:tc>
          <w:tcPr>
            <w:tcW w:w="191" w:type="dxa"/>
            <w:tcBorders/>
            <w:shd w:fill="CCEEFF" w:val="clear"/>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0" w:after="0"/>
        <w:ind w:left="0" w:right="0" w:hanging="0"/>
        <w:jc w:val="both"/>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Each of these investments may be redeemed without restrictions in the normal course of business and there were no material unfunded commitments as of June 27, 2026.</w:t>
      </w:r>
    </w:p>
    <w:p>
      <w:pPr>
        <w:pStyle w:val="TextBody"/>
        <w:bidi w:val="0"/>
        <w:spacing w:lineRule="auto" w:line="343" w:before="0" w:after="0"/>
        <w:ind w:left="0" w:right="0" w:firstLine="475"/>
        <w:jc w:val="both"/>
        <w:rPr/>
      </w:pPr>
      <w:r>
        <w:rPr/>
        <w:t>​</w:t>
      </w:r>
    </w:p>
    <w:p>
      <w:pPr>
        <w:pStyle w:val="TextBody"/>
        <w:bidi w:val="0"/>
        <w:spacing w:lineRule="auto" w:line="343" w:before="0" w:after="0"/>
        <w:ind w:left="0" w:right="0" w:hanging="0"/>
        <w:jc w:val="both"/>
        <w:rPr>
          <w:rFonts w:ascii="Times New Roman;Times;serif" w:hAnsi="Times New Roman;Times;serif"/>
          <w:b/>
          <w:sz w:val="20"/>
        </w:rPr>
      </w:pPr>
      <w:bookmarkStart w:id="1158" w:name="Tc_2fiWgZEeLEm5odvh-eulMw_10_1"/>
      <w:bookmarkStart w:id="1159" w:name="Tc_zI1CvqO57km-4NhpVOchnw_10_0"/>
      <w:bookmarkStart w:id="1160" w:name="Tc_kJdM3tEtS0q7e_oBBi5pHg_9_0"/>
      <w:bookmarkStart w:id="1161" w:name="Tc_lzuUN85avkCpgfIjPYVS0Q_8_0"/>
      <w:bookmarkStart w:id="1162" w:name="Tc_-45iPEFueU6URQXRYdRh1g_7_0"/>
      <w:bookmarkStart w:id="1163" w:name="Tc_Q04KJWCPpkK1dm4yutwa8g_6_0"/>
      <w:bookmarkStart w:id="1164" w:name="Tc_LFICrKXm4UafGcMZ4ogUOw_5_0"/>
      <w:bookmarkStart w:id="1165" w:name="Tc_mv3aqAAMkEuSmPHWDUz12A_4_0"/>
      <w:bookmarkStart w:id="1166" w:name="Tc_gDLsRjdxs0CxwTzjlzR2Ag_3_0"/>
      <w:bookmarkStart w:id="1167" w:name="Tc_qYTJbQX3H0GM_DDhcHTq7Q_2_1"/>
      <w:bookmarkStart w:id="1168" w:name="Tc_uTKCN-GGw0Wj6F42vYjTiQ_2_0"/>
      <w:bookmarkStart w:id="1169" w:name="Tc_qAqx7B5FG06cyVwmnusiLw_1_0"/>
      <w:bookmarkStart w:id="1170" w:name="_9491c7e2_1c1e_4fe7_82e2_609bb39561aa"/>
      <w:bookmarkStart w:id="1171" w:name="Tc_jAunV-EBj0KNVdXf-SzENg_6_8"/>
      <w:bookmarkStart w:id="1172" w:name="Tc_tdzNlaUnzEG-thoOICKkGA_6_5"/>
      <w:bookmarkStart w:id="1173" w:name="Tc_cVDjWXVO8k-AyxOSM1whDA_6_2"/>
      <w:bookmarkStart w:id="1174" w:name="Tc_bwTo4V_7VES9mn_785EXVQ_6_0"/>
      <w:bookmarkStart w:id="1175" w:name="Tc_w1580qNx7E63DEcbM69s-g_5_0"/>
      <w:bookmarkStart w:id="1176" w:name="Tc_wJjy33VLoE6G0yoKoE4tLg_4_8"/>
      <w:bookmarkStart w:id="1177" w:name="Tc_7ZxVh9NCvkyADwUMcojBFA_4_5"/>
      <w:bookmarkStart w:id="1178" w:name="Tc_QUtIDh7VTEWvFCUi2ZydyQ_4_2"/>
      <w:bookmarkStart w:id="1179" w:name="Tc_lT2IISAwmkCgkuqF41_W_A_4_0"/>
      <w:bookmarkStart w:id="1180" w:name="Tc_2boUWFpFFUW8xJORG6vu8w_3_8"/>
      <w:bookmarkStart w:id="1181" w:name="Tc_e6l-z1mJW0iccicK-6YTKA_3_5"/>
      <w:bookmarkStart w:id="1182" w:name="Tc_IScif-hCxUa7xWyik4Xb8Q_3_2"/>
      <w:bookmarkStart w:id="1183" w:name="Tc_ZWhtLAYoW0WdoEBqfeV_vQ_2_8"/>
      <w:bookmarkStart w:id="1184" w:name="Tc_7hpM1I92LkKtzKOnI1bWiw_2_5"/>
      <w:bookmarkStart w:id="1185" w:name="Tc_Qaiokvh59kSbL-kqLm0Btg_2_2"/>
      <w:bookmarkStart w:id="1186" w:name="Tc_lNVLoZOkJUuRvkuAzsspDA_1_2"/>
      <w:bookmarkStart w:id="1187" w:name="_2869dda6_b115_43b0_b00c_99b503074b04"/>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b/>
          <w:sz w:val="20"/>
        </w:rPr>
        <w:t>11. Leases</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The components of lease cost related to the Company’s operating leases were as follows (in thousands):</w:t>
      </w:r>
    </w:p>
    <w:tbl>
      <w:tblPr>
        <w:tblW w:w="5188" w:type="dxa"/>
        <w:jc w:val="left"/>
        <w:tblInd w:w="0" w:type="dxa"/>
        <w:tblLayout w:type="fixed"/>
        <w:tblCellMar>
          <w:top w:w="0" w:type="dxa"/>
          <w:left w:w="0" w:type="dxa"/>
          <w:bottom w:w="0" w:type="dxa"/>
          <w:right w:w="0" w:type="dxa"/>
        </w:tblCellMar>
      </w:tblPr>
      <w:tblGrid>
        <w:gridCol w:w="1756"/>
        <w:gridCol w:w="109"/>
        <w:gridCol w:w="211"/>
        <w:gridCol w:w="781"/>
        <w:gridCol w:w="226"/>
        <w:gridCol w:w="211"/>
        <w:gridCol w:w="676"/>
        <w:gridCol w:w="226"/>
        <w:gridCol w:w="211"/>
        <w:gridCol w:w="78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115060" cy="175260"/>
                      <wp:effectExtent l="0" t="0" r="0" b="0"/>
                      <wp:wrapNone/>
                      <wp:docPr id="357" name="Frame356"/>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95935" cy="175260"/>
                      <wp:effectExtent l="0" t="0" r="0" b="0"/>
                      <wp:wrapNone/>
                      <wp:docPr id="360"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3510" cy="175260"/>
                      <wp:effectExtent l="0" t="0" r="0" b="0"/>
                      <wp:wrapNone/>
                      <wp:docPr id="361" name="Frame3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9260" cy="175260"/>
                      <wp:effectExtent l="0" t="0" r="0" b="0"/>
                      <wp:wrapNone/>
                      <wp:docPr id="363" name="Frame3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3510" cy="175260"/>
                      <wp:effectExtent l="0" t="0" r="0" b="0"/>
                      <wp:wrapNone/>
                      <wp:docPr id="364" name="Frame3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2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2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63,514</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29,560</w:t>
            </w:r>
          </w:p>
        </w:tc>
      </w:tr>
      <w:tr>
        <w:trPr/>
        <w:tc>
          <w:tcPr>
            <w:tcW w:w="1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97,385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93,074</w:t>
            </w:r>
          </w:p>
        </w:tc>
      </w:tr>
    </w:tbl>
    <w:p>
      <w:pPr>
        <w:pStyle w:val="TextBody"/>
        <w:bidi w:val="0"/>
        <w:spacing w:lineRule="auto" w:line="343" w:before="200" w:after="120"/>
        <w:ind w:left="0" w:right="0" w:firstLine="475"/>
        <w:jc w:val="left"/>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Future minimum operating lease payments as of June 27, 2026, are as follows (in thousands):</w:t>
      </w:r>
    </w:p>
    <w:p>
      <w:pPr>
        <w:pStyle w:val="TextBody"/>
        <w:bidi w:val="0"/>
        <w:spacing w:before="0" w:after="0"/>
        <w:ind w:left="0" w:right="0" w:hanging="0"/>
        <w:jc w:val="left"/>
        <w:rPr/>
      </w:pPr>
      <w:r>
        <w:rPr/>
        <w:t>​</w:t>
      </w:r>
    </w:p>
    <w:tbl>
      <w:tblPr>
        <w:tblW w:w="5433" w:type="dxa"/>
        <w:jc w:val="left"/>
        <w:tblInd w:w="0" w:type="dxa"/>
        <w:tblLayout w:type="fixed"/>
        <w:tblCellMar>
          <w:top w:w="0" w:type="dxa"/>
          <w:left w:w="0" w:type="dxa"/>
          <w:bottom w:w="0" w:type="dxa"/>
          <w:right w:w="0" w:type="dxa"/>
        </w:tblCellMar>
      </w:tblPr>
      <w:tblGrid>
        <w:gridCol w:w="4276"/>
        <w:gridCol w:w="211"/>
        <w:gridCol w:w="94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715260" cy="175260"/>
                      <wp:effectExtent l="0" t="0" r="0" b="0"/>
                      <wp:wrapNone/>
                      <wp:docPr id="367" name="Frame36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00710" cy="175260"/>
                      <wp:effectExtent l="0" t="0" r="0" b="0"/>
                      <wp:wrapNone/>
                      <wp:docPr id="369" name="Frame36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61,511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50,793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40,610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vAlign w:val="center"/>
          </w:tcPr>
          <w:p>
            <w:pPr>
              <w:pStyle w:val="TableContents"/>
              <w:bidi w:val="0"/>
              <w:spacing w:before="0" w:after="0"/>
              <w:ind w:left="0" w:right="0" w:hanging="0"/>
              <w:jc w:val="righ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211"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4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228,589</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operating lease payments</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434,146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imputed interest on operating lease liabilities</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(171,147)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262,999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z w:val="20"/>
        </w:rPr>
      </w:pPr>
      <w:bookmarkStart w:id="1188" w:name="Tc_uNVWr4Hpc0ekD0oDTlds8w_10_7"/>
      <w:bookmarkStart w:id="1189" w:name="Tc_Ne0VTIxunUyvdNeyaCzJjw_10_4"/>
      <w:bookmarkStart w:id="1190" w:name="Tc_pOnsw9_syU2xI8uOm7jexw_10_1"/>
      <w:bookmarkStart w:id="1191" w:name="Tc_v7Nj7otLOkOIj87anfch8A_10_0"/>
      <w:bookmarkStart w:id="1192" w:name="Tc_aOOsJZnuH0WFsu-a_iIKSg_9_7"/>
      <w:bookmarkStart w:id="1193" w:name="Tc_bC_rRe0q2UCJShyDzLO59A_9_4"/>
      <w:bookmarkStart w:id="1194" w:name="Tc_YGFSUfexXkmzOOruGNKIXQ_9_1"/>
      <w:bookmarkStart w:id="1195" w:name="Tc_-8niqrjWt0O_imac-u01hw_9_0"/>
      <w:bookmarkStart w:id="1196" w:name="Tc_jHOgkZAbg0KW0G3SevnDbA_8_0"/>
      <w:bookmarkStart w:id="1197" w:name="Tc_cToqOz2Sgk2WiYvBSIOvMQ_6_9"/>
      <w:bookmarkStart w:id="1198" w:name="Tc_ApAGNygoUkOl0BUmf-m3vQ_6_6"/>
      <w:bookmarkStart w:id="1199" w:name="Tc_JcplFcAvqESVPcto_ZSg0w_6_3"/>
      <w:bookmarkStart w:id="1200" w:name="Tc_dbhz_mN8vUaAbnJu5yfhUA_6_0"/>
      <w:bookmarkStart w:id="1201" w:name="Tc_ojK11mDTj0aAF_2I2yGsOQ_5_0"/>
      <w:bookmarkStart w:id="1202" w:name="Tc_qY5gb33Bg0GmohWKEss8sA_4_0"/>
      <w:bookmarkStart w:id="1203" w:name="Tc_gudRfKNksEyxWK1awJshAA_3_8"/>
      <w:bookmarkStart w:id="1204" w:name="Tc_OBOirvQyBU2tTpJrEP324A_3_5"/>
      <w:bookmarkStart w:id="1205" w:name="Tc_N2WdDh7JB0SGL0iiFmPLNA_3_2"/>
      <w:bookmarkStart w:id="1206" w:name="Tc_0Xgu7WeI0EeksRevXheGVw_2_8"/>
      <w:bookmarkStart w:id="1207" w:name="Tc_RE_4yquDr02r9jtKm_l07Q_2_5"/>
      <w:bookmarkStart w:id="1208" w:name="Tc_y81b1c0KLEGaiHU18_MbZA_2_2"/>
      <w:bookmarkStart w:id="1209" w:name="Tc_VCTbYpRARE-a8Mbv06n1MQ_1_2"/>
      <w:bookmarkStart w:id="1210" w:name="_908536ac_fda3_42e8_9d0f_2cbaeb71b270"/>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sz w:val="20"/>
        </w:rPr>
        <w:t>Other information pertaining to operating leases consists of the following:</w:t>
      </w:r>
    </w:p>
    <w:tbl>
      <w:tblPr>
        <w:tblW w:w="9190" w:type="dxa"/>
        <w:jc w:val="left"/>
        <w:tblInd w:w="0" w:type="dxa"/>
        <w:tblLayout w:type="fixed"/>
        <w:tblCellMar>
          <w:top w:w="0" w:type="dxa"/>
          <w:left w:w="0" w:type="dxa"/>
          <w:bottom w:w="0" w:type="dxa"/>
          <w:right w:w="0" w:type="dxa"/>
        </w:tblCellMar>
      </w:tblPr>
      <w:tblGrid>
        <w:gridCol w:w="5551"/>
        <w:gridCol w:w="211"/>
        <w:gridCol w:w="781"/>
        <w:gridCol w:w="271"/>
        <w:gridCol w:w="226"/>
        <w:gridCol w:w="676"/>
        <w:gridCol w:w="271"/>
        <w:gridCol w:w="211"/>
        <w:gridCol w:w="676"/>
        <w:gridCol w:w="31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524885" cy="175260"/>
                      <wp:effectExtent l="0" t="0" r="0" b="0"/>
                      <wp:wrapNone/>
                      <wp:docPr id="370" name="Frame369"/>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72085" cy="175260"/>
                      <wp:effectExtent l="0" t="0" r="0" b="0"/>
                      <wp:wrapNone/>
                      <wp:docPr id="373" name="Frame3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3510" cy="175260"/>
                      <wp:effectExtent l="0" t="0" r="0" b="0"/>
                      <wp:wrapNone/>
                      <wp:docPr id="374" name="Frame3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29260" cy="175260"/>
                      <wp:effectExtent l="0" t="0" r="0" b="0"/>
                      <wp:wrapNone/>
                      <wp:docPr id="375" name="Frame3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72085" cy="175260"/>
                      <wp:effectExtent l="0" t="0" r="0" b="0"/>
                      <wp:wrapNone/>
                      <wp:docPr id="376" name="Frame37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29260" cy="175260"/>
                      <wp:effectExtent l="0" t="0" r="0" b="0"/>
                      <wp:wrapNone/>
                      <wp:docPr id="378" name="Frame3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0660" cy="175260"/>
                      <wp:effectExtent l="0" t="0" r="0" b="0"/>
                      <wp:wrapNone/>
                      <wp:docPr id="379" name="Frame3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color w:val="DADADA"/>
              </w:rPr>
            </w:pPr>
            <w:r>
              <w:rPr>
                <w:color w:val="DADADA"/>
              </w:rPr>
              <w:t>​</w:t>
            </w:r>
          </w:p>
        </w:tc>
        <w:tc>
          <w:tcPr>
            <w:tcW w:w="211" w:type="dxa"/>
            <w:tcBorders/>
            <w:vAlign w:val="center"/>
          </w:tcPr>
          <w:p>
            <w:pPr>
              <w:pStyle w:val="TableContents"/>
              <w:bidi w:val="0"/>
              <w:spacing w:before="0" w:after="0"/>
              <w:ind w:left="0" w:right="0" w:hanging="0"/>
              <w:jc w:val="left"/>
              <w:rPr>
                <w:color w:val="DADADA"/>
              </w:rPr>
            </w:pPr>
            <w:r>
              <w:rPr>
                <w:color w:val="DADADA"/>
              </w:rPr>
              <w:t>​</w:t>
            </w:r>
          </w:p>
        </w:tc>
        <w:tc>
          <w:tcPr>
            <w:tcW w:w="222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1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color w:val="DADADA"/>
              </w:rPr>
            </w:pPr>
            <w:r>
              <w:rPr>
                <w:color w:val="DADADA"/>
              </w:rPr>
              <w:t>​</w:t>
            </w:r>
          </w:p>
        </w:tc>
        <w:tc>
          <w:tcPr>
            <w:tcW w:w="211" w:type="dxa"/>
            <w:tcBorders/>
            <w:vAlign w:val="center"/>
          </w:tcPr>
          <w:p>
            <w:pPr>
              <w:pStyle w:val="TableContents"/>
              <w:bidi w:val="0"/>
              <w:spacing w:before="0" w:after="0"/>
              <w:ind w:left="0" w:right="0" w:hanging="0"/>
              <w:jc w:val="left"/>
              <w:rPr>
                <w:color w:val="DADADA"/>
              </w:rPr>
            </w:pPr>
            <w:r>
              <w:rPr>
                <w:color w:val="DADADA"/>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11"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5551" w:type="dxa"/>
            <w:tcBorders/>
            <w:vAlign w:val="center"/>
          </w:tcPr>
          <w:p>
            <w:pPr>
              <w:pStyle w:val="TableContents"/>
              <w:bidi w:val="0"/>
              <w:spacing w:before="0" w:after="0"/>
              <w:ind w:left="0" w:right="0" w:hanging="0"/>
              <w:jc w:val="left"/>
              <w:rPr>
                <w:color w:val="DADADA"/>
              </w:rPr>
            </w:pPr>
            <w:r>
              <w:rPr>
                <w:color w:val="DADADA"/>
              </w:rPr>
              <w:t>​</w:t>
            </w:r>
          </w:p>
        </w:tc>
        <w:tc>
          <w:tcPr>
            <w:tcW w:w="211" w:type="dxa"/>
            <w:tcBorders/>
            <w:vAlign w:val="center"/>
          </w:tcPr>
          <w:p>
            <w:pPr>
              <w:pStyle w:val="TableContents"/>
              <w:bidi w:val="0"/>
              <w:spacing w:before="0" w:after="0"/>
              <w:ind w:left="0" w:right="0" w:hanging="0"/>
              <w:jc w:val="left"/>
              <w:rPr>
                <w:color w:val="DADADA"/>
              </w:rPr>
            </w:pPr>
            <w:r>
              <w:rPr>
                <w:color w:val="DADADA"/>
              </w:rPr>
              <w:t>​</w:t>
            </w:r>
          </w:p>
        </w:tc>
        <w:tc>
          <w:tcPr>
            <w:tcW w:w="10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26" w:type="dxa"/>
            <w:tcBorders/>
            <w:vAlign w:val="center"/>
          </w:tcPr>
          <w:p>
            <w:pPr>
              <w:pStyle w:val="TableContents"/>
              <w:bidi w:val="0"/>
              <w:spacing w:before="0" w:after="0"/>
              <w:ind w:left="0" w:right="0" w:hanging="0"/>
              <w:jc w:val="center"/>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11"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Term and Discount Rate</w:t>
            </w:r>
          </w:p>
        </w:tc>
        <w:tc>
          <w:tcPr>
            <w:tcW w:w="211" w:type="dxa"/>
            <w:tcBorders/>
            <w:vAlign w:val="center"/>
          </w:tcPr>
          <w:p>
            <w:pPr>
              <w:pStyle w:val="TableContents"/>
              <w:bidi w:val="0"/>
              <w:spacing w:before="0" w:after="0"/>
              <w:ind w:left="0" w:right="0" w:hanging="0"/>
              <w:jc w:val="left"/>
              <w:rPr>
                <w:color w:val="DADADA"/>
              </w:rPr>
            </w:pPr>
            <w:r>
              <w:rPr>
                <w:color w:val="DADADA"/>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211" w:type="dxa"/>
            <w:tcBorders/>
            <w:shd w:fill="CCEEFF" w:val="clear"/>
            <w:vAlign w:val="center"/>
          </w:tcPr>
          <w:p>
            <w:pPr>
              <w:pStyle w:val="TableContents"/>
              <w:bidi w:val="0"/>
              <w:spacing w:before="0" w:after="0"/>
              <w:ind w:left="0" w:right="0" w:hanging="0"/>
              <w:jc w:val="right"/>
              <w:rPr>
                <w:color w:val="DADADA"/>
              </w:rPr>
            </w:pPr>
            <w:r>
              <w:rPr>
                <w:color w:val="DADADA"/>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211" w:type="dxa"/>
            <w:tcBorders/>
            <w:vAlign w:val="center"/>
          </w:tcPr>
          <w:p>
            <w:pPr>
              <w:pStyle w:val="TableContents"/>
              <w:bidi w:val="0"/>
              <w:spacing w:before="0" w:after="0"/>
              <w:ind w:left="0" w:right="0" w:hanging="0"/>
              <w:jc w:val="right"/>
              <w:rPr>
                <w:color w:val="DADADA"/>
              </w:rPr>
            </w:pPr>
            <w:r>
              <w:rPr>
                <w:color w:val="DADADA"/>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51" w:type="dxa"/>
            <w:tcBorders/>
            <w:shd w:fill="CCEEFF" w:val="clear"/>
            <w:vAlign w:val="center"/>
          </w:tcPr>
          <w:p>
            <w:pPr>
              <w:pStyle w:val="TableContents"/>
              <w:bidi w:val="0"/>
              <w:spacing w:before="0" w:after="0"/>
              <w:ind w:left="0" w:right="0" w:hanging="0"/>
              <w:jc w:val="left"/>
              <w:rPr>
                <w:color w:val="DADADA"/>
              </w:rPr>
            </w:pPr>
            <w:r>
              <w:rPr>
                <w:color w:val="DADADA"/>
              </w:rPr>
              <w:t>​</w:t>
            </w:r>
          </w:p>
        </w:tc>
        <w:tc>
          <w:tcPr>
            <w:tcW w:w="211" w:type="dxa"/>
            <w:tcBorders/>
            <w:shd w:fill="CCEEFF" w:val="clear"/>
            <w:vAlign w:val="center"/>
          </w:tcPr>
          <w:p>
            <w:pPr>
              <w:pStyle w:val="TableContents"/>
              <w:bidi w:val="0"/>
              <w:spacing w:before="0" w:after="0"/>
              <w:ind w:left="0" w:right="0" w:hanging="0"/>
              <w:jc w:val="right"/>
              <w:rPr>
                <w:color w:val="DADADA"/>
              </w:rPr>
            </w:pPr>
            <w:r>
              <w:rPr>
                <w:color w:val="DADADA"/>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 (in thousands)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60,579</w:t>
            </w:r>
          </w:p>
        </w:tc>
        <w:tc>
          <w:tcPr>
            <w:tcW w:w="27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58,474</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obtained from new operating lease liabilities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112,278</w:t>
            </w:r>
          </w:p>
        </w:tc>
        <w:tc>
          <w:tcPr>
            <w:tcW w:w="2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92,647</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47,668</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12. Stock-based compensation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measures all stock-based payments at fair value and recognizes related expense within selling, general and administrative expenses in the consolidated statements of operations over the requisite service period (generally the vesting period). During fiscal 2026, 2025, and 2024, the Company recorded stock-based compensation expense of $48.7 million, $36.4 million, and $33.5 million, respectively, for all forms of stock-based compensation awards. </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Stock plan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At June 27, 2026, the Company had 6.6 million shares of common stock reserved for stock-based payments, which consisted of 0.6 million shares for unvested or unexercised stock options, 4.6 million shares available for stock-based awards under plans approved by shareholders, and 1.4 million shares for restricted stock units and performance share units granted but not yet vested.</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There were no stock options granted in fiscal 2026 and 2025, and the stock-based compensation expense and unamortized stock-based compensation associated with stock options were not material.</w:t>
      </w:r>
    </w:p>
    <w:p>
      <w:pPr>
        <w:pStyle w:val="TextBody"/>
        <w:bidi w:val="0"/>
        <w:spacing w:lineRule="auto" w:line="343" w:before="200" w:after="0"/>
        <w:ind w:left="0" w:right="0" w:firstLine="115"/>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27, 2026, 1.1 million shares previously awarded have not yet vested. Stock-based compensation expense associated with restricted stock units was $36.3 million, $34.3 million, and $32.6 million for fiscal years 2026,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pacing w:val="-2"/>
          <w:sz w:val="20"/>
        </w:rPr>
      </w:pPr>
      <w:bookmarkStart w:id="1211" w:name="Tc_ebDnFjKeS0WWUAOe7SfH7A_9_4"/>
      <w:bookmarkStart w:id="1212" w:name="Tc_YLtbUKUFlUGz2N-gsWr7VQ_9_0"/>
      <w:bookmarkStart w:id="1213" w:name="Tc_IOtNqdx6ckWIPj-SkjBeYg_8_0"/>
      <w:bookmarkStart w:id="1214" w:name="Tc_4sm9n5V3Ek6miSQN6j1YwA_7_0"/>
      <w:bookmarkStart w:id="1215" w:name="Tc_7APhR2ut9Eq-KI6AeUPyUQ_6_0"/>
      <w:bookmarkStart w:id="1216" w:name="Tc_A5ugFaHt4UuyZ6SUANAs1w_5_4"/>
      <w:bookmarkStart w:id="1217" w:name="Tc_DfsfHAUyjEyEjknY6qPJVQ_5_0"/>
      <w:bookmarkStart w:id="1218" w:name="Tc_rm0flctVp0uVrIk0TH7dqQ_4_4"/>
      <w:bookmarkStart w:id="1219" w:name="Tc_NvbQdXHwxUGYn_bDbhXm7w_4_2"/>
      <w:bookmarkStart w:id="1220" w:name="Tc_YvFNVVAmME-1KqRyP84kBg_3_4"/>
      <w:bookmarkStart w:id="1221" w:name="Tc_r4D3mVeHskGqeByb_pRKcQ_2_4"/>
      <w:bookmarkStart w:id="1222" w:name="Tc_aq4xGusX60mOWs3V3zUbrA_1_4"/>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spacing w:val="-2"/>
          <w:sz w:val="20"/>
        </w:rPr>
        <w:t>The following is a summary of the changes in non-vested restricted stock units during fiscal 2026:</w:t>
      </w:r>
    </w:p>
    <w:p>
      <w:pPr>
        <w:pStyle w:val="TextBody"/>
        <w:bidi w:val="0"/>
        <w:spacing w:before="0" w:after="0"/>
        <w:ind w:left="0" w:right="0" w:hanging="0"/>
        <w:jc w:val="left"/>
        <w:rPr/>
      </w:pPr>
      <w:r>
        <w:rPr/>
        <w:t>​</w:t>
      </w:r>
    </w:p>
    <w:tbl>
      <w:tblPr>
        <w:tblW w:w="7036" w:type="dxa"/>
        <w:jc w:val="left"/>
        <w:tblInd w:w="0" w:type="dxa"/>
        <w:tblLayout w:type="fixed"/>
        <w:tblCellMar>
          <w:top w:w="0" w:type="dxa"/>
          <w:left w:w="0" w:type="dxa"/>
          <w:bottom w:w="0" w:type="dxa"/>
          <w:right w:w="0" w:type="dxa"/>
        </w:tblCellMar>
      </w:tblPr>
      <w:tblGrid>
        <w:gridCol w:w="4156"/>
        <w:gridCol w:w="346"/>
        <w:gridCol w:w="931"/>
        <w:gridCol w:w="346"/>
        <w:gridCol w:w="287"/>
        <w:gridCol w:w="779"/>
        <w:gridCol w:w="191"/>
      </w:tblGrid>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Grant-Date</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191" w:type="dxa"/>
            <w:tcBorders/>
            <w:vAlign w:val="center"/>
          </w:tcPr>
          <w:p>
            <w:pPr>
              <w:pStyle w:val="TableContents"/>
              <w:bidi w:val="0"/>
              <w:spacing w:before="0" w:after="0"/>
              <w:ind w:left="0" w:right="0" w:hanging="0"/>
              <w:jc w:val="center"/>
              <w:rPr/>
            </w:pPr>
            <w:r>
              <w:rPr/>
              <w:t> </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restricted stock units at June 28,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1,043,756</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760,504</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c>
          <w:tcPr>
            <w:tcW w:w="1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(705,952)</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righ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(23,065)</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w:t>
            </w:r>
          </w:p>
        </w:tc>
        <w:tc>
          <w:tcPr>
            <w:tcW w:w="191" w:type="dxa"/>
            <w:tcBorders/>
            <w:vAlign w:val="center"/>
          </w:tcPr>
          <w:p>
            <w:pPr>
              <w:pStyle w:val="TableContents"/>
              <w:bidi w:val="0"/>
              <w:spacing w:before="0" w:after="0"/>
              <w:ind w:left="0" w:right="0" w:hanging="0"/>
              <w:jc w:val="lef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restricted stock units at June 27,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1,075,243</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pacing w:val="-3"/>
          <w:sz w:val="20"/>
        </w:rPr>
      </w:pPr>
      <w:r>
        <w:rPr>
          <w:rFonts w:ascii="Times New Roman;Times;serif" w:hAnsi="Times New Roman;Times;serif"/>
          <w:spacing w:val="-3"/>
          <w:sz w:val="20"/>
        </w:rPr>
        <w:t>As of June 27, 2026, there was $22.2 million of total unrecognized compensation expense related to non-vested restricted stock units, which is expected to be recognized over a weighted-average period of 2.1 years. The total fair value of restricted stock units vested during fiscal 2026, 2025, and 2024, was $33.8 million, $31.4 million, and $31.0 million, respectively.</w:t>
      </w:r>
    </w:p>
    <w:p>
      <w:pPr>
        <w:pStyle w:val="TextBody"/>
        <w:bidi w:val="0"/>
        <w:spacing w:lineRule="auto" w:line="343" w:before="200" w:after="0"/>
        <w:ind w:left="0" w:right="0" w:firstLine="120"/>
        <w:jc w:val="left"/>
        <w:rPr>
          <w:rFonts w:ascii="Times New Roman;Times;serif" w:hAnsi="Times New Roman;Times;serif"/>
          <w:b/>
          <w:i/>
          <w:sz w:val="20"/>
        </w:rPr>
      </w:pPr>
      <w:r>
        <w:rPr>
          <w:rFonts w:ascii="Times New Roman;Times;serif" w:hAnsi="Times New Roman;Times;serif"/>
          <w:b/>
          <w:i/>
          <w:sz w:val="20"/>
        </w:rPr>
        <w:t>Performance share units</w:t>
      </w:r>
    </w:p>
    <w:p>
      <w:pPr>
        <w:pStyle w:val="TextBody"/>
        <w:bidi w:val="0"/>
        <w:spacing w:lineRule="auto" w:line="343" w:before="200" w:after="0"/>
        <w:ind w:left="0" w:right="0" w:firstLine="475"/>
        <w:jc w:val="left"/>
        <w:rPr>
          <w:rFonts w:ascii="Times New Roman;Times;serif" w:hAnsi="Times New Roman;Times;serif"/>
          <w:spacing w:val="-3"/>
          <w:sz w:val="20"/>
        </w:rPr>
      </w:pPr>
      <w:r>
        <w:rPr>
          <w:rFonts w:ascii="Times New Roman;Times;serif" w:hAnsi="Times New Roman;Times;serif"/>
          <w:spacing w:val="-3"/>
          <w:sz w:val="20"/>
        </w:rPr>
        <w:t xml:space="preserve">The Company granted 0.2 million performance share units during fiscal 2026, 2025, and 2024. During fiscal 2026, 2025, and 2024, the stock-based compensation expense associated with the performance share units was not material. </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13. Commitments and contingencies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r>
        <w:rPr>
          <w:rFonts w:ascii="Times New Roman;Times;serif" w:hAnsi="Times New Roman;Times;serif"/>
          <w:sz w:val="20"/>
          <w:shd w:fill="FFFFFF" w:val="clear"/>
        </w:rPr>
        <w:t xml:space="preserve">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shd w:fill="FFFFFF" w:val="clear"/>
        </w:rPr>
        <w:t>s of June 27, 2026, and June 28, 2025, the Company had aggregate estimated liabilities of $6.2 million and $9.6 million, respectively, classified within accrued expenses and other for such compliance-related matters that were both probable and estimable as of such dates.</w:t>
      </w:r>
    </w:p>
    <w:p>
      <w:pPr>
        <w:pStyle w:val="TextBody"/>
        <w:bidi w:val="0"/>
        <w:spacing w:lineRule="auto" w:line="343" w:before="200" w:after="0"/>
        <w:ind w:left="0" w:right="0" w:firstLine="475"/>
        <w:jc w:val="left"/>
        <w:rPr>
          <w:rFonts w:ascii="Times New Roman;Times;serif" w:hAnsi="Times New Roman;Times;serif"/>
          <w:sz w:val="20"/>
          <w:shd w:fill="FFFFFF" w:val="clear"/>
        </w:rPr>
      </w:pPr>
      <w:r>
        <w:rPr>
          <w:rFonts w:ascii="Times New Roman;Times;serif" w:hAnsi="Times New Roman;Times;serif"/>
          <w:sz w:val="20"/>
          <w:shd w:fill="FFFFFF" w:val="clear"/>
        </w:rPr>
        <w:t>In the ordinary course of business, the Company provides bank guarantees and standby letters of credit issued by financial institutions to support certain obligations. As of June 27, 2026, and June 28, 2025, the aggregate amount of these guarantees was approximately $139.8 million and $118.3 million, respectively. The Company does not expect any material losses to arise from these arrangements, and no material liability has been recorded related to these guarantees.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left"/>
        <w:rPr>
          <w:rFonts w:ascii="Times New Roman;Times;serif" w:hAnsi="Times New Roman;Times;serif"/>
          <w:i/>
          <w:sz w:val="20"/>
        </w:rPr>
      </w:pPr>
      <w:r>
        <w:rPr>
          <w:rFonts w:ascii="Times New Roman;Times;serif" w:hAnsi="Times New Roman;Times;serif"/>
          <w:i/>
          <w:sz w:val="20"/>
        </w:rPr>
        <w:t>Contingent Liability for Mexico Consumption Tax Audit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Company’s facilities in Mexico operate under the IMMEX program, which provides for reduced tariffs and eased import regulations. The Mexican customs and tax authority (Servicio de Administracion Tributaria (SAT)) has been auditing the Company’s participation in the program for the period January 11, 2019, to January 11, 2020. The Company recorded a net loss of $43.4 million within “restructuring, integration and other expenses” in the Company’s consolidated statement of operations in the fourth quarter of fiscal 2025, which was the Company’s best estimate of the losses from this matter incorporating SAT negotiations at that time and the Company’s best estimate of its ability to recover VAT, foreign currency exchange rates at the time of payment or recovery, and any administrative processes or legal appeals. During fiscal 2026, the Company reached a negotiated settlement with SAT for the periods under audit and paid $61.4 million, resulting in a loss of $35.1 million, net of estimated VAT recovery.</w:t>
      </w:r>
    </w:p>
    <w:p>
      <w:pPr>
        <w:pStyle w:val="TextBody"/>
        <w:bidi w:val="0"/>
        <w:spacing w:before="200" w:after="0"/>
        <w:ind w:left="0" w:right="0" w:firstLine="475"/>
        <w:jc w:val="left"/>
        <w:rPr>
          <w:rFonts w:ascii="Times New Roman;Times;serif" w:hAnsi="Times New Roman;Times;serif"/>
          <w:i/>
          <w:sz w:val="20"/>
        </w:rPr>
      </w:pPr>
      <w:r>
        <w:rPr>
          <w:rFonts w:ascii="Times New Roman;Times;serif" w:hAnsi="Times New Roman;Times;serif"/>
          <w:i/>
          <w:sz w:val="20"/>
        </w:rPr>
        <w:t>Gain on Legal Settlements and Other</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fiscal 2024, the Company recorded gains on legal settlements and other of $86.5 million in connection with the settlements of claims filed against certain manufacturers of capacitors. The Company received $90.7 million in cash, of which $86.5 million related to the gain recognized in fiscal 2024. Gains from legal settlements were classified as operating cash flows in the Company’s Consolidated Statements of Cash Flows.</w:t>
      </w:r>
    </w:p>
    <w:p>
      <w:pPr>
        <w:pStyle w:val="TextBody"/>
        <w:bidi w:val="0"/>
        <w:spacing w:lineRule="auto" w:line="343" w:before="0" w:after="0"/>
        <w:ind w:left="0" w:right="0" w:hanging="0"/>
        <w:jc w:val="left"/>
        <w:rPr/>
      </w:pPr>
      <w:r>
        <w:rPr/>
        <w:t>​</w:t>
      </w:r>
    </w:p>
    <w:p>
      <w:pPr>
        <w:pStyle w:val="TextBody"/>
        <w:bidi w:val="0"/>
        <w:spacing w:lineRule="auto" w:line="343" w:before="0" w:after="120"/>
        <w:ind w:left="0" w:right="0" w:hanging="0"/>
        <w:jc w:val="both"/>
        <w:rPr>
          <w:rFonts w:ascii="Times New Roman;Times;serif" w:hAnsi="Times New Roman;Times;serif"/>
          <w:b/>
          <w:sz w:val="20"/>
        </w:rPr>
      </w:pPr>
      <w:bookmarkStart w:id="1223" w:name="Tc_hW0gd3sDDU2t3d-zIlXZCg_15_6"/>
      <w:bookmarkStart w:id="1224" w:name="Tc_o4BydRGXVEOjqiVw6kPbtw_15_3"/>
      <w:bookmarkStart w:id="1225" w:name="Tc__WA-Ed3tjkqUwoNbdDiIXQ_15_0"/>
      <w:bookmarkStart w:id="1226" w:name="Tc_NoAJhATcj0WmKj0PgEF04g_14_8"/>
      <w:bookmarkStart w:id="1227" w:name="Tc_rboYFOl_2k-73HZcz2CMRQ_14_5"/>
      <w:bookmarkStart w:id="1228" w:name="Tc_Aso2fijKDkuNa6e27PlVQQ_14_2"/>
      <w:bookmarkStart w:id="1229" w:name="Tc_kr1z79eUl0-492LA9LSOLg_14_0"/>
      <w:bookmarkStart w:id="1230" w:name="Tc_Xtr-rkC600qflxkYbfUKLQ_13_8"/>
      <w:bookmarkStart w:id="1231" w:name="Tc_gf3Ls_BAZkev9zxm_6hVpw_13_5"/>
      <w:bookmarkStart w:id="1232" w:name="Tc_Qoos000bGES4FyRpnYYxkA_13_2"/>
      <w:bookmarkStart w:id="1233" w:name="Tc_EFU-AxHp9kqqwpuaoVgvBw_13_0"/>
      <w:bookmarkStart w:id="1234" w:name="Tc_TyFmtoXeCUKlRyqJ4-dKGQ_12_0"/>
      <w:bookmarkStart w:id="1235" w:name="Tc_WZ4PhUxiXUantBNoVTsx7w_11_9"/>
      <w:bookmarkStart w:id="1236" w:name="Tc_qImqYF4aPEyPOUUpxUp6Aw_11_6"/>
      <w:bookmarkStart w:id="1237" w:name="Tc_-was-ukny0SaSwL7wMNnbA_11_3"/>
      <w:bookmarkStart w:id="1238" w:name="Tc_UzRyoUyBe0O-jWJ_rAOVqQ_11_0"/>
      <w:bookmarkStart w:id="1239" w:name="Tc_cDEL7V58v0CZLqgeO5Xvtg_10_0"/>
      <w:bookmarkStart w:id="1240" w:name="Tc_nbwsE8TrtE25-gqr-5QNRg_9_0"/>
      <w:bookmarkStart w:id="1241" w:name="Tc_vn3ii8HzVEyp47VD_FoD3A_8_0"/>
      <w:bookmarkStart w:id="1242" w:name="Tc_jkYoPYHjjUCanz80aRnQpQ_6_8"/>
      <w:bookmarkStart w:id="1243" w:name="Tc_rq-dFxzkMk2z77cmbnMwmQ_6_5"/>
      <w:bookmarkStart w:id="1244" w:name="Tc_1z8a2UeH_U-lbJeXIoOXzw_6_2"/>
      <w:bookmarkStart w:id="1245" w:name="Tc_gLE2EE0c8E6diI1u-ycFeA_6_0"/>
      <w:bookmarkStart w:id="1246" w:name="Tc_U1kowEWDSUKO1u2I5Z-EoA_5_0"/>
      <w:bookmarkStart w:id="1247" w:name="Tc_VUJGBrztAUe8a8hPJT6nUg_4_2"/>
      <w:bookmarkStart w:id="1248" w:name="Tc_5KjWDy6xCUuc3pzU3eQ7yw_3_8"/>
      <w:bookmarkStart w:id="1249" w:name="Tc_3MNhyXDwJU6YoKyYVOoMag_3_5"/>
      <w:bookmarkStart w:id="1250" w:name="Tc_cxUpfJbrz0OVJTu_lXMn2g_3_2"/>
      <w:bookmarkStart w:id="1251" w:name="Tc_5cGPzcfKIEebojKdLd6SaQ_2_8"/>
      <w:bookmarkStart w:id="1252" w:name="Tc_ncbIkgHI7Emcaui-c1Nj8w_2_5"/>
      <w:bookmarkStart w:id="1253" w:name="Tc_OZqovQRBwEidMDkBQcH4fw_2_2"/>
      <w:bookmarkStart w:id="1254" w:name="Tc_gW-dFYM66UmilF60TWTEVw_1_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b/>
          <w:sz w:val="20"/>
        </w:rPr>
        <w:t>14.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46"/>
        <w:gridCol w:w="146"/>
        <w:gridCol w:w="211"/>
        <w:gridCol w:w="781"/>
        <w:gridCol w:w="346"/>
        <w:gridCol w:w="211"/>
        <w:gridCol w:w="781"/>
        <w:gridCol w:w="346"/>
        <w:gridCol w:w="211"/>
        <w:gridCol w:w="826"/>
      </w:tblGrid>
      <w:tr>
        <w:trPr/>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29710" cy="175260"/>
                      <wp:effectExtent l="0" t="0" r="0" b="0"/>
                      <wp:wrapNone/>
                      <wp:docPr id="380" name="Frame379"/>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92710" cy="175260"/>
                      <wp:effectExtent l="0" t="0" r="0" b="0"/>
                      <wp:wrapNone/>
                      <wp:docPr id="381" name="Frame3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5935" cy="175260"/>
                      <wp:effectExtent l="0" t="0" r="0" b="0"/>
                      <wp:wrapNone/>
                      <wp:docPr id="383"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95935" cy="175260"/>
                      <wp:effectExtent l="0" t="0" r="0" b="0"/>
                      <wp:wrapNone/>
                      <wp:docPr id="386"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24510" cy="175260"/>
                      <wp:effectExtent l="0" t="0" r="0" b="0"/>
                      <wp:wrapNone/>
                      <wp:docPr id="389" name="Frame38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1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6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6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1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data)</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498,699</w:t>
            </w:r>
          </w:p>
        </w:tc>
      </w:tr>
      <w:tr>
        <w:trPr/>
        <w:tc>
          <w:tcPr>
            <w:tcW w:w="6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basic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90,567</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effect of dilutive stock-based compensation awards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effect of dilutive convertible notes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diluted earnings per share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91,837</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excluded from earnings per share calculation due to an anti-dilutive effect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160" w:after="0"/>
        <w:ind w:left="0" w:right="0" w:firstLine="475"/>
        <w:jc w:val="both"/>
        <w:rPr>
          <w:rFonts w:ascii="Times New Roman;Times;serif" w:hAnsi="Times New Roman;Times;serif"/>
          <w:sz w:val="20"/>
        </w:rPr>
      </w:pPr>
      <w:r>
        <w:rPr>
          <w:rFonts w:ascii="Times New Roman;Times;serif" w:hAnsi="Times New Roman;Times;serif"/>
          <w:sz w:val="20"/>
        </w:rPr>
        <w:t>The Company calculates basic earnings per share, or EPS, by dividing net income by the weighted average number of common shares outstanding during the period. Diluted earnings per share is computed using the treasury stock method for outstanding stock options, restricted stock units, and performance share units and the if-converted method for convertible debt.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1255" w:name="Tc_Kz88SPTcGEiiMEtDRctLNg_18_9"/>
      <w:bookmarkStart w:id="1256" w:name="Tc_Aalq1S81A0qra4O0vP-5kg_18_6"/>
      <w:bookmarkStart w:id="1257" w:name="Tc_rhdNkJF-d0qfcDtTytaGeg_18_2"/>
      <w:bookmarkStart w:id="1258" w:name="Tc_5T5_HwXOKkCY3Q1l2iksxg_18_0"/>
      <w:bookmarkStart w:id="1259" w:name="Tc_41erbZlYXUu4eoJa68uIJQ_17_9"/>
      <w:bookmarkStart w:id="1260" w:name="Tc_oq_tSSKo50CuoqDAAr1kPg_17_6"/>
      <w:bookmarkStart w:id="1261" w:name="Tc_e2jd1BBtFkKouQpLJWTQ9g_17_2"/>
      <w:bookmarkStart w:id="1262" w:name="Tc_BVkTvjHPLE6BbAjQUA5zkw_17_0"/>
      <w:bookmarkStart w:id="1263" w:name="Tc_dyViqvgGz0WGbkrzDZRjSg_16_9"/>
      <w:bookmarkStart w:id="1264" w:name="Tc_Zw5mECL2DEWXL5XZlkhrAg_16_6"/>
      <w:bookmarkStart w:id="1265" w:name="Tc_l6BV4RSYqUa--FKHaCvC4A_16_2"/>
      <w:bookmarkStart w:id="1266" w:name="Tc_ePJs4HaIBUK-BcFlsF1_6Q_16_0"/>
      <w:bookmarkStart w:id="1267" w:name="Tc_YnJjWacqMkiNFaCGiDfK0Q_15_9"/>
      <w:bookmarkStart w:id="1268" w:name="Tc_8Atl146ey0C8oS3Han6kVw_15_6"/>
      <w:bookmarkStart w:id="1269" w:name="Tc_BU-BX-0pDUeVuGw8J3ppTw_15_2"/>
      <w:bookmarkStart w:id="1270" w:name="Tc_2JgfMrE-ak6ov5q0xgc4lQ_15_0"/>
      <w:bookmarkStart w:id="1271" w:name="Tc_B8KPwoGNrEKaInSVRMFwNg_14_0"/>
      <w:bookmarkStart w:id="1272" w:name="Tc_osp75ZUwzkiwUgbUJtT3xQ_13_9"/>
      <w:bookmarkStart w:id="1273" w:name="Tc_RmqirxniqEOKMx5UTtMYog_13_6"/>
      <w:bookmarkStart w:id="1274" w:name="Tc_uHigdZ29okyBoj4CtIelng_13_2"/>
      <w:bookmarkStart w:id="1275" w:name="Tc_W5tM8I4VhEGtIdmy1C7MwQ_13_0"/>
      <w:bookmarkStart w:id="1276" w:name="Tc_P99t-xahHkSdlEWGSKIddQ_12_9"/>
      <w:bookmarkStart w:id="1277" w:name="Tc_KmtubTReRkWleNAA6pyfvQ_12_6"/>
      <w:bookmarkStart w:id="1278" w:name="Tc_1IEgMgfnwkSQM5E5h1krlw_12_2"/>
      <w:bookmarkStart w:id="1279" w:name="Tc_Yu6hjOUwbECkXBg1JgaP_w_12_0"/>
      <w:bookmarkStart w:id="1280" w:name="Tc_0N-xqBlinkOAXRbC051LIQ_11_8"/>
      <w:bookmarkStart w:id="1281" w:name="Tc_T1lBjjKREkSmEn4TI7dzsg_11_5"/>
      <w:bookmarkStart w:id="1282" w:name="Tc_lkBEEZZr9UuyIeuOkmakuA_11_2"/>
      <w:bookmarkStart w:id="1283" w:name="Tc_DQDMW91Ji0qyXBV0rglr_w_11_0"/>
      <w:bookmarkStart w:id="1284" w:name="Tc_OtAaZp6zKke6q_T8xzkP3g_10_8"/>
      <w:bookmarkStart w:id="1285" w:name="Tc_5SOmV2AZZ0O_9-a4LFqmsA_10_5"/>
      <w:bookmarkStart w:id="1286" w:name="Tc_5f2xCWxeU02hasUnnWRpKw_10_2"/>
      <w:bookmarkStart w:id="1287" w:name="Tc_qRZE6nZAwk-Iti58ZLTH4A_10_0"/>
      <w:bookmarkStart w:id="1288" w:name="Tc_z_C1nqwvKEGx33el56ip1A_9_0"/>
      <w:bookmarkStart w:id="1289" w:name="Tc_Hmx9ONhXE0CGxaRdMswJng_8_8"/>
      <w:bookmarkStart w:id="1290" w:name="Tc_TpuBeX27CE608lcgPFofbQ_8_6"/>
      <w:bookmarkStart w:id="1291" w:name="Tc_U4B7sdvnI0e-kkIMr3eQtQ_8_3"/>
      <w:bookmarkStart w:id="1292" w:name="Tc_h8tPI-huJUigqrDbEsmWkA_8_0"/>
      <w:bookmarkStart w:id="1293" w:name="Tc_ydT54Ve5c0qH_bpipSFqTA_7_0"/>
      <w:bookmarkStart w:id="1294" w:name="Tc_a_7-NBH5LkCXRqhn4LLtng_6_8"/>
      <w:bookmarkStart w:id="1295" w:name="Tc_nZCZ3EXO1E-R_ZmNK5_SWA_6_5"/>
      <w:bookmarkStart w:id="1296" w:name="Tc_P5f04iFdo0q7PMSREEfYPw_6_2"/>
      <w:bookmarkStart w:id="1297" w:name="Tc_dsxKLoXcEEKvmJb_aR7mFg_6_0"/>
      <w:bookmarkStart w:id="1298" w:name="Tc_sdZMbXNLlkKu5tOzEajkog_5_0"/>
      <w:bookmarkStart w:id="1299" w:name="Tc_fZyO_4ZkSUGkYm6Cst6mdQ_4_2"/>
      <w:bookmarkStart w:id="1300" w:name="Tc_2TvwrjQ8VUGcbN1UpKBwqg_3_8"/>
      <w:bookmarkStart w:id="1301" w:name="Tc_5zRpi2Mnl0SC8uAG5gJ0CA_3_5"/>
      <w:bookmarkStart w:id="1302" w:name="Tc_DCqhR-LHxEqAksxKd0XSkg_3_2"/>
      <w:bookmarkStart w:id="1303" w:name="Tc_9OYZYKCVcEe27ku-tQeOxg_2_8"/>
      <w:bookmarkStart w:id="1304" w:name="Tc_Y7C68xThp02hW1YKhZZniA_2_5"/>
      <w:bookmarkStart w:id="1305" w:name="Tc_6exwXqw8NU2DsvvDEj1Tnw_2_2"/>
      <w:bookmarkStart w:id="1306" w:name="Tc_AZJwa5KXtke5-wIDWI1spg_1_2"/>
      <w:bookmarkStart w:id="1307" w:name="_3235ce80_a59a_4805_a125_5dc14e4056fe"/>
      <w:bookmarkStart w:id="1308" w:name="Tc_jCWnTHKDiU-rUnWuR41jWg_7_8"/>
      <w:bookmarkStart w:id="1309" w:name="Tc_fv3WoUzGREu9ZTUlTRGgLw_7_5"/>
      <w:bookmarkStart w:id="1310" w:name="Tc_a1yjWGam-EK6c_LGp6Wi2w_7_2"/>
      <w:bookmarkStart w:id="1311" w:name="Tc_-DAOGHbJS0ioeVGzJduxfw_7_0"/>
      <w:bookmarkStart w:id="1312" w:name="Tc_oYfJkuKqRk--GBExRBIGOQ_6_0"/>
      <w:bookmarkStart w:id="1313" w:name="Tc_1AgWSb_ua0W2GKxMxfdJuw_5_0"/>
      <w:bookmarkStart w:id="1314" w:name="Tc_YmdCDUmPd0uXIslBTKfRaw_4_8"/>
      <w:bookmarkStart w:id="1315" w:name="Tc_PwDs7bq2zECDFo0HKuokKQ_4_5"/>
      <w:bookmarkStart w:id="1316" w:name="Tc_pFMbtF6wLEqoD-mbou5-nA_4_2"/>
      <w:bookmarkStart w:id="1317" w:name="Tc_QsPHaGOKJ0OqR12qCZitZg_4_0"/>
      <w:bookmarkStart w:id="1318" w:name="Tc_FKXBKbjmv06kW7STGNfq7A_3_2"/>
      <w:bookmarkStart w:id="1319" w:name="Tc_Ke44QVW1fUyZPixtdmN1PA_2_8"/>
      <w:bookmarkStart w:id="1320" w:name="Tc_jzQeELA8n02kKbuKzNuY_g_2_5"/>
      <w:bookmarkStart w:id="1321" w:name="Tc_IS9AEagfykaWxOUlHvz8BA_2_2"/>
      <w:bookmarkStart w:id="1322" w:name="Tc_cCEYjT-4gU-gP8_wTYiuNA_1_8"/>
      <w:bookmarkStart w:id="1323" w:name="Tc_ukgavhpvSUmz1Z-0BuYGFQ_1_5"/>
      <w:bookmarkStart w:id="1324" w:name="Tc_oAp8xVKoyUCsMvnsJ7fTLg_1_2"/>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b/>
          <w:sz w:val="20"/>
        </w:rPr>
        <w:t>15. Additional cash flow information</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“Other, net” component of non-cash and other reconciling items within operating activities in the consolidated statements of cash flows consisted of the following during the last three fiscal years:</w:t>
      </w:r>
    </w:p>
    <w:p>
      <w:pPr>
        <w:pStyle w:val="TextBody"/>
        <w:bidi w:val="0"/>
        <w:spacing w:lineRule="atLeast" w:line="200" w:before="0" w:after="0"/>
        <w:ind w:left="0" w:right="0" w:hanging="0"/>
        <w:jc w:val="left"/>
        <w:rPr/>
      </w:pPr>
      <w:r>
        <w:rPr/>
        <w:t>​</w:t>
      </w:r>
    </w:p>
    <w:tbl>
      <w:tblPr>
        <w:tblW w:w="6606" w:type="dxa"/>
        <w:jc w:val="left"/>
        <w:tblInd w:w="0" w:type="dxa"/>
        <w:tblLayout w:type="fixed"/>
        <w:tblCellMar>
          <w:top w:w="0" w:type="dxa"/>
          <w:left w:w="0" w:type="dxa"/>
          <w:bottom w:w="0" w:type="dxa"/>
          <w:right w:w="0" w:type="dxa"/>
        </w:tblCellMar>
      </w:tblPr>
      <w:tblGrid>
        <w:gridCol w:w="2596"/>
        <w:gridCol w:w="346"/>
        <w:gridCol w:w="211"/>
        <w:gridCol w:w="796"/>
        <w:gridCol w:w="346"/>
        <w:gridCol w:w="211"/>
        <w:gridCol w:w="676"/>
        <w:gridCol w:w="346"/>
        <w:gridCol w:w="211"/>
        <w:gridCol w:w="676"/>
        <w:gridCol w:w="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648460" cy="175260"/>
                      <wp:effectExtent l="0" t="0" r="0" b="0"/>
                      <wp:wrapNone/>
                      <wp:docPr id="390" name="Frame38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5460" cy="175260"/>
                      <wp:effectExtent l="0" t="0" r="0" b="0"/>
                      <wp:wrapNone/>
                      <wp:docPr id="393" name="Frame3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29260" cy="175260"/>
                      <wp:effectExtent l="0" t="0" r="0" b="0"/>
                      <wp:wrapNone/>
                      <wp:docPr id="396" name="Frame3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9260" cy="175260"/>
                      <wp:effectExtent l="0" t="0" r="0" b="0"/>
                      <wp:wrapNone/>
                      <wp:docPr id="399" name="Frame3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21285" cy="175260"/>
                      <wp:effectExtent l="0" t="0" r="0" b="0"/>
                      <wp:wrapNone/>
                      <wp:docPr id="400" name="Frame3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c>
          <w:tcPr>
            <w:tcW w:w="191"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91" w:type="dxa"/>
            <w:tcBorders/>
            <w:vAlign w:val="center"/>
          </w:tcPr>
          <w:p>
            <w:pPr>
              <w:pStyle w:val="TableContents"/>
              <w:bidi w:val="0"/>
              <w:spacing w:before="0" w:after="0"/>
              <w:ind w:left="0" w:right="0" w:hanging="0"/>
              <w:jc w:val="center"/>
              <w:rPr/>
            </w:pPr>
            <w:r>
              <w:rPr/>
              <w:t> </w:t>
            </w:r>
          </w:p>
        </w:tc>
      </w:tr>
      <w:tr>
        <w:trPr/>
        <w:tc>
          <w:tcPr>
            <w:tcW w:w="660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7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Periodic pension cost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19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Non-cash investing and financing activities and supplemental cash flow information were as follows:</w:t>
      </w:r>
    </w:p>
    <w:p>
      <w:pPr>
        <w:pStyle w:val="TextBody"/>
        <w:bidi w:val="0"/>
        <w:spacing w:before="0" w:after="0"/>
        <w:ind w:left="0" w:right="0" w:hanging="0"/>
        <w:jc w:val="left"/>
        <w:rPr/>
      </w:pPr>
      <w:r>
        <w:rPr/>
        <w:t>​</w:t>
      </w:r>
    </w:p>
    <w:tbl>
      <w:tblPr>
        <w:tblW w:w="7739" w:type="dxa"/>
        <w:jc w:val="left"/>
        <w:tblInd w:w="0" w:type="dxa"/>
        <w:tblLayout w:type="fixed"/>
        <w:tblCellMar>
          <w:top w:w="0" w:type="dxa"/>
          <w:left w:w="0" w:type="dxa"/>
          <w:bottom w:w="0" w:type="dxa"/>
          <w:right w:w="0" w:type="dxa"/>
        </w:tblCellMar>
      </w:tblPr>
      <w:tblGrid>
        <w:gridCol w:w="3571"/>
        <w:gridCol w:w="346"/>
        <w:gridCol w:w="211"/>
        <w:gridCol w:w="781"/>
        <w:gridCol w:w="346"/>
        <w:gridCol w:w="211"/>
        <w:gridCol w:w="781"/>
        <w:gridCol w:w="346"/>
        <w:gridCol w:w="211"/>
        <w:gridCol w:w="781"/>
        <w:gridCol w:w="154"/>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267585" cy="175260"/>
                      <wp:effectExtent l="0" t="0" r="0" b="0"/>
                      <wp:wrapNone/>
                      <wp:docPr id="401" name="Frame400"/>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4" name="Frame4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95935" cy="175260"/>
                      <wp:effectExtent l="0" t="0" r="0" b="0"/>
                      <wp:wrapNone/>
                      <wp:docPr id="407" name="Frame4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95935" cy="175260"/>
                      <wp:effectExtent l="0" t="0" r="0" b="0"/>
                      <wp:wrapNone/>
                      <wp:docPr id="410" name="Frame4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7790" cy="175260"/>
                      <wp:effectExtent l="0" t="0" r="0" b="0"/>
                      <wp:wrapNone/>
                      <wp:docPr id="411" name="Frame4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68"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773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6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incurred but not paid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20,451</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Financing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Unsettled share repurchases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287,592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351,374</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payments, net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208,585</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55,090</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State </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Taiwan</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11,774</w:t>
            </w:r>
          </w:p>
        </w:tc>
        <w:tc>
          <w:tcPr>
            <w:tcW w:w="346" w:type="dxa"/>
            <w:tcBorders/>
            <w:shd w:fill="CCEEFF" w:val="clear"/>
            <w:vAlign w:val="center"/>
          </w:tcPr>
          <w:p>
            <w:pPr>
              <w:pStyle w:val="TableContents"/>
              <w:bidi w:val="0"/>
              <w:spacing w:before="0" w:after="0"/>
              <w:ind w:left="0" w:right="0" w:hanging="0"/>
              <w:jc w:val="right"/>
              <w:rPr>
                <w:color w:val="A6A6A6"/>
              </w:rPr>
            </w:pPr>
            <w:r>
              <w:rPr>
                <w:color w:val="A6A6A6"/>
              </w:rPr>
              <w:t>​</w:t>
            </w:r>
          </w:p>
        </w:tc>
        <w:tc>
          <w:tcPr>
            <w:tcW w:w="211"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8,231</w:t>
            </w:r>
          </w:p>
        </w:tc>
        <w:tc>
          <w:tcPr>
            <w:tcW w:w="346" w:type="dxa"/>
            <w:tcBorders/>
            <w:vAlign w:val="center"/>
          </w:tcPr>
          <w:p>
            <w:pPr>
              <w:pStyle w:val="TableContents"/>
              <w:bidi w:val="0"/>
              <w:spacing w:before="0" w:after="0"/>
              <w:ind w:left="0" w:right="0" w:hanging="0"/>
              <w:jc w:val="right"/>
              <w:rPr>
                <w:color w:val="A6A6A6"/>
              </w:rPr>
            </w:pPr>
            <w:r>
              <w:rPr>
                <w:color w:val="A6A6A6"/>
              </w:rPr>
              <w:t>​</w:t>
            </w:r>
          </w:p>
        </w:tc>
        <w:tc>
          <w:tcPr>
            <w:tcW w:w="211" w:type="dxa"/>
            <w:tcBorders/>
            <w:vAlign w:val="center"/>
          </w:tcPr>
          <w:p>
            <w:pPr>
              <w:pStyle w:val="TableContents"/>
              <w:bidi w:val="0"/>
              <w:spacing w:before="0" w:after="0"/>
              <w:ind w:left="0" w:right="0" w:hanging="0"/>
              <w:jc w:val="right"/>
              <w:rPr>
                <w:color w:val="A6A6A6"/>
              </w:rPr>
            </w:pPr>
            <w:r>
              <w:rPr>
                <w:color w:val="A6A6A6"/>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Israel</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8,128</w:t>
            </w:r>
          </w:p>
        </w:tc>
        <w:tc>
          <w:tcPr>
            <w:tcW w:w="346" w:type="dxa"/>
            <w:tcBorders/>
            <w:shd w:fill="CCEEFF" w:val="clear"/>
            <w:vAlign w:val="center"/>
          </w:tcPr>
          <w:p>
            <w:pPr>
              <w:pStyle w:val="TableContents"/>
              <w:bidi w:val="0"/>
              <w:spacing w:before="0" w:after="0"/>
              <w:ind w:left="0" w:right="0" w:hanging="0"/>
              <w:jc w:val="right"/>
              <w:rPr>
                <w:color w:val="A6A6A6"/>
              </w:rPr>
            </w:pPr>
            <w:r>
              <w:rPr>
                <w:color w:val="A6A6A6"/>
              </w:rPr>
              <w:t>​</w:t>
            </w:r>
          </w:p>
        </w:tc>
        <w:tc>
          <w:tcPr>
            <w:tcW w:w="211"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20,740</w:t>
            </w:r>
          </w:p>
        </w:tc>
        <w:tc>
          <w:tcPr>
            <w:tcW w:w="346" w:type="dxa"/>
            <w:tcBorders/>
            <w:vAlign w:val="center"/>
          </w:tcPr>
          <w:p>
            <w:pPr>
              <w:pStyle w:val="TableContents"/>
              <w:bidi w:val="0"/>
              <w:spacing w:before="0" w:after="0"/>
              <w:ind w:left="0" w:right="0" w:hanging="0"/>
              <w:jc w:val="right"/>
              <w:rPr>
                <w:color w:val="A6A6A6"/>
              </w:rPr>
            </w:pPr>
            <w:r>
              <w:rPr>
                <w:color w:val="A6A6A6"/>
              </w:rPr>
              <w:t>​</w:t>
            </w:r>
          </w:p>
        </w:tc>
        <w:tc>
          <w:tcPr>
            <w:tcW w:w="211" w:type="dxa"/>
            <w:tcBorders/>
            <w:vAlign w:val="center"/>
          </w:tcPr>
          <w:p>
            <w:pPr>
              <w:pStyle w:val="TableContents"/>
              <w:bidi w:val="0"/>
              <w:spacing w:before="0" w:after="0"/>
              <w:ind w:left="0" w:right="0" w:hanging="0"/>
              <w:jc w:val="right"/>
              <w:rPr>
                <w:color w:val="A6A6A6"/>
              </w:rPr>
            </w:pPr>
            <w:r>
              <w:rPr>
                <w:color w:val="A6A6A6"/>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hanging="0"/>
        <w:jc w:val="left"/>
        <w:rPr/>
      </w:pPr>
      <w:r>
        <w:rPr/>
        <w:t>​</w:t>
      </w:r>
    </w:p>
    <w:p>
      <w:pPr>
        <w:pStyle w:val="TextBody"/>
        <w:bidi w:val="0"/>
        <w:spacing w:lineRule="atLeast" w:line="200"/>
        <w:ind w:left="0" w:right="0" w:hanging="0"/>
        <w:jc w:val="left"/>
        <w:rPr>
          <w:rFonts w:ascii="Times New Roman;Times;serif" w:hAnsi="Times New Roman;Times;serif"/>
          <w:sz w:val="20"/>
        </w:rPr>
      </w:pPr>
      <w:r>
        <w:rPr>
          <w:rFonts w:ascii="Times New Roman;Times;serif" w:hAnsi="Times New Roman;Times;serif"/>
          <w:sz w:val="14"/>
        </w:rPr>
        <w:t>(1)</w:t>
      </w:r>
      <w:r>
        <w:rPr>
          <w:rFonts w:ascii="Times New Roman;Times;serif" w:hAnsi="Times New Roman;Times;serif"/>
          <w:sz w:val="20"/>
        </w:rPr>
        <w:t xml:space="preserve"> </w:t>
      </w:r>
      <w:r>
        <w:rPr>
          <w:rFonts w:ascii="Times New Roman;Times;serif" w:hAnsi="Times New Roman;Times;serif"/>
          <w:sz w:val="18"/>
        </w:rPr>
        <w:t>The Company adopted ASU 2023-09 on a prospective basis. As such, cash paid for income taxes for fiscal years 2025 and 2024 were not adjusted to reflect current year presentation.</w:t>
      </w:r>
    </w:p>
    <w:p>
      <w:pPr>
        <w:pStyle w:val="TextBody"/>
        <w:bidi w:val="0"/>
        <w:spacing w:lineRule="auto" w:line="343" w:before="160" w:after="0"/>
        <w:ind w:left="0" w:right="0" w:firstLine="475"/>
        <w:jc w:val="left"/>
        <w:rPr>
          <w:rFonts w:ascii="Times New Roman;Times;serif" w:hAnsi="Times New Roman;Times;serif"/>
          <w:sz w:val="20"/>
        </w:rPr>
      </w:pPr>
      <w:r>
        <w:rPr>
          <w:rFonts w:ascii="Times New Roman;Times;serif" w:hAnsi="Times New Roman;Times;serif"/>
          <w:sz w:val="20"/>
        </w:rPr>
        <w:t>The Company includes book overdrafts as part of accounts payable on its consolidated balance sheets and reflects changes in such balances as part of cash flows from operating activities in its consolidated statements of cash flows.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b/>
          <w:sz w:val="20"/>
        </w:rPr>
      </w:pPr>
      <w:r>
        <w:rPr>
          <w:rFonts w:ascii="Times New Roman;Times;serif" w:hAnsi="Times New Roman;Times;serif"/>
          <w:b/>
          <w:sz w:val="20"/>
        </w:rPr>
        <w:t>16. Segment information</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Avnet has two primary reportable segments — Electronic Components (“EC”) and Farnell (“Farnell”). Both reportable segments aggregate the operating segments in each of the three major economic regions of the world: (i) the Americas, (ii) EMEA, and (iii) Asia. Each operating segment has its own management team, who manage various functions within each operating segment. Each reportable and operating segment also has distinct financial reporting to the executive level, which informs operating decisions, strategic planning, and resource allocation for the Company as a whole. The company concluded that identifying operating segments by major geographic region within each of the company’s major businesses was consistent with ASC 280 and it has aggregated geographic operating segments within EC and Farnell reportable segments based on similar characteristics including long-term financial performance, the nature of products and services provided, process for delivering those products and services, and types of customers.</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Avnet’s EC reportable segment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 EC serves a variety of markets ranging from industrial to automotive to defense and aerospace. It offers an array of customer support options throughout the entire product lifecycle, including both turnkey and customized design, supply chain, programming, and logistics services. Within the EC reportable segment for 2026, net sales of approximately $21.38 billion consist of semiconductor products, approximately $3.96 billion consist of interconnect, passive, and electromechanical components, and approximately $378.3 million consist of computers, and approximately $138.1 million consists of other products and services. Within the EC reportable segment for 2025, net sales of approximately $17.00 billion consist of semiconductor products, approximately $3.30 billion consist of interconnect, passive, and electromechanical components, and approximately $371.8 million consist of computers, and approximately $85.6 million consists of other products and services. Within the EC reportable segment for 2024, net sales of approximately $18.77 billion consist of semiconductor products, approximately $3.03 billion consist of interconnect, passive, and electromechanical components, and approximately $304.9 million consist of computers, and approximately $54.9 million consists of other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z w:val="20"/>
        </w:rPr>
      </w:pPr>
      <w:r>
        <w:rPr>
          <w:rFonts w:ascii="Times New Roman;Times;serif" w:hAnsi="Times New Roman;Times;serif"/>
          <w:sz w:val="20"/>
        </w:rPr>
        <w:t>Avnet’s Farnell reportable segment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 Within the Farnell reportable segment for 2026, net sales of approximately $335.4 million consists of semiconductor products, approximately $645.3 million consists of interconnect, passive, and electromechanical components, approximately $223.3 million consists of single-board computers, and approximately $576.8 million consists of other products and services, including test and measurement and maintenance, repair, and operations products. Within the Farnell reportable segment for 2025, net sales of approximately $206.9 million consists of semiconductor products, approximately $680.3 million consists of interconnect, passive, and electromechanical components, approximately $157.0 million consists of single-board computers, and approximately $401.6 million consists of other products and services, including test and measurement and maintenance, repair, and operations products. Within the Farnell reportable segment for 2024, net sales of approximately $257.6 million consists of semiconductor products, approximately $718.3 million consists of interconnect, passive, and electromechanical components, approximately $77.9 million consists of single-board computers, and approximately $543.3 million consists of other products and services, including test and measurement and maintenance, repair, and operations products.</w:t>
      </w:r>
    </w:p>
    <w:p>
      <w:pPr>
        <w:pStyle w:val="TextBody"/>
        <w:bidi w:val="0"/>
        <w:spacing w:lineRule="auto" w:line="343" w:before="200" w:after="120"/>
        <w:ind w:left="0" w:right="0" w:firstLine="475"/>
        <w:jc w:val="left"/>
        <w:rPr>
          <w:rFonts w:ascii="Times New Roman;Times;serif" w:hAnsi="Times New Roman;Times;serif"/>
          <w:sz w:val="20"/>
        </w:rPr>
      </w:pPr>
      <w:r>
        <w:rPr>
          <w:rFonts w:ascii="Times New Roman;Times;serif" w:hAnsi="Times New Roman;Times;serif"/>
          <w:sz w:val="20"/>
        </w:rPr>
        <w:t xml:space="preserve">The Company has identified its Chief Executive Officer (“CEO”) as the chief operating decision maker (“CODM”). The CODM evaluates the performance of operating and reportable segments based on operating income. Sales, cost of goods sold, and operating expenses are also monitored closely. This information is used to monitor operating margins, measure segment profitability, allocate resources, and make budgeting and forecasting decisions about the reportable segments. The CODM also uses these measures to monitor trends in year over year performance comparisons, sequential quarter performance comparisons, and to compare actual results to forecasts.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0"/>
        <w:ind w:left="0" w:right="0" w:firstLine="475"/>
        <w:jc w:val="both"/>
        <w:rPr/>
      </w:pPr>
      <w:bookmarkStart w:id="1325" w:name="Tc_fbrkVsdg6EGL-m67jztTGQ_53_8"/>
      <w:bookmarkStart w:id="1326" w:name="Tc_nRagAiTPvE20Ru2HUTPhZQ_53_5"/>
      <w:bookmarkStart w:id="1327" w:name="Tc_8IOyd6HXR0K3l-3cO3zbLg_53_2"/>
      <w:bookmarkStart w:id="1328" w:name="Tc_IDWOYJc0iUitqHp6V4xvcg_52_0"/>
      <w:bookmarkStart w:id="1329" w:name="Tc_oU37Y7cM1UuvZvK4kZKmnQ_51_0"/>
      <w:bookmarkStart w:id="1330" w:name="Tc_hEp1K8yeAEC6aGxWf51wFQ_50_8"/>
      <w:bookmarkStart w:id="1331" w:name="Tc_t5RPd_rQq0i_GCsYukvJ7w_50_5"/>
      <w:bookmarkStart w:id="1332" w:name="Tc_xLjQD04XekCJG9Dx-ye6Lw_50_2"/>
      <w:bookmarkStart w:id="1333" w:name="Tc_Xwjhx-fO4EemLNnqzKv7Yw_50_0"/>
      <w:bookmarkStart w:id="1334" w:name="Tc_d2Byn8Oyo0-122Vm8huhQg_49_0"/>
      <w:bookmarkStart w:id="1335" w:name="Tc_PIpn5MhxSEGdJWbhk-SB2w_48_8"/>
      <w:bookmarkStart w:id="1336" w:name="Tc_MtxpEGTub0ekzkxTj8Rriw_48_5"/>
      <w:bookmarkStart w:id="1337" w:name="Tc_t___TnkeEE2KRyDQjD7Znw_48_2"/>
      <w:bookmarkStart w:id="1338" w:name="Tc_O3NCz4ql0UuoYnshonnkIg_47_0"/>
      <w:bookmarkStart w:id="1339" w:name="Tc_5a77jBlGeEqtzzhnnWTodw_46_0"/>
      <w:bookmarkStart w:id="1340" w:name="Tc_QIYxTmsPKEKiOaPo-jlqsA_45_8"/>
      <w:bookmarkStart w:id="1341" w:name="Tc_aPitYF9v30uO0zeaV7XB_g_45_5"/>
      <w:bookmarkStart w:id="1342" w:name="Tc_C-NjGWUWaEugori0mqT37g_45_2"/>
      <w:bookmarkStart w:id="1343" w:name="Tc_zWqAvl7hOkaCM_zc0jcKmA_45_0"/>
      <w:bookmarkStart w:id="1344" w:name="Tc_7SKPELa-pECB0Up0lNTKbw_44_0"/>
      <w:bookmarkStart w:id="1345" w:name="Tc_EcoXEHQSd0CuGoFq_nEYrQ_43_8"/>
      <w:bookmarkStart w:id="1346" w:name="Tc_cRt39NEmQkOJYqWHN8LLbQ_43_5"/>
      <w:bookmarkStart w:id="1347" w:name="Tc_U1VrVnClQEq3uAS0QSqxpA_43_2"/>
      <w:bookmarkStart w:id="1348" w:name="Tc_UTeQPKaVnkiaooVD61cocQ_42_0"/>
      <w:bookmarkStart w:id="1349" w:name="Tc_dikJDKAnLE2hI2-Uz2zl-g_41_0"/>
      <w:bookmarkStart w:id="1350" w:name="Tc_MY1JAxhhH06ocvmTuA7zYg_40_8"/>
      <w:bookmarkStart w:id="1351" w:name="Tc_3qN58Sjr3kynnTj6aekoog_40_5"/>
      <w:bookmarkStart w:id="1352" w:name="Tc_ZlPVgiT1DkqeQ97T1JV_FA_40_2"/>
      <w:bookmarkStart w:id="1353" w:name="Tc_A512PGSz6E2OBRF-ZOg9lA_40_0"/>
      <w:bookmarkStart w:id="1354" w:name="Tc_6rUqtakTo0enu1AsFJyL1Q_39_0"/>
      <w:bookmarkStart w:id="1355" w:name="Tc_ksA6sPnWD0mbFuwcEZrPYw_38_8"/>
      <w:bookmarkStart w:id="1356" w:name="Tc_LwUxF0OVpU6KZMw_ICaT1g_38_5"/>
      <w:bookmarkStart w:id="1357" w:name="Tc_NgujT0vpekmdUVHJECtnLg_38_2"/>
      <w:bookmarkStart w:id="1358" w:name="Tc_as0E-pWua0GAfyX269NKEg_37_0"/>
      <w:bookmarkStart w:id="1359" w:name="Tc_x6ynW8BizUmy3FBqBcLDuA_36_0"/>
      <w:bookmarkStart w:id="1360" w:name="Tc_gg8yJ4cnake4OW_4Uskivg_35_8"/>
      <w:bookmarkStart w:id="1361" w:name="Tc_RiAwVBOBmkO0c-kBGM9dzA_35_5"/>
      <w:bookmarkStart w:id="1362" w:name="Tc_MBBIAkS0IUWtdzic14F1lA_35_2"/>
      <w:bookmarkStart w:id="1363" w:name="Tc_cQSjB9opMECJGN9wxUrSxQ_35_0"/>
      <w:bookmarkStart w:id="1364" w:name="Tc_XB_2Mjyo2kKloh_-Vf_NZg_34_0"/>
      <w:bookmarkStart w:id="1365" w:name="Tc_wiO_68L7rESZyCyXxF8fzw_33_8"/>
      <w:bookmarkStart w:id="1366" w:name="Tc_Gumky6YX2kGfBBpTHqZotA_33_5"/>
      <w:bookmarkStart w:id="1367" w:name="Tc_N9J-botnGECmOn5xseM2yQ_33_2"/>
      <w:bookmarkStart w:id="1368" w:name="Tc_sEzG0yMdD0WJzk4HxI9jYA_32_0"/>
      <w:bookmarkStart w:id="1369" w:name="Tc_eXJmOgcW6kyI3_bEk4KpRA_31_0"/>
      <w:bookmarkStart w:id="1370" w:name="Tc_rQch5AS3HUma3qwkUz1aGA_30_8"/>
      <w:bookmarkStart w:id="1371" w:name="Tc_Qy4BPEnNhEyNGQxcK9LjVg_30_5"/>
      <w:bookmarkStart w:id="1372" w:name="Tc_jg05eIJclkuZFmU0qAoKIA_30_2"/>
      <w:bookmarkStart w:id="1373" w:name="Tc_U2GdCVUYOUqRCAMFN0ybww_30_0"/>
      <w:bookmarkStart w:id="1374" w:name="Tc_uabHJ4hD70uG554zQAm44w_29_0"/>
      <w:bookmarkStart w:id="1375" w:name="Tc_7R_OPiFmKkK_3MWr0XibKw_27_8"/>
      <w:bookmarkStart w:id="1376" w:name="Tc_JCvgGyWd9E2MX7IDl0GGbA_27_5"/>
      <w:bookmarkStart w:id="1377" w:name="Tc_ZQ-85HsyLkeHChSD_FmH5A_27_2"/>
      <w:bookmarkStart w:id="1378" w:name="Tc_b_gxbcVdmkashrL70EoWUg_27_0"/>
      <w:bookmarkStart w:id="1379" w:name="Tc_TYzfQw8hR0-Mk9-4-TZl6w_26_0"/>
      <w:bookmarkStart w:id="1380" w:name="Tc_wTU6LSBhAkG_ko9gghSXlA_25_0"/>
      <w:bookmarkStart w:id="1381" w:name="Tc_GjM5TIru20OKyBSHrnPG7A_24_8"/>
      <w:bookmarkStart w:id="1382" w:name="Tc_FDKExvove0u8QroEEC0G5g_24_5"/>
      <w:bookmarkStart w:id="1383" w:name="Tc_cCYJaLxQIUu2EVkO07tfIw_24_2"/>
      <w:bookmarkStart w:id="1384" w:name="Tc_AcbPu8whCEC2jUjt_RluZQ_24_0"/>
      <w:bookmarkStart w:id="1385" w:name="Tc_yS8TgjR9qEacL5U63KNM0Q_23_0"/>
      <w:bookmarkStart w:id="1386" w:name="Tc_U_Hio5otK0CrYGkCu-3qXQ_21_8"/>
      <w:bookmarkStart w:id="1387" w:name="Tc_MpEg5oT7A0i6fc5g6lIVNw_21_5"/>
      <w:bookmarkStart w:id="1388" w:name="Tc_dtLf65vu8UqysCJQ4qF7tA_21_2"/>
      <w:bookmarkStart w:id="1389" w:name="Tc_6g4bXkKrtEmrX7XT6K9oCw_21_0"/>
      <w:bookmarkStart w:id="1390" w:name="Tc__7VMl78xeUKJgzda4ZSJnw_19_8"/>
      <w:bookmarkStart w:id="1391" w:name="Tc_Xv0eAfSatEGBbdf1NoBUQg_19_5"/>
      <w:bookmarkStart w:id="1392" w:name="Tc_QMl_82gHW02MfkJQ_zKfgw_19_2"/>
      <w:bookmarkStart w:id="1393" w:name="Tc_NLETGqikSUWzMavxqLFZNQ_19_0"/>
      <w:bookmarkStart w:id="1394" w:name="Tc_iU5iPBeMY0ySBjteIFZjzA_18_0"/>
      <w:bookmarkStart w:id="1395" w:name="Tc_SHSwNQ0CpE2r7PHBHevT5A_17_8"/>
      <w:bookmarkStart w:id="1396" w:name="Tc_P7VBd0W9mUKyF9AcZOrsog_17_5"/>
      <w:bookmarkStart w:id="1397" w:name="Tc_ADUfISrrNU-I0HQvnMvOzw_17_2"/>
      <w:bookmarkStart w:id="1398" w:name="Tc_8hXidLgC0UOtIp0rLdXvvw_17_0"/>
      <w:bookmarkStart w:id="1399" w:name="Tc_xCAVotpWVkuYX-OgAAdMQg_16_0"/>
      <w:bookmarkStart w:id="1400" w:name="Tc_YmLnyNjiH0aSS-xaXhFnVQ_14_8"/>
      <w:bookmarkStart w:id="1401" w:name="Tc_LvIDdAQEgkiQkHEr2kLnaw_14_5"/>
      <w:bookmarkStart w:id="1402" w:name="Tc_ziMvHhHmqEOFfbiD-NlveQ_14_2"/>
      <w:bookmarkStart w:id="1403" w:name="Tc_RUxx3JnnM0uy8sJGlkGZsA_14_0"/>
      <w:bookmarkStart w:id="1404" w:name="Tc_vljuTCXLZk-xUCVOTxYXeA_13_0"/>
      <w:bookmarkStart w:id="1405" w:name="Tc_o6ocPonDVk6nu2fkDp2wKQ_12_8"/>
      <w:bookmarkStart w:id="1406" w:name="Tc_zO48BkyWs06lY1H0xBC0Rw_12_5"/>
      <w:bookmarkStart w:id="1407" w:name="Tc_WjE6q70ZxEu6m1ioxLMw0g_12_2"/>
      <w:bookmarkStart w:id="1408" w:name="Tc_dGigztvm30-8v9N1SHJWoQ_12_0"/>
      <w:bookmarkStart w:id="1409" w:name="Tc_vzBaMZ0kAUK-qWLgJKk8iw_11_0"/>
      <w:bookmarkStart w:id="1410" w:name="Tc_lG3vNNriuUmKGHIHNUnhMQ_10_0"/>
      <w:bookmarkStart w:id="1411" w:name="Tc_KwhFj4t4UUafsvvdZQ2CnQ_8_8"/>
      <w:bookmarkStart w:id="1412" w:name="Tc_rwhVrwMldEGr9nCoFYf-5A_8_5"/>
      <w:bookmarkStart w:id="1413" w:name="Tc_1bVNC3Fkl0W7cREXX1ylGw_8_2"/>
      <w:bookmarkStart w:id="1414" w:name="Tc_KFqQuEpGpkKyC4d1emstjg_8_0"/>
      <w:bookmarkStart w:id="1415" w:name="Tc_77GymoldHkitWYv23FQAcA_7_0"/>
      <w:bookmarkStart w:id="1416" w:name="Tc_JrgQijAuj0et68ndlVFpjA_6_8"/>
      <w:bookmarkStart w:id="1417" w:name="Tc_lLe8acVqhU6CPbzXhTozYA_6_5"/>
      <w:bookmarkStart w:id="1418" w:name="Tc_I0HIMWgaGkOXe74gBAmn4Q_6_2"/>
      <w:bookmarkStart w:id="1419" w:name="Tc_Hz1SWjn09kC2dfazSvWmHw_6_0"/>
      <w:bookmarkStart w:id="1420" w:name="Tc_geqr6KmxyUOV7-KC0-6JoQ_5_0"/>
      <w:bookmarkStart w:id="1421" w:name="Tc_d1V8AQompkW76nlzFcUbNA_4_2"/>
      <w:bookmarkStart w:id="1422" w:name="Tc_oF4g5pmuQ0yXI4s1MrWtZw_3_8"/>
      <w:bookmarkStart w:id="1423" w:name="Tc_PvR3gNISLkSuE-6c3DAqpg_3_5"/>
      <w:bookmarkStart w:id="1424" w:name="Tc_IqrHLuOP80aJOA5JPOgEdg_3_2"/>
      <w:bookmarkStart w:id="1425" w:name="Tc_H-ylWP8cT0-sLBNc26Z9zA_2_8"/>
      <w:bookmarkStart w:id="1426" w:name="Tc_eQ6C1riLck-HxdFCdjLB2A_2_5"/>
      <w:bookmarkStart w:id="1427" w:name="Tc_h5d2mmwhiE2Idd8-_3zXvA_2_2"/>
      <w:bookmarkStart w:id="1428" w:name="Tc_o8gd1Rvf0kqpYi6Tr-rN5g_1_2"/>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r>
        <w:rPr/>
        <w:t>​</w:t>
      </w:r>
    </w:p>
    <w:tbl>
      <w:tblPr>
        <w:tblW w:w="8961" w:type="dxa"/>
        <w:jc w:val="left"/>
        <w:tblInd w:w="0" w:type="dxa"/>
        <w:tblLayout w:type="fixed"/>
        <w:tblCellMar>
          <w:top w:w="0" w:type="dxa"/>
          <w:left w:w="0" w:type="dxa"/>
          <w:bottom w:w="0" w:type="dxa"/>
          <w:right w:w="0" w:type="dxa"/>
        </w:tblCellMar>
      </w:tblPr>
      <w:tblGrid>
        <w:gridCol w:w="4621"/>
        <w:gridCol w:w="346"/>
        <w:gridCol w:w="211"/>
        <w:gridCol w:w="826"/>
        <w:gridCol w:w="346"/>
        <w:gridCol w:w="211"/>
        <w:gridCol w:w="826"/>
        <w:gridCol w:w="346"/>
        <w:gridCol w:w="211"/>
        <w:gridCol w:w="826"/>
        <w:gridCol w:w="191"/>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934335" cy="175260"/>
                      <wp:effectExtent l="0" t="0" r="0" b="0"/>
                      <wp:wrapNone/>
                      <wp:docPr id="412" name="Frame411"/>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24510" cy="175260"/>
                      <wp:effectExtent l="0" t="0" r="0" b="0"/>
                      <wp:wrapNone/>
                      <wp:docPr id="415" name="Frame4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24510" cy="175260"/>
                      <wp:effectExtent l="0" t="0" r="0" b="0"/>
                      <wp:wrapNone/>
                      <wp:docPr id="418" name="Frame4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24510" cy="175260"/>
                      <wp:effectExtent l="0" t="0" r="0" b="0"/>
                      <wp:wrapNone/>
                      <wp:docPr id="421" name="Frame4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1285" cy="175260"/>
                      <wp:effectExtent l="0" t="0" r="0" b="0"/>
                      <wp:wrapNone/>
                      <wp:docPr id="422" name="Frame4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tLeast" w:line="20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center"/>
              <w:rPr/>
            </w:pPr>
            <w:r>
              <w:rPr/>
              <w:t>​</w:t>
            </w:r>
          </w:p>
        </w:tc>
        <w:tc>
          <w:tcPr>
            <w:tcW w:w="3803" w:type="dxa"/>
            <w:gridSpan w:val="8"/>
            <w:tcBorders>
              <w:bottom w:val="single" w:sz="1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c>
          <w:tcPr>
            <w:tcW w:w="191" w:type="dxa"/>
            <w:tcBorders/>
            <w:vAlign w:val="center"/>
          </w:tcPr>
          <w:p>
            <w:pPr>
              <w:pStyle w:val="TableContents"/>
              <w:bidi w:val="0"/>
              <w:spacing w:lineRule="atLeast" w:line="200" w:before="0" w:after="0"/>
              <w:ind w:left="0" w:right="0" w:hanging="0"/>
              <w:jc w:val="center"/>
              <w:rPr/>
            </w:pPr>
            <w:r>
              <w:rPr/>
              <w:t> </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center"/>
              <w:rPr/>
            </w:pPr>
            <w:r>
              <w:rPr/>
              <w:t>  ​ ​ ​</w:t>
            </w:r>
          </w:p>
        </w:tc>
        <w:tc>
          <w:tcPr>
            <w:tcW w:w="1037"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lineRule="atLeast" w:line="200" w:before="0" w:after="0"/>
              <w:ind w:left="0" w:right="0" w:hanging="0"/>
              <w:jc w:val="center"/>
              <w:rPr/>
            </w:pPr>
            <w:r>
              <w:rPr/>
              <w:t>  ​ ​ ​</w:t>
            </w:r>
          </w:p>
        </w:tc>
        <w:tc>
          <w:tcPr>
            <w:tcW w:w="1037"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lineRule="atLeast" w:line="200" w:before="0" w:after="0"/>
              <w:ind w:left="0" w:right="0" w:hanging="0"/>
              <w:jc w:val="center"/>
              <w:rPr/>
            </w:pPr>
            <w:r>
              <w:rPr/>
              <w:t>  ​ ​ ​</w:t>
            </w:r>
          </w:p>
        </w:tc>
        <w:tc>
          <w:tcPr>
            <w:tcW w:w="1037"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c>
          <w:tcPr>
            <w:tcW w:w="191" w:type="dxa"/>
            <w:tcBorders/>
            <w:vAlign w:val="center"/>
          </w:tcPr>
          <w:p>
            <w:pPr>
              <w:pStyle w:val="TableContents"/>
              <w:bidi w:val="0"/>
              <w:spacing w:lineRule="atLeast" w:line="200" w:before="0" w:after="0"/>
              <w:ind w:left="0" w:right="0" w:hanging="0"/>
              <w:jc w:val="center"/>
              <w:rPr/>
            </w:pPr>
            <w:r>
              <w:rPr/>
              <w:t> </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lineRule="atLeast" w:line="200"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tLeast" w:line="200" w:before="0" w:after="0"/>
              <w:ind w:left="0" w:right="0" w:hanging="0"/>
              <w:jc w:val="center"/>
              <w:rPr/>
            </w:pPr>
            <w:r>
              <w:rPr/>
              <w:t>​</w:t>
            </w:r>
          </w:p>
        </w:tc>
        <w:tc>
          <w:tcPr>
            <w:tcW w:w="1037" w:type="dxa"/>
            <w:gridSpan w:val="2"/>
            <w:tcBorders>
              <w:bottom w:val="single" w:sz="1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91" w:type="dxa"/>
            <w:tcBorders/>
            <w:vAlign w:val="center"/>
          </w:tcPr>
          <w:p>
            <w:pPr>
              <w:pStyle w:val="TableContents"/>
              <w:bidi w:val="0"/>
              <w:spacing w:lineRule="atLeast" w:line="200" w:before="0" w:after="0"/>
              <w:ind w:left="0" w:right="0" w:hanging="0"/>
              <w:jc w:val="center"/>
              <w:rPr/>
            </w:pPr>
            <w:r>
              <w:rPr/>
              <w:t> </w:t>
            </w:r>
          </w:p>
        </w:tc>
      </w:tr>
      <w:tr>
        <w:trPr/>
        <w:tc>
          <w:tcPr>
            <w:tcW w:w="896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center"/>
              <w:rPr/>
            </w:pPr>
            <w:r>
              <w:rPr/>
              <w:t>​</w:t>
            </w:r>
          </w:p>
        </w:tc>
        <w:tc>
          <w:tcPr>
            <w:tcW w:w="3803" w:type="dxa"/>
            <w:gridSpan w:val="8"/>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(Millions)</w:t>
            </w:r>
          </w:p>
        </w:tc>
        <w:tc>
          <w:tcPr>
            <w:tcW w:w="191" w:type="dxa"/>
            <w:tcBorders/>
            <w:vAlign w:val="center"/>
          </w:tcPr>
          <w:p>
            <w:pPr>
              <w:pStyle w:val="TableContents"/>
              <w:bidi w:val="0"/>
              <w:spacing w:lineRule="atLeast" w:line="200" w:before="0" w:after="0"/>
              <w:ind w:left="0" w:right="0" w:hanging="0"/>
              <w:jc w:val="center"/>
              <w:rPr/>
            </w:pPr>
            <w:r>
              <w:rPr/>
              <w:t> </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25,851.9</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20,755.0</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22,160.0</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1,780.8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1,445.8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1,597.1</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Avnet Sales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27,632.7</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22,200.8</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23,757.1</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Significant Segment Expenses and Operating Income:</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23,463.8</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18,746.7</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19,847.6</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1,489.7</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1,300.1</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1,364.9</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898.5</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708.2</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947.5</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1,069.1</w:t>
            </w:r>
          </w:p>
        </w:tc>
        <w:tc>
          <w:tcPr>
            <w:tcW w:w="346" w:type="dxa"/>
            <w:tcBorders/>
            <w:shd w:fill="CCEEFF" w:val="clear"/>
            <w:vAlign w:val="center"/>
          </w:tcPr>
          <w:p>
            <w:pPr>
              <w:pStyle w:val="TableContents"/>
              <w:bidi w:val="0"/>
              <w:spacing w:lineRule="atLeast" w:line="200" w:before="0" w:after="0"/>
              <w:ind w:left="0" w:right="0" w:hanging="0"/>
              <w:jc w:val="righ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1,143.1</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388.1</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389.2</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Total reportable segment operating income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1,004.2</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741.0</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1,012.4</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Avnet operating income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724.8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514.3</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844.4</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13,361.0</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9,984.9</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10,162.8</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1,764.1</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1,742.4</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1,707.9</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338.4</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15,425.4</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12,118.6</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12,209.1</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147.5</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226.5</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 expense:</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Sales, by geographic area:</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w:t>
            </w:r>
          </w:p>
        </w:tc>
        <w:tc>
          <w:tcPr>
            <w:tcW w:w="826" w:type="dxa"/>
            <w:tcBorders/>
            <w:vAlign w:val="center"/>
          </w:tcPr>
          <w:p>
            <w:pPr>
              <w:pStyle w:val="TableContents"/>
              <w:bidi w:val="0"/>
              <w:spacing w:lineRule="atLeast" w:line="200" w:before="0" w:after="0"/>
              <w:ind w:left="0" w:right="0" w:hanging="0"/>
              <w:jc w:val="right"/>
              <w:rPr/>
            </w:pPr>
            <w:r>
              <w:rPr/>
              <w:t>​</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6,480.8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5,300.0</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5,919.2</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7,725.1</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6,409.6</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right"/>
              <w:rPr/>
            </w:pPr>
            <w:r>
              <w:rPr/>
              <w:t> </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8,395.0</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13,426.8</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10,491.2</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9,442.9</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27,632.7</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22,200.8</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23,757.1</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 by geographic area:</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w:t>
            </w:r>
          </w:p>
        </w:tc>
        <w:tc>
          <w:tcPr>
            <w:tcW w:w="826" w:type="dxa"/>
            <w:tcBorders/>
            <w:shd w:fill="CCEEFF" w:val="clear"/>
            <w:vAlign w:val="center"/>
          </w:tcPr>
          <w:p>
            <w:pPr>
              <w:pStyle w:val="TableContents"/>
              <w:bidi w:val="0"/>
              <w:spacing w:lineRule="atLeast" w:line="200" w:before="0" w:after="0"/>
              <w:ind w:left="0" w:right="0" w:hanging="0"/>
              <w:jc w:val="right"/>
              <w:rPr/>
            </w:pPr>
            <w:r>
              <w:rPr/>
              <w:t>​</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162.5</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460.5</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489.7</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shd w:fill="CCEEFF" w:val="clear"/>
            <w:vAlign w:val="center"/>
          </w:tcPr>
          <w:p>
            <w:pPr>
              <w:pStyle w:val="TableContents"/>
              <w:bidi w:val="0"/>
              <w:spacing w:lineRule="atLeast" w:line="200" w:before="0" w:after="0"/>
              <w:ind w:left="0" w:right="0" w:hanging="0"/>
              <w:jc w:val="right"/>
              <w:rPr/>
            </w:pPr>
            <w:r>
              <w:rPr/>
              <w:t> </w:t>
            </w:r>
          </w:p>
        </w:tc>
        <w:tc>
          <w:tcPr>
            <w:tcW w:w="826" w:type="dxa"/>
            <w:tcBorders/>
            <w:shd w:fill="CCEEFF" w:val="cle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435.3</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r>
        <w:trPr/>
        <w:tc>
          <w:tcPr>
            <w:tcW w:w="4621"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lineRule="atLeast" w:line="20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pPr>
            <w:r>
              <w:rPr/>
              <w:t> </w:t>
            </w:r>
          </w:p>
        </w:tc>
        <w:tc>
          <w:tcPr>
            <w:tcW w:w="826" w:type="dxa"/>
            <w:tcBorders>
              <w:bottom w:val="single" w:sz="12" w:space="0" w:color="000000"/>
            </w:tcBorders>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191" w:type="dxa"/>
            <w:tcBorders/>
            <w:vAlign w:val="center"/>
          </w:tcPr>
          <w:p>
            <w:pPr>
              <w:pStyle w:val="TableContents"/>
              <w:bidi w:val="0"/>
              <w:spacing w:lineRule="atLeast" w:line="200" w:before="0" w:after="0"/>
              <w:ind w:left="0" w:right="0" w:hanging="0"/>
              <w:jc w:val="left"/>
              <w:rPr/>
            </w:pPr>
            <w:r>
              <w:rPr/>
              <w:t>​</w:t>
            </w:r>
          </w:p>
        </w:tc>
      </w:tr>
      <w:tr>
        <w:trPr/>
        <w:tc>
          <w:tcPr>
            <w:tcW w:w="4621" w:type="dxa"/>
            <w:tcBorders/>
            <w:shd w:fill="CCEEFF" w:val="clear"/>
            <w:vAlign w:val="center"/>
          </w:tcPr>
          <w:p>
            <w:pPr>
              <w:pStyle w:val="TableContents"/>
              <w:bidi w:val="0"/>
              <w:spacing w:lineRule="atLeast" w:line="200" w:before="0" w:after="0"/>
              <w:ind w:left="0" w:right="0" w:hanging="0"/>
              <w:jc w:val="left"/>
              <w:rPr/>
            </w:pPr>
            <w:r>
              <w:rPr/>
              <w:t>​</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644.6</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667.2</w:t>
            </w:r>
          </w:p>
        </w:tc>
        <w:tc>
          <w:tcPr>
            <w:tcW w:w="346" w:type="dxa"/>
            <w:tcBorders/>
            <w:shd w:fill="CCEEFF" w:val="clear"/>
            <w:vAlign w:val="center"/>
          </w:tcPr>
          <w:p>
            <w:pPr>
              <w:pStyle w:val="TableContents"/>
              <w:bidi w:val="0"/>
              <w:spacing w:lineRule="atLeast" w:line="20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lineRule="atLeast" w:line="200" w:before="0" w:after="0"/>
              <w:ind w:left="0" w:right="0" w:hanging="0"/>
              <w:jc w:val="right"/>
              <w:rPr>
                <w:rFonts w:ascii="Times New Roman;Times;serif" w:hAnsi="Times New Roman;Times;serif"/>
                <w:sz w:val="20"/>
              </w:rPr>
            </w:pPr>
            <w:r>
              <w:rPr>
                <w:rFonts w:ascii="Times New Roman;Times;serif" w:hAnsi="Times New Roman;Times;serif"/>
                <w:sz w:val="20"/>
              </w:rPr>
              <w:t>568.2</w:t>
            </w:r>
          </w:p>
        </w:tc>
        <w:tc>
          <w:tcPr>
            <w:tcW w:w="191" w:type="dxa"/>
            <w:tcBorders/>
            <w:shd w:fill="CCEEFF" w:val="clear"/>
            <w:vAlign w:val="center"/>
          </w:tcPr>
          <w:p>
            <w:pPr>
              <w:pStyle w:val="TableContents"/>
              <w:bidi w:val="0"/>
              <w:spacing w:lineRule="atLeast" w:line="200" w:before="0" w:after="0"/>
              <w:ind w:left="0" w:right="0" w:hanging="0"/>
              <w:jc w:val="lef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lineRule="atLeast" w:line="160" w:before="0" w:after="0"/>
        <w:ind w:left="0" w:right="0" w:hanging="0"/>
        <w:jc w:val="left"/>
        <w:rPr>
          <w:rFonts w:ascii="Times New Roman;Times;serif" w:hAnsi="Times New Roman;Times;serif"/>
          <w:sz w:val="16"/>
        </w:rPr>
      </w:pPr>
      <w:r>
        <w:rPr>
          <w:rFonts w:ascii="Times New Roman;Times;serif" w:hAnsi="Times New Roman;Times;serif"/>
          <w:sz w:val="20"/>
        </w:rPr>
        <w:t>*</w:t>
      </w:r>
      <w:r>
        <w:rPr>
          <w:rFonts w:ascii="Times New Roman;Times;serif" w:hAnsi="Times New Roman;Times;serif"/>
          <w:sz w:val="16"/>
        </w:rPr>
        <w:t>May not foot due to rounding.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lineRule="auto" w:line="343" w:before="0" w:after="120"/>
        <w:ind w:left="0" w:right="0" w:firstLine="475"/>
        <w:jc w:val="left"/>
        <w:rPr>
          <w:rFonts w:ascii="Times New Roman;Times;serif" w:hAnsi="Times New Roman;Times;serif"/>
          <w:sz w:val="20"/>
        </w:rPr>
      </w:pPr>
      <w:bookmarkStart w:id="1429" w:name="Tc_dkwai6Dx-kWOmiqaQ_eqDw_13_8"/>
      <w:bookmarkStart w:id="1430" w:name="Tc_LMBsN6kldUSkmxU5s76z7w_13_5"/>
      <w:bookmarkStart w:id="1431" w:name="Tc_pPLPj8B_PEaebnF8np-LEA_13_2"/>
      <w:bookmarkStart w:id="1432" w:name="Tc_UR8a5e5SEEum4fjGUA-h7A_13_0"/>
      <w:bookmarkStart w:id="1433" w:name="Tc_IQUaxGKDXkGR_CylqZfALw_12_8"/>
      <w:bookmarkStart w:id="1434" w:name="Tc_xHJmoq60jk-VujYUxO0uaw_12_5"/>
      <w:bookmarkStart w:id="1435" w:name="Tc_c6Vcb-pGQ0mlG__5AqwRiQ_12_2"/>
      <w:bookmarkStart w:id="1436" w:name="Tc_UNnkHoV6-EWnwct_8_UKRw_12_0"/>
      <w:bookmarkStart w:id="1437" w:name="Tc_pjBgwI_XR0GoASR-1irEsw_11_8"/>
      <w:bookmarkStart w:id="1438" w:name="Tc_Y8Bco6TUGE6wBpkRjBMdvQ_11_5"/>
      <w:bookmarkStart w:id="1439" w:name="Tc_NoyQoaSqmE2U9SInVcS11A_11_2"/>
      <w:bookmarkStart w:id="1440" w:name="Tc_3iafZdiY7ka5x2-nWfadsg_11_0"/>
      <w:bookmarkStart w:id="1441" w:name="Tc_z5GYWwQK00q-EO80eXyc2A_10_0"/>
      <w:bookmarkStart w:id="1442" w:name="Tc_HRqSCjnXKECSZXYQ3rmpUA_9_0"/>
      <w:bookmarkStart w:id="1443" w:name="Tc_x06G0Pq16kmgB6FntlyiRw_8_0"/>
      <w:bookmarkStart w:id="1444" w:name="Tc_Uczrjyi39E-IkJaTo6gMWg_7_8"/>
      <w:bookmarkStart w:id="1445" w:name="Tc_ZIgl-FqJskOxnjaZ8WtgGQ_7_5"/>
      <w:bookmarkStart w:id="1446" w:name="Tc_LigOc_8QoUy7yWOSK2JF1A_7_2"/>
      <w:bookmarkStart w:id="1447" w:name="Tc_BI8XWKg95kGEONx0TcOZPw_7_0"/>
      <w:bookmarkStart w:id="1448" w:name="Tc_fjkVKtQR2Ey_Ie-Et8M2nA_6_0"/>
      <w:bookmarkStart w:id="1449" w:name="Tc_CF10yY0vi0yXTc_MCVmcBg_5_3"/>
      <w:bookmarkStart w:id="1450" w:name="Tc_wZnpwnM_wUygzzZLr-eYpA_3_9"/>
      <w:bookmarkStart w:id="1451" w:name="Tc_0oNVzzXjZE-3CbRBeSMEZw_3_6"/>
      <w:bookmarkStart w:id="1452" w:name="Tc_H2fD0KpHiEecwO7v_y-PLQ_3_3"/>
      <w:bookmarkStart w:id="1453" w:name="Tc_saDSBuLHak6ACOLAqbAS6g_2_9"/>
      <w:bookmarkStart w:id="1454" w:name="Tc_FIUFT6EZ1U-9EFxbjbH7fw_2_6"/>
      <w:bookmarkStart w:id="1455" w:name="Tc_tfe3g_V-dkKAGkojuve10g_2_3"/>
      <w:bookmarkStart w:id="1456" w:name="Tc_r6rYl-HvUECxprerouqy0A_1_3"/>
      <w:bookmarkStart w:id="1457" w:name="_bc526893_2ae8_4397_875c_70f2e2830808"/>
      <w:bookmarkStart w:id="1458" w:name="Tc_O1QoJuayEU6VvX77l48bjw_14_8"/>
      <w:bookmarkStart w:id="1459" w:name="Tc__EXa0Lyv8kS9nZLVrkWcnw_14_5"/>
      <w:bookmarkStart w:id="1460" w:name="Tc_4ArDJQePyEmFPZk80qHefg_14_2"/>
      <w:bookmarkStart w:id="1461" w:name="Tc_IwKdfWaDKkucB_0Trl8cGA_14_0"/>
      <w:bookmarkStart w:id="1462" w:name="Tc_WNSW2ZCllUe-kX9p1ohLKA_13_8"/>
      <w:bookmarkStart w:id="1463" w:name="Tc_STkLAkkdYUaX3omZALkesw_13_5"/>
      <w:bookmarkStart w:id="1464" w:name="Tc_wnbGKC1Y2kWgkSauFKHkpA_13_2"/>
      <w:bookmarkStart w:id="1465" w:name="Tc_qRO1Mzq9PUCzDFZeU7ZH8A_13_0"/>
      <w:bookmarkStart w:id="1466" w:name="Tc_sA7aC-_TkkCDa4cNrfugng_12_8"/>
      <w:bookmarkStart w:id="1467" w:name="Tc_CBHEAX8xgU6btLIJ-xiPlg_12_5"/>
      <w:bookmarkStart w:id="1468" w:name="Tc_Us26sBqfHECPnxJ90MHISg_12_2"/>
      <w:bookmarkStart w:id="1469" w:name="Tc_cXm08KZu10uGr_XHAwtQsw_12_0"/>
      <w:bookmarkStart w:id="1470" w:name="Tc_R3oDzff8J0iv3uCN_We9tg_11_0"/>
      <w:bookmarkStart w:id="1471" w:name="Tc_x57mvpkYiEm6tEAc3kc9ig_10_0"/>
      <w:bookmarkStart w:id="1472" w:name="Tc_lVbKw_HFeES1k4K5s6mzgA_9_0"/>
      <w:bookmarkStart w:id="1473" w:name="Tc_An34wZ3ju0qHiD5QbLSN1A_8_0"/>
      <w:bookmarkStart w:id="1474" w:name="Tc_R-qoZM3M1UmM5EkDgIhyxg_7_0"/>
      <w:bookmarkStart w:id="1475" w:name="Tc_Yzvb_iBs00u2E7RaxxEOvA_6_8"/>
      <w:bookmarkStart w:id="1476" w:name="Tc_j5Vp1s8J8ECHSyb-ieseTw_6_5"/>
      <w:bookmarkStart w:id="1477" w:name="Tc_udrUFQ3Sh0eMDicZxKvX3w_6_2"/>
      <w:bookmarkStart w:id="1478" w:name="Tc_HgL6uYYJv0y4UMMchohmLg_6_0"/>
      <w:bookmarkStart w:id="1479" w:name="Tc_WGm6up-jKka6o7fONc4iOw_5_0"/>
      <w:bookmarkStart w:id="1480" w:name="Tc_5-bnvdzzE0yDDM0Cs9WFOw_4_3"/>
      <w:bookmarkStart w:id="1481" w:name="Tc_DT3WU3wyjECMi0yEisGOiw_3_9"/>
      <w:bookmarkStart w:id="1482" w:name="Tc_NtnVduzM9EG9CGGeJ2Wkuw_3_6"/>
      <w:bookmarkStart w:id="1483" w:name="Tc_fd0AbM4h2E2eWLC8E4Cwhw_3_3"/>
      <w:bookmarkStart w:id="1484" w:name="Tc_hoa6l_vYe0SnjU4DHqyxzQ_2_9"/>
      <w:bookmarkStart w:id="1485" w:name="Tc_afHCOaXM5kOThTEu25HvjA_2_6"/>
      <w:bookmarkStart w:id="1486" w:name="Tc_lzfuVKQSGE2fU1If-nKRyw_2_3"/>
      <w:bookmarkStart w:id="1487" w:name="Tc_xbZGV6vQdE-LWWDmFV0K2A_1_3"/>
      <w:bookmarkStart w:id="1488" w:name="_e39edc40_bd68_45a8_a899_484ab3f77e4c"/>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Pr>
          <w:rFonts w:ascii="Times New Roman;Times;serif" w:hAnsi="Times New Roman;Times;serif"/>
          <w:sz w:val="20"/>
        </w:rPr>
        <w:t>Sales by country are as follows:</w:t>
      </w:r>
    </w:p>
    <w:tbl>
      <w:tblPr>
        <w:tblW w:w="6428" w:type="dxa"/>
        <w:jc w:val="left"/>
        <w:tblInd w:w="0" w:type="dxa"/>
        <w:tblLayout w:type="fixed"/>
        <w:tblCellMar>
          <w:top w:w="0" w:type="dxa"/>
          <w:left w:w="0" w:type="dxa"/>
          <w:bottom w:w="0" w:type="dxa"/>
          <w:right w:w="0" w:type="dxa"/>
        </w:tblCellMar>
      </w:tblPr>
      <w:tblGrid>
        <w:gridCol w:w="2566"/>
        <w:gridCol w:w="109"/>
        <w:gridCol w:w="211"/>
        <w:gridCol w:w="826"/>
        <w:gridCol w:w="109"/>
        <w:gridCol w:w="346"/>
        <w:gridCol w:w="826"/>
        <w:gridCol w:w="109"/>
        <w:gridCol w:w="346"/>
        <w:gridCol w:w="826"/>
        <w:gridCol w:w="154"/>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629410" cy="175260"/>
                      <wp:effectExtent l="0" t="0" r="0" b="0"/>
                      <wp:wrapNone/>
                      <wp:docPr id="423" name="Frame422"/>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24510" cy="175260"/>
                      <wp:effectExtent l="0" t="0" r="0" b="0"/>
                      <wp:wrapNone/>
                      <wp:docPr id="426" name="Frame4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24510" cy="175260"/>
                      <wp:effectExtent l="0" t="0" r="0" b="0"/>
                      <wp:wrapNone/>
                      <wp:docPr id="429" name="Frame4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24510" cy="175260"/>
                      <wp:effectExtent l="0" t="0" r="0" b="0"/>
                      <wp:wrapNone/>
                      <wp:docPr id="432" name="Frame4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97790" cy="175260"/>
                      <wp:effectExtent l="0" t="0" r="0" b="0"/>
                      <wp:wrapNone/>
                      <wp:docPr id="433" name="Frame4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3542"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256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256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9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42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354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(Millions)</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Taiwan</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6,713.4</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4,676.1</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4,032.4</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(including Hong Kong)</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3,796.1</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3,206.7</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2,716.1</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2,242.2</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3,240.3</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1,635.6</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1,360.0</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1,298.4</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1,233.8</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1,422.6</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5,055.3</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4,151.8</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5,030.8</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21,503.2</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17,184.4</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18,231.2</w:t>
            </w:r>
          </w:p>
        </w:tc>
        <w:tc>
          <w:tcPr>
            <w:tcW w:w="154" w:type="dxa"/>
            <w:tcBorders/>
            <w:vAlign w:val="center"/>
          </w:tcPr>
          <w:p>
            <w:pPr>
              <w:pStyle w:val="TableContents"/>
              <w:bidi w:val="0"/>
              <w:spacing w:before="0" w:after="0"/>
              <w:ind w:left="0" w:right="0" w:hanging="0"/>
              <w:jc w:val="left"/>
              <w:rPr>
                <w:color w:val="575757"/>
              </w:rPr>
            </w:pPr>
            <w:r>
              <w:rPr>
                <w:color w:val="575757"/>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5,016.4</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5,525.9</w:t>
            </w:r>
          </w:p>
        </w:tc>
        <w:tc>
          <w:tcPr>
            <w:tcW w:w="154"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27,632.7</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22,200.8</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23,757.1</w:t>
            </w:r>
          </w:p>
        </w:tc>
        <w:tc>
          <w:tcPr>
            <w:tcW w:w="154" w:type="dxa"/>
            <w:tcBorders/>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lineRule="auto" w:line="343" w:before="6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120" w:after="120"/>
        <w:ind w:left="0" w:right="0" w:firstLine="475"/>
        <w:jc w:val="left"/>
        <w:rPr>
          <w:rFonts w:ascii="Times New Roman;Times;serif" w:hAnsi="Times New Roman;Times;serif"/>
          <w:sz w:val="20"/>
        </w:rPr>
      </w:pPr>
      <w:r>
        <w:rPr>
          <w:rFonts w:ascii="Times New Roman;Times;serif" w:hAnsi="Times New Roman;Times;serif"/>
          <w:sz w:val="20"/>
        </w:rPr>
        <w:t>Property, plant and equipment, net, by country are as follows:</w:t>
      </w:r>
    </w:p>
    <w:tbl>
      <w:tblPr>
        <w:tblW w:w="6473" w:type="dxa"/>
        <w:jc w:val="left"/>
        <w:tblInd w:w="0" w:type="dxa"/>
        <w:tblLayout w:type="fixed"/>
        <w:tblCellMar>
          <w:top w:w="0" w:type="dxa"/>
          <w:left w:w="0" w:type="dxa"/>
          <w:bottom w:w="0" w:type="dxa"/>
          <w:right w:w="0" w:type="dxa"/>
        </w:tblCellMar>
      </w:tblPr>
      <w:tblGrid>
        <w:gridCol w:w="2986"/>
        <w:gridCol w:w="109"/>
        <w:gridCol w:w="211"/>
        <w:gridCol w:w="680"/>
        <w:gridCol w:w="130"/>
        <w:gridCol w:w="346"/>
        <w:gridCol w:w="680"/>
        <w:gridCol w:w="130"/>
        <w:gridCol w:w="346"/>
        <w:gridCol w:w="673"/>
        <w:gridCol w:w="182"/>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896110" cy="175260"/>
                      <wp:effectExtent l="0" t="0" r="0" b="0"/>
                      <wp:wrapNone/>
                      <wp:docPr id="434" name="Frame43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31800" cy="175260"/>
                      <wp:effectExtent l="0" t="0" r="0" b="0"/>
                      <wp:wrapNone/>
                      <wp:docPr id="437" name="Frame43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82550" cy="175260"/>
                      <wp:effectExtent l="0" t="0" r="0" b="0"/>
                      <wp:wrapNone/>
                      <wp:docPr id="438" name="Frame437"/>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31800" cy="175260"/>
                      <wp:effectExtent l="0" t="0" r="0" b="0"/>
                      <wp:wrapNone/>
                      <wp:docPr id="440" name="Frame43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82550" cy="175260"/>
                      <wp:effectExtent l="0" t="0" r="0" b="0"/>
                      <wp:wrapNone/>
                      <wp:docPr id="441" name="Frame440"/>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7355" cy="175260"/>
                      <wp:effectExtent l="0" t="0" r="0" b="0"/>
                      <wp:wrapNone/>
                      <wp:docPr id="443" name="Frame442"/>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15570" cy="175260"/>
                      <wp:effectExtent l="0" t="0" r="0" b="0"/>
                      <wp:wrapNone/>
                      <wp:docPr id="444" name="Frame443"/>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3167"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w: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w:t>
            </w:r>
          </w:p>
        </w:tc>
        <w:tc>
          <w:tcPr>
            <w:tcW w:w="346" w:type="dxa"/>
            <w:tcBorders/>
            <w:vAlign w:val="center"/>
          </w:tcPr>
          <w:p>
            <w:pPr>
              <w:pStyle w:val="TableContents"/>
              <w:bidi w:val="0"/>
              <w:spacing w:before="0" w:after="0"/>
              <w:ind w:left="0" w:right="0" w:hanging="0"/>
              <w:jc w:val="center"/>
              <w:rPr/>
            </w:pPr>
            <w:r>
              <w:rPr/>
              <w:t>  ​ ​ ​</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346" w:type="dxa"/>
            <w:tcBorders/>
            <w:vAlign w:val="center"/>
          </w:tcPr>
          <w:p>
            <w:pPr>
              <w:pStyle w:val="TableContents"/>
              <w:bidi w:val="0"/>
              <w:spacing w:before="0" w:after="0"/>
              <w:ind w:left="0" w:right="0" w:hanging="0"/>
              <w:jc w:val="center"/>
              <w:rPr/>
            </w:pPr>
            <w:r>
              <w:rPr/>
              <w:t>  ​ ​ ​</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29,</w: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680"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center"/>
              <w:rPr/>
            </w:pPr>
            <w:r>
              <w:rPr/>
              <w:t>​</w:t>
            </w:r>
          </w:p>
        </w:tc>
        <w:tc>
          <w:tcPr>
            <w:tcW w:w="182" w:type="dxa"/>
            <w:tcBorders/>
            <w:vAlign w:val="center"/>
          </w:tcPr>
          <w:p>
            <w:pPr>
              <w:pStyle w:val="TableContents"/>
              <w:bidi w:val="0"/>
              <w:spacing w:before="0" w:after="0"/>
              <w:ind w:left="0" w:right="0" w:hanging="0"/>
              <w:jc w:val="center"/>
              <w:rPr/>
            </w:pPr>
            <w:r>
              <w:rPr/>
              <w:t>​</w: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3167"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(Millions)</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80" w:type="dxa"/>
            <w:tcBorders/>
            <w:shd w:fill="CCEEFF" w:val="clear"/>
            <w:vAlign w:val="center"/>
          </w:tcPr>
          <w:p>
            <w:pPr>
              <w:pStyle w:val="TableContents"/>
              <w:bidi w:val="0"/>
              <w:spacing w:before="0" w:after="0"/>
              <w:ind w:left="0" w:right="0" w:hanging="0"/>
              <w:jc w:val="center"/>
              <w:rPr/>
            </w:pPr>
            <w:r>
              <w:rPr/>
              <w:t>​</w:t>
            </w:r>
          </w:p>
        </w:tc>
        <w:tc>
          <w:tcPr>
            <w:tcW w:w="13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center"/>
              <w:rPr/>
            </w:pPr>
            <w:r>
              <w:rPr/>
              <w:t>​</w:t>
            </w:r>
          </w:p>
        </w:tc>
        <w:tc>
          <w:tcPr>
            <w:tcW w:w="13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center"/>
              <w:rPr/>
            </w:pPr>
            <w:r>
              <w:rPr/>
              <w:t>​</w:t>
            </w:r>
          </w:p>
        </w:tc>
        <w:tc>
          <w:tcPr>
            <w:tcW w:w="182" w:type="dxa"/>
            <w:tcBorders/>
            <w:shd w:fill="CCEEFF" w:val="clear"/>
            <w:vAlign w:val="center"/>
          </w:tcPr>
          <w:p>
            <w:pPr>
              <w:pStyle w:val="TableContents"/>
              <w:bidi w:val="0"/>
              <w:spacing w:before="0" w:after="0"/>
              <w:ind w:left="0" w:right="0" w:hanging="0"/>
              <w:jc w:val="center"/>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c>
          <w:tcPr>
            <w:tcW w:w="182" w:type="dxa"/>
            <w:tcBorders/>
            <w:vAlign w:val="center"/>
          </w:tcPr>
          <w:p>
            <w:pPr>
              <w:pStyle w:val="TableContents"/>
              <w:bidi w:val="0"/>
              <w:spacing w:before="0" w:after="0"/>
              <w:ind w:left="0" w:right="0" w:hanging="0"/>
              <w:jc w:val="left"/>
              <w:rPr>
                <w:color w:val="575757"/>
              </w:rPr>
            </w:pPr>
            <w:r>
              <w:rPr>
                <w:color w:val="575757"/>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182"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Belgium</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color w:val="575757"/>
              </w:rPr>
            </w:pPr>
            <w:r>
              <w:rPr>
                <w:color w:val="575757"/>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82" w:type="dxa"/>
            <w:tcBorders/>
            <w:vAlign w:val="center"/>
          </w:tcPr>
          <w:p>
            <w:pPr>
              <w:pStyle w:val="TableContents"/>
              <w:bidi w:val="0"/>
              <w:spacing w:before="0" w:after="0"/>
              <w:ind w:left="0" w:right="0" w:hanging="0"/>
              <w:jc w:val="left"/>
              <w:rPr>
                <w:color w:val="575757"/>
              </w:rPr>
            </w:pPr>
            <w:r>
              <w:rPr>
                <w:color w:val="575757"/>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6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6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color w:val="575757"/>
              </w:rPr>
            </w:pPr>
            <w:r>
              <w:rPr>
                <w:color w:val="575757"/>
              </w:rPr>
              <w:t>​</w:t>
            </w:r>
          </w:p>
        </w:tc>
        <w:tc>
          <w:tcPr>
            <w:tcW w:w="6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82"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520.2</w:t>
            </w:r>
          </w:p>
        </w:tc>
        <w:tc>
          <w:tcPr>
            <w:tcW w:w="130"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182" w:type="dxa"/>
            <w:tcBorders/>
            <w:vAlign w:val="center"/>
          </w:tcPr>
          <w:p>
            <w:pPr>
              <w:pStyle w:val="TableContents"/>
              <w:bidi w:val="0"/>
              <w:spacing w:before="0" w:after="0"/>
              <w:ind w:left="0" w:right="0" w:hanging="0"/>
              <w:jc w:val="left"/>
              <w:rPr>
                <w:color w:val="575757"/>
              </w:rPr>
            </w:pPr>
            <w:r>
              <w:rPr>
                <w:color w:val="575757"/>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13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182"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644.6</w:t>
            </w:r>
          </w:p>
        </w:tc>
        <w:tc>
          <w:tcPr>
            <w:tcW w:w="130"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w:t>
            </w:r>
          </w:p>
        </w:tc>
        <w:tc>
          <w:tcPr>
            <w:tcW w:w="130"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568.2</w:t>
            </w:r>
          </w:p>
        </w:tc>
        <w:tc>
          <w:tcPr>
            <w:tcW w:w="182" w:type="dxa"/>
            <w:tcBorders/>
            <w:vAlign w:val="center"/>
          </w:tcPr>
          <w:p>
            <w:pPr>
              <w:pStyle w:val="TableContents"/>
              <w:bidi w:val="0"/>
              <w:spacing w:before="0" w:after="0"/>
              <w:ind w:left="0" w:right="0" w:hanging="0"/>
              <w:jc w:val="left"/>
              <w:rPr>
                <w:color w:val="575757"/>
              </w:rPr>
            </w:pPr>
            <w:r>
              <w:rPr>
                <w:color w:val="575757"/>
              </w:rPr>
              <w:t>​</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color w:val="575757"/>
              </w:rPr>
            </w:pPr>
            <w:r>
              <w:rPr>
                <w:color w:val="575757"/>
              </w:rPr>
              <w:t>​</w:t>
            </w:r>
          </w:p>
        </w:tc>
      </w:tr>
    </w:tbl>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6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89" w:name="Tc_3XVurD6uu0-psPwFq00WTA_7_11"/>
      <w:bookmarkStart w:id="1490" w:name="Tc_jhaQLdRydUiLf47NvPAgZg_7_8"/>
      <w:bookmarkStart w:id="1491" w:name="Tc_KDqd_BcSNEuBO6J7sJgyNg_7_5"/>
      <w:bookmarkStart w:id="1492" w:name="Tc_0t32ErbjQUCKtSldwyXVaw_7_2"/>
      <w:bookmarkStart w:id="1493" w:name="Tc_z4jtJC3SpU-tDRsp6HuuDw_7_0"/>
      <w:bookmarkStart w:id="1494" w:name="Tc_kUwArgWsSUOM8bn63Pl3pA_6_6"/>
      <w:bookmarkStart w:id="1495" w:name="Tc_cD3b6qCxRkahcp5N2-G3Xw_6_0"/>
      <w:bookmarkStart w:id="1496" w:name="Tc_iw6F2TWixE6OalXe9kRtew_5_6"/>
      <w:bookmarkStart w:id="1497" w:name="Tc_11T693GoEEyhZfHaPSqlhQ_5_0"/>
      <w:bookmarkStart w:id="1498" w:name="Tc_eWoKmWzr1ES1UI4754z7oA_4_11"/>
      <w:bookmarkStart w:id="1499" w:name="Tc_o_emxqI7U0yddUF4XwCo5g_4_8"/>
      <w:bookmarkStart w:id="1500" w:name="Tc_DRlF8uIhWU23xYQvGN23yg_4_5"/>
      <w:bookmarkStart w:id="1501" w:name="Tc_tU5Qu5Z3vEeC-mD1m1zsTw_4_2"/>
      <w:bookmarkStart w:id="1502" w:name="Tc_Ni_7hIhbeUa_R2cUQQUEGg_3_2"/>
      <w:bookmarkStart w:id="1503" w:name="Tc_UICvCx_paUS9mvD9LaCYkQ_2_11"/>
      <w:bookmarkStart w:id="1504" w:name="Tc_8gzr2yBygEC_hbypuSJXZw_2_8"/>
      <w:bookmarkStart w:id="1505" w:name="Tc_f5ynmkzsMUqkLpRkcAO8zQ_2_5"/>
      <w:bookmarkStart w:id="1506" w:name="Tc_Bd0-4DpNzUKE9lfmvWY53g_2_2"/>
      <w:bookmarkStart w:id="1507" w:name="Tc_jDzoG9-LKEODgA1fHPLCyA_1_5"/>
      <w:bookmarkStart w:id="1508" w:name="_ed405588_23ff_44ec_8492_81a89309dfcf"/>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b/>
          <w:sz w:val="20"/>
        </w:rPr>
        <w:t>17. Restructuring expenses</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Fiscal 2026</w:t>
      </w:r>
    </w:p>
    <w:p>
      <w:pPr>
        <w:pStyle w:val="TextBody"/>
        <w:bidi w:val="0"/>
        <w:spacing w:lineRule="auto" w:line="343" w:before="200" w:after="200"/>
        <w:ind w:left="0" w:right="0" w:firstLine="475"/>
        <w:jc w:val="left"/>
        <w:rPr>
          <w:rFonts w:ascii="Times New Roman;Times;serif" w:hAnsi="Times New Roman;Times;serif"/>
          <w:sz w:val="20"/>
        </w:rPr>
      </w:pPr>
      <w:r>
        <w:rPr>
          <w:rFonts w:ascii="Times New Roman;Times;serif" w:hAnsi="Times New Roman;Times;serif"/>
          <w:sz w:val="20"/>
        </w:rPr>
        <w:t>During fiscal 2026, the Company incurred restructuring expenses primarily related to headcount reductions including restructuring actions taken to reduce costs in Farnell and Europe including the announced closure of a distribution center in Germany. The following table presents the activity incurred during fiscal 2026:</w:t>
      </w:r>
    </w:p>
    <w:tbl>
      <w:tblPr>
        <w:tblW w:w="8924" w:type="dxa"/>
        <w:jc w:val="left"/>
        <w:tblInd w:w="0" w:type="dxa"/>
        <w:tblLayout w:type="fixed"/>
        <w:tblCellMar>
          <w:top w:w="0" w:type="dxa"/>
          <w:left w:w="0" w:type="dxa"/>
          <w:bottom w:w="0" w:type="dxa"/>
          <w:right w:w="0" w:type="dxa"/>
        </w:tblCellMar>
      </w:tblPr>
      <w:tblGrid>
        <w:gridCol w:w="3856"/>
        <w:gridCol w:w="109"/>
        <w:gridCol w:w="211"/>
        <w:gridCol w:w="796"/>
        <w:gridCol w:w="346"/>
        <w:gridCol w:w="319"/>
        <w:gridCol w:w="641"/>
        <w:gridCol w:w="346"/>
        <w:gridCol w:w="211"/>
        <w:gridCol w:w="691"/>
        <w:gridCol w:w="346"/>
        <w:gridCol w:w="211"/>
        <w:gridCol w:w="84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448560" cy="175260"/>
                      <wp:effectExtent l="0" t="0" r="0" b="0"/>
                      <wp:wrapNone/>
                      <wp:docPr id="445" name="Frame444"/>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05460" cy="175260"/>
                      <wp:effectExtent l="0" t="0" r="0" b="0"/>
                      <wp:wrapNone/>
                      <wp:docPr id="448" name="Frame4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2565" cy="175260"/>
                      <wp:effectExtent l="0" t="0" r="0" b="0"/>
                      <wp:wrapNone/>
                      <wp:docPr id="450" name="Frame44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07035" cy="175260"/>
                      <wp:effectExtent l="0" t="0" r="0" b="0"/>
                      <wp:wrapNone/>
                      <wp:docPr id="451" name="Frame45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38785" cy="175260"/>
                      <wp:effectExtent l="0" t="0" r="0" b="0"/>
                      <wp:wrapNone/>
                      <wp:docPr id="454" name="Frame4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34035" cy="175260"/>
                      <wp:effectExtent l="0" t="0" r="0" b="0"/>
                      <wp:wrapNone/>
                      <wp:docPr id="457" name="Frame4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color w:val="A6A6A6"/>
              </w:rPr>
            </w:pPr>
            <w:r>
              <w:rPr>
                <w:color w:val="A6A6A6"/>
              </w:rPr>
              <w:t>​</w:t>
            </w:r>
          </w:p>
        </w:tc>
        <w:tc>
          <w:tcPr>
            <w:tcW w:w="109" w:type="dxa"/>
            <w:tcBorders/>
            <w:vAlign w:val="center"/>
          </w:tcPr>
          <w:p>
            <w:pPr>
              <w:pStyle w:val="TableContents"/>
              <w:bidi w:val="0"/>
              <w:spacing w:before="0" w:after="0"/>
              <w:ind w:left="0" w:right="0" w:hanging="0"/>
              <w:jc w:val="center"/>
              <w:rPr>
                <w:color w:val="A6A6A6"/>
              </w:rPr>
            </w:pPr>
            <w:r>
              <w:rPr>
                <w:color w:val="A6A6A6"/>
              </w:rPr>
              <w:t>​</w:t>
            </w:r>
          </w:p>
        </w:tc>
        <w:tc>
          <w:tcPr>
            <w:tcW w:w="100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Facility</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color w:val="A6A6A6"/>
              </w:rPr>
            </w:pPr>
            <w:r>
              <w:rPr>
                <w:color w:val="A6A6A6"/>
              </w:rPr>
              <w:t>​</w:t>
            </w:r>
          </w:p>
        </w:tc>
        <w:tc>
          <w:tcPr>
            <w:tcW w:w="109" w:type="dxa"/>
            <w:tcBorders/>
            <w:vAlign w:val="center"/>
          </w:tcPr>
          <w:p>
            <w:pPr>
              <w:pStyle w:val="TableContents"/>
              <w:bidi w:val="0"/>
              <w:spacing w:before="0" w:after="0"/>
              <w:ind w:left="0" w:right="0" w:hanging="0"/>
              <w:jc w:val="center"/>
              <w:rPr>
                <w:color w:val="A6A6A6"/>
              </w:rPr>
            </w:pPr>
            <w:r>
              <w:rPr>
                <w:color w:val="A6A6A6"/>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w:t>
            </w:r>
          </w:p>
        </w:tc>
        <w:tc>
          <w:tcPr>
            <w:tcW w:w="346" w:type="dxa"/>
            <w:tcBorders/>
            <w:vAlign w:val="center"/>
          </w:tcPr>
          <w:p>
            <w:pPr>
              <w:pStyle w:val="TableContents"/>
              <w:bidi w:val="0"/>
              <w:spacing w:before="0" w:after="0"/>
              <w:ind w:left="0" w:right="0" w:hanging="0"/>
              <w:jc w:val="center"/>
              <w:rPr/>
            </w:pPr>
            <w:r>
              <w:rPr/>
              <w:t>​</w:t>
            </w:r>
          </w:p>
        </w:tc>
        <w:tc>
          <w:tcPr>
            <w:tcW w:w="9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Exit Costs</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892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color w:val="A6A6A6"/>
              </w:rPr>
            </w:pPr>
            <w:r>
              <w:rPr>
                <w:color w:val="A6A6A6"/>
              </w:rPr>
              <w:t>​</w:t>
            </w:r>
          </w:p>
        </w:tc>
        <w:tc>
          <w:tcPr>
            <w:tcW w:w="109" w:type="dxa"/>
            <w:tcBorders/>
            <w:vAlign w:val="center"/>
          </w:tcPr>
          <w:p>
            <w:pPr>
              <w:pStyle w:val="TableContents"/>
              <w:bidi w:val="0"/>
              <w:spacing w:before="0" w:after="0"/>
              <w:ind w:left="0" w:right="0" w:hanging="0"/>
              <w:jc w:val="center"/>
              <w:rPr>
                <w:color w:val="A6A6A6"/>
              </w:rPr>
            </w:pPr>
            <w:r>
              <w:rPr>
                <w:color w:val="A6A6A6"/>
              </w:rPr>
              <w:t>​</w:t>
            </w:r>
          </w:p>
        </w:tc>
        <w:tc>
          <w:tcPr>
            <w:tcW w:w="495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 restructuring expenses</w:t>
            </w:r>
          </w:p>
        </w:tc>
        <w:tc>
          <w:tcPr>
            <w:tcW w:w="109"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83,975</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87,709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109" w:type="dxa"/>
            <w:tcBorders/>
            <w:vAlign w:val="center"/>
          </w:tcPr>
          <w:p>
            <w:pPr>
              <w:pStyle w:val="TableContents"/>
              <w:bidi w:val="0"/>
              <w:spacing w:before="0" w:after="0"/>
              <w:ind w:left="0" w:right="0" w:hanging="0"/>
              <w:jc w:val="left"/>
              <w:rPr>
                <w:color w:val="A6A6A6"/>
              </w:rPr>
            </w:pPr>
            <w:r>
              <w:rPr>
                <w:color w:val="A6A6A6"/>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(14,453)</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principally foreign currency translation</w:t>
            </w:r>
          </w:p>
        </w:tc>
        <w:tc>
          <w:tcPr>
            <w:tcW w:w="109"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27, 2026</w:t>
            </w:r>
          </w:p>
        </w:tc>
        <w:tc>
          <w:tcPr>
            <w:tcW w:w="109" w:type="dxa"/>
            <w:tcBorders/>
            <w:vAlign w:val="center"/>
          </w:tcPr>
          <w:p>
            <w:pPr>
              <w:pStyle w:val="TableContents"/>
              <w:bidi w:val="0"/>
              <w:spacing w:before="0" w:after="0"/>
              <w:ind w:left="0" w:right="0" w:hanging="0"/>
              <w:jc w:val="left"/>
              <w:rPr>
                <w:color w:val="A6A6A6"/>
              </w:rPr>
            </w:pPr>
            <w:r>
              <w:rPr>
                <w:color w:val="A6A6A6"/>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69,596</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70,261</w:t>
            </w:r>
          </w:p>
        </w:tc>
      </w:tr>
    </w:tbl>
    <w:p>
      <w:pPr>
        <w:pStyle w:val="TextBody"/>
        <w:bidi w:val="0"/>
        <w:spacing w:before="0" w:after="0"/>
        <w:ind w:left="0" w:right="0" w:hanging="0"/>
        <w:jc w:val="left"/>
        <w:rPr/>
      </w:pPr>
      <w:r>
        <w:rPr/>
        <w: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Severance expense recorded in fiscal 2026 related to the reduction, or planned reduction, of approximately 350 employees, primarily in business operations and support functions. Of the $87.7 million in restructuring expenses recorded in fiscal 2026, $83.1 million related to EC and $4.6 million related to Farnell. The Company expects most of the remaining severance amounts to be paid by the end of December 2026.</w:t>
      </w:r>
    </w:p>
    <w:p>
      <w:pPr>
        <w:pStyle w:val="TextBody"/>
        <w:bidi w:val="0"/>
        <w:spacing w:lineRule="auto" w:line="343" w:before="200" w:after="0"/>
        <w:ind w:left="0" w:right="0" w:hanging="0"/>
        <w:jc w:val="left"/>
        <w:rPr>
          <w:rFonts w:ascii="Times New Roman;Times;serif" w:hAnsi="Times New Roman;Times;serif"/>
          <w:b/>
          <w:i/>
          <w:sz w:val="20"/>
        </w:rPr>
      </w:pPr>
      <w:r>
        <w:rPr>
          <w:rFonts w:ascii="Times New Roman;Times;serif" w:hAnsi="Times New Roman;Times;serif"/>
          <w:b/>
          <w:i/>
          <w:sz w:val="20"/>
        </w:rPr>
        <w:t xml:space="preserve">Fiscal 2025 </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During fiscal 2025, the Company incurred restructuring expenses primarily for severance. Of these expenses, $19.4 million remained unpaid at the end of fiscal 2025, substantially all of which was paid during fiscal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pPr>
      <w:bookmarkStart w:id="1509" w:name="_31d63367_e86c_48c3_9eeb_64d664635c4c"/>
      <w:bookmarkEnd w:id="1509"/>
      <w:r>
        <w:rPr/>
        <w:t>​</w:t>
      </w:r>
    </w:p>
    <w:p>
      <w:pPr>
        <w:pStyle w:val="TextBody"/>
        <w:bidi w:val="0"/>
        <w:spacing w:lineRule="auto" w:line="343" w:before="0" w:after="0"/>
        <w:ind w:left="0" w:right="0" w:hanging="0"/>
        <w:jc w:val="left"/>
        <w:rPr>
          <w:rFonts w:ascii="Times New Roman;Times;serif" w:hAnsi="Times New Roman;Times;serif"/>
          <w:b/>
          <w:sz w:val="20"/>
        </w:rPr>
      </w:pPr>
      <w:bookmarkStart w:id="1510" w:name="Item9ChangesinandDisagreementswithAccoun"/>
      <w:bookmarkEnd w:id="1510"/>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475"/>
        <w:jc w:val="both"/>
        <w:rPr/>
      </w:pPr>
      <w:r>
        <w:rPr/>
        <w:t>​</w:t>
      </w:r>
    </w:p>
    <w:p>
      <w:pPr>
        <w:pStyle w:val="TextBody"/>
        <w:bidi w:val="0"/>
        <w:spacing w:before="0" w:after="0"/>
        <w:ind w:left="0" w:right="0" w:hanging="0"/>
        <w:jc w:val="left"/>
        <w:rPr>
          <w:rFonts w:ascii="Times New Roman;Times;serif" w:hAnsi="Times New Roman;Times;serif"/>
          <w:b/>
          <w:sz w:val="20"/>
        </w:rPr>
      </w:pPr>
      <w:bookmarkStart w:id="1511" w:name="Item9AControlsandProcedures_325858"/>
      <w:bookmarkStart w:id="1512" w:name="_0ffbffd2_db18_46b0_bc69_a243c1ed3bfc"/>
      <w:bookmarkEnd w:id="1511"/>
      <w:bookmarkEnd w:id="1512"/>
      <w:r>
        <w:rPr>
          <w:rFonts w:ascii="Times New Roman;Times;serif" w:hAnsi="Times New Roman;Times;serif"/>
          <w:b/>
          <w:sz w:val="20"/>
        </w:rPr>
        <w:t>Item 9A. Controls and Procedures</w:t>
      </w:r>
    </w:p>
    <w:p>
      <w:pPr>
        <w:pStyle w:val="TextBody"/>
        <w:bidi w:val="0"/>
        <w:spacing w:before="200" w:after="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June 27, 2026,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Chief Executive Officer and Chief Financial Officer, as appropriate to allow timely decisions regarding required disclosure.</w:t>
      </w:r>
    </w:p>
    <w:p>
      <w:pPr>
        <w:pStyle w:val="TextBody"/>
        <w:bidi w:val="0"/>
        <w:spacing w:before="200" w:after="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policies or procedures may deteriorate. Management conducted an evaluation of the effectiveness of the Company’s internal control over financial reporting as of June 27, 2026. In making this assessment, management used the 2013 framework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issued by the Committee of Sponsoring Organizations of the Treadway Commission and concluded that the Company maintained effective internal control over financial reporting as of June 27, 2026. </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The Company’s independent registered public accounting firm, PricewaterhouseCoopers LLP, has audited the effectiveness of the Company’s internal control over financial reporting as of June 27, 2026, as stated in their report which appears herein.</w:t>
      </w:r>
    </w:p>
    <w:p>
      <w:pPr>
        <w:pStyle w:val="TextBody"/>
        <w:bidi w:val="0"/>
        <w:spacing w:before="20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During the fourth quarter of fiscal 2026,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1513" w:name="Item9BOtherInformation_311162"/>
      <w:bookmarkStart w:id="1514" w:name="_5abc34ed_852f_4554_accb_6c1c53bc2b1e"/>
      <w:bookmarkEnd w:id="1513"/>
      <w:bookmarkEnd w:id="1514"/>
      <w:r>
        <w:rPr>
          <w:rFonts w:ascii="Times New Roman;Times;serif" w:hAnsi="Times New Roman;Times;serif"/>
          <w:b/>
          <w:sz w:val="20"/>
        </w:rPr>
        <w:t>Item 9B. Other Information</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three months ended June 27,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On August 12, 2026 (the “Closing Date”), Avnet, Inc. (“Avnet”), as borrower, entered into a Credit Agreement (the “Credit Agreement”) with the lenders party thereto and Bank of America, N.A., as administrative agent. On the Closing Date, Avnet borrowed an aggregate principal amount of $375,000,000 in U.S. dollar-denominated term loans. The term loans mature on July 1, 2028.</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interest rate applicable to the term loans is, at Avnet’s option, either (a) the “base rate” (defined as the highest of (i) the Federal Funds Rate plus 0.50%, (ii) the Bank of America prime rate, (iii) the term secured overnight financing rate (“Term SOFR”) plus 1.00% and (iv) 1.00%) plus an “applicable rate” or (b) Term SOFR plus an “applicable rate.” The applicable rate is determined by reference to the ratings assigned by Moody’s Ratings, Standard &amp; Poor’s Financial Services LLC and Fitch, Inc. to Avnet’s non-credit-enhanced, senior unsecured long-term debt. Under certain circumstances, including while certain events of default exist, the applicable interest rate may be increased by 2.00% per annum.</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Avnet is required to comply with certain covenants while the term loans are outstanding. The failure to satisfy any of the covenants or the occurrence of other specified events that constitute an event of default could result in acceleration of Avnet’s repayment obligations under the Credit Agreement.</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description of the Credit Agreement set forth above is only a summary of its material terms and does not purport to be complete, and is qualified in its entirety by reference to the full and complete terms contained in the Credit Agreement, which is filed as Exhibit 10.20 to this Annual Report on Form 10-K and incorporated herein by reference. The Credit Agreement is not intended to be a source of factual, business or operational information about Avnet or its subsidiaries. The representations, warranties and covenants contained in the Credit Agreement were made only for purposes of that agreement and as of specific dates, were solely for the benefit of the parties to that agreement, and may be subject to limitations agreed upon by the parties, including being qualified by disclosures for the purpose of allocating contractual risk among the parties instead of establishing matters as facts. Such representations, warranties and covenants also may be subject to standards of materiality applicable to the contracting parties that differ from those applicable to investors or security holders. Accordingly, investors should not rely on the representations, warranties and covenants or any descriptions thereof as characterizations of the actual state of facts or condition of the parties.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Some or all of the parties to the Credit Agreement, or their affiliates, have in the past provided investment or commercial banking services to Avnet and its affiliates for which they received customary fees and expenses, and they may provide similar services in the future.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b/>
          <w:sz w:val="20"/>
        </w:rPr>
      </w:pPr>
      <w:bookmarkStart w:id="1515" w:name="Item9CDisclosureRegardingForeignJurisdic"/>
      <w:bookmarkStart w:id="1516" w:name="_9f46610b_a1f3_400b_bb27_2922e0bd1867"/>
      <w:bookmarkEnd w:id="1515"/>
      <w:bookmarkEnd w:id="1516"/>
      <w:r>
        <w:rPr>
          <w:rFonts w:ascii="Times New Roman;Times;serif" w:hAnsi="Times New Roman;Times;serif"/>
          <w:b/>
          <w:sz w:val="20"/>
        </w:rPr>
        <w:t>Item 9C. Disclosure Regarding Foreign Jurisdictions that Prevent Inspections</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343" w:before="0" w:after="0"/>
        <w:ind w:left="0" w:right="0" w:hanging="0"/>
        <w:jc w:val="left"/>
        <w:rPr/>
      </w:pPr>
      <w:r>
        <w:rPr/>
        <w:t>​</w:t>
      </w:r>
    </w:p>
    <w:p>
      <w:pPr>
        <w:pStyle w:val="TextBody"/>
        <w:bidi w:val="0"/>
        <w:spacing w:lineRule="auto" w:line="343" w:before="200" w:after="0"/>
        <w:ind w:left="0" w:right="0" w:hanging="0"/>
        <w:jc w:val="center"/>
        <w:rPr>
          <w:rFonts w:ascii="Times New Roman;Times;serif" w:hAnsi="Times New Roman;Times;serif"/>
          <w:b/>
          <w:sz w:val="20"/>
        </w:rPr>
      </w:pPr>
      <w:bookmarkStart w:id="1517" w:name="PARTIII_243199"/>
      <w:bookmarkEnd w:id="1517"/>
      <w:r>
        <w:rPr>
          <w:rFonts w:ascii="Times New Roman;Times;serif" w:hAnsi="Times New Roman;Times;serif"/>
          <w:b/>
          <w:sz w:val="20"/>
        </w:rPr>
        <w:t>PART III</w:t>
      </w:r>
    </w:p>
    <w:p>
      <w:pPr>
        <w:pStyle w:val="TextBody"/>
        <w:bidi w:val="0"/>
        <w:spacing w:lineRule="auto" w:line="343" w:before="0" w:after="0"/>
        <w:ind w:left="0" w:right="0" w:hanging="0"/>
        <w:jc w:val="right"/>
        <w:rPr/>
      </w:pPr>
      <w:r>
        <w:rPr/>
        <w:t>​</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bookmarkStart w:id="1518" w:name="Item10DirectorsExecutiveOfficersandCorpo"/>
      <w:bookmarkStart w:id="1519" w:name="_220b8bbb_fa35_4d7e_ad25_8ffd9e03f12a"/>
      <w:bookmarkEnd w:id="1518"/>
      <w:bookmarkEnd w:id="1519"/>
      <w:r>
        <w:rPr>
          <w:rFonts w:ascii="Times New Roman;Times;serif" w:hAnsi="Times New Roman;Times;serif"/>
          <w:b/>
          <w:sz w:val="20"/>
        </w:rPr>
        <w:t xml:space="preserve">Item 10. </w:t>
      </w:r>
      <w:r>
        <w:rPr>
          <w:rFonts w:ascii="Times New Roman;Times;serif" w:hAnsi="Times New Roman;Times;serif"/>
          <w:b/>
          <w:i/>
          <w:sz w:val="20"/>
        </w:rPr>
        <w:t>Directors, Executive Officers and Corporate</w:t>
      </w:r>
      <w:r>
        <w:rPr>
          <w:rFonts w:ascii="Times New Roman;Times;serif" w:hAnsi="Times New Roman;Times;serif"/>
          <w:sz w:val="20"/>
        </w:rPr>
        <w:t xml:space="preserve"> </w:t>
      </w:r>
      <w:r>
        <w:rPr>
          <w:rFonts w:ascii="Times New Roman;Times;serif" w:hAnsi="Times New Roman;Times;serif"/>
          <w:b/>
          <w:i/>
          <w:sz w:val="20"/>
        </w:rPr>
        <w:t>Governance</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adopted an Insider Trading Policy governing the purchase, sale, and other dispositions of the Company’s securities by its directors, officers, employees, and designated contractors, as well as by the Company itself. The Company believes that the policy is reasonably designed to promote compliance with applicable law and exchange listing standards regarding insider trading. A copy of the policy is filed as Exhibit 19.1 to the Annual Report.</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Other information called for by Item 10 is incorporated in this Report by reference to the Company’s definitive proxy statement relating to the Annual Meeting of Stockholders scheduled to be held on November 20, 2026.</w:t>
      </w:r>
    </w:p>
    <w:p>
      <w:pPr>
        <w:pStyle w:val="TextBody"/>
        <w:bidi w:val="0"/>
        <w:spacing w:before="0" w:after="0"/>
        <w:ind w:left="0" w:right="0" w:firstLine="475"/>
        <w:jc w:val="left"/>
        <w:rPr/>
      </w:pPr>
      <w:r>
        <w:rPr/>
        <w:t>​</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bookmarkStart w:id="1520" w:name="Item11ExecutiveCompensation_430289"/>
      <w:bookmarkStart w:id="1521" w:name="_ee595e4a_e37a_4db2_9923_50d17a7bea7a"/>
      <w:bookmarkEnd w:id="1520"/>
      <w:bookmarkEnd w:id="1521"/>
      <w:r>
        <w:rPr>
          <w:rFonts w:ascii="Times New Roman;Times;serif" w:hAnsi="Times New Roman;Times;serif"/>
          <w:b/>
          <w:sz w:val="20"/>
        </w:rPr>
        <w:t xml:space="preserve">Item 11. </w:t>
      </w:r>
      <w:r>
        <w:rPr>
          <w:rFonts w:ascii="Times New Roman;Times;serif" w:hAnsi="Times New Roman;Times;serif"/>
          <w:b/>
          <w:i/>
          <w:sz w:val="20"/>
        </w:rPr>
        <w:t>Executive Compensation</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information called for by Item 11 is incorporated in this Report by reference to the Company’s definitive proxy statement relating to the Annual Meeting of Stockholders scheduled to be held on November 20, 2026.</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left"/>
        <w:rPr>
          <w:rFonts w:ascii="Times New Roman;Times;serif" w:hAnsi="Times New Roman;Times;serif"/>
          <w:sz w:val="20"/>
        </w:rPr>
      </w:pPr>
      <w:bookmarkStart w:id="1522" w:name="Item12SecurityOwnershipofCertainBenefici"/>
      <w:bookmarkStart w:id="1523" w:name="_8b0ac521_3c7d_4f0c_8c5c_f1ab421d7a35"/>
      <w:bookmarkEnd w:id="1522"/>
      <w:bookmarkEnd w:id="1523"/>
      <w:r>
        <w:rPr>
          <w:rFonts w:ascii="Times New Roman;Times;serif" w:hAnsi="Times New Roman;Times;serif"/>
          <w:b/>
          <w:sz w:val="20"/>
        </w:rPr>
        <w:t xml:space="preserve">Item 12. </w:t>
      </w:r>
      <w:r>
        <w:rPr>
          <w:rFonts w:ascii="Times New Roman;Times;serif" w:hAnsi="Times New Roman;Times;serif"/>
          <w:b/>
          <w:i/>
          <w:sz w:val="20"/>
        </w:rPr>
        <w:t>Security Ownership of Certain Beneficial Owners</w:t>
      </w:r>
      <w:r>
        <w:rPr>
          <w:rFonts w:ascii="Times New Roman;Times;serif" w:hAnsi="Times New Roman;Times;serif"/>
          <w:sz w:val="20"/>
        </w:rPr>
        <w:t xml:space="preserve"> </w:t>
      </w:r>
      <w:r>
        <w:rPr>
          <w:rFonts w:ascii="Times New Roman;Times;serif" w:hAnsi="Times New Roman;Times;serif"/>
          <w:b/>
          <w:i/>
          <w:sz w:val="20"/>
        </w:rPr>
        <w:t>and Management and Related Stockholder Matters</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The information called for by Item 12 is incorporated in this Report by reference to the Company’s definitive proxy statement relating to the Annual Meeting of Stockholders scheduled to be held on November 20, 2026.</w:t>
      </w:r>
    </w:p>
    <w:p>
      <w:pPr>
        <w:pStyle w:val="TextBody"/>
        <w:bidi w:val="0"/>
        <w:spacing w:lineRule="auto" w:line="343"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left"/>
        <w:rPr>
          <w:rFonts w:ascii="Times New Roman;Times;serif" w:hAnsi="Times New Roman;Times;serif"/>
          <w:sz w:val="20"/>
        </w:rPr>
      </w:pPr>
      <w:bookmarkStart w:id="1524" w:name="Item13CertainRelationshipsandRelatedTran"/>
      <w:bookmarkStart w:id="1525" w:name="_9b4d56ed_d58f_42e0_ba0f_ff3e2ab9d29a"/>
      <w:bookmarkEnd w:id="1524"/>
      <w:bookmarkEnd w:id="1525"/>
      <w:r>
        <w:rPr>
          <w:rFonts w:ascii="Times New Roman;Times;serif" w:hAnsi="Times New Roman;Times;serif"/>
          <w:b/>
          <w:sz w:val="20"/>
        </w:rPr>
        <w:t xml:space="preserve">Item 13. </w:t>
      </w:r>
      <w:r>
        <w:rPr>
          <w:rFonts w:ascii="Times New Roman;Times;serif" w:hAnsi="Times New Roman;Times;serif"/>
          <w:b/>
          <w:i/>
          <w:sz w:val="20"/>
        </w:rPr>
        <w:t>Certain Relationships and Related Transactions, and Director Independence</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The information called for by Item 13 is incorporated in this Report by reference to the Company’s definitive proxy statement relating to the Annual Meeting of Shareholders scheduled to be held on November 20, 2026.</w:t>
      </w:r>
    </w:p>
    <w:p>
      <w:pPr>
        <w:pStyle w:val="TextBody"/>
        <w:bidi w:val="0"/>
        <w:spacing w:lineRule="auto" w:line="343" w:before="0" w:after="0"/>
        <w:ind w:left="0" w:right="0" w:firstLine="475"/>
        <w:jc w:val="left"/>
        <w:rPr/>
      </w:pPr>
      <w:r>
        <w:rPr/>
        <w:t>​</w:t>
      </w:r>
    </w:p>
    <w:p>
      <w:pPr>
        <w:pStyle w:val="TextBody"/>
        <w:bidi w:val="0"/>
        <w:spacing w:lineRule="auto" w:line="343" w:before="0" w:after="0"/>
        <w:ind w:left="0" w:right="0" w:hanging="0"/>
        <w:jc w:val="left"/>
        <w:rPr>
          <w:rFonts w:ascii="Times New Roman;Times;serif" w:hAnsi="Times New Roman;Times;serif"/>
          <w:sz w:val="20"/>
        </w:rPr>
      </w:pPr>
      <w:bookmarkStart w:id="1526" w:name="Item14PrincipalAccountingFeesand_265972"/>
      <w:bookmarkStart w:id="1527" w:name="_394222d9_3da6_49c9_9c19_ba019242f577"/>
      <w:bookmarkEnd w:id="1526"/>
      <w:bookmarkEnd w:id="1527"/>
      <w:r>
        <w:rPr>
          <w:rFonts w:ascii="Times New Roman;Times;serif" w:hAnsi="Times New Roman;Times;serif"/>
          <w:b/>
          <w:sz w:val="20"/>
        </w:rPr>
        <w:t xml:space="preserve">Item 14. </w:t>
      </w:r>
      <w:r>
        <w:rPr>
          <w:rFonts w:ascii="Times New Roman;Times;serif" w:hAnsi="Times New Roman;Times;serif"/>
          <w:b/>
          <w:i/>
          <w:sz w:val="20"/>
        </w:rPr>
        <w:t>Principal Accounting Fees and</w:t>
      </w:r>
      <w:r>
        <w:rPr>
          <w:rFonts w:ascii="Times New Roman;Times;serif" w:hAnsi="Times New Roman;Times;serif"/>
          <w:sz w:val="20"/>
        </w:rPr>
        <w:t xml:space="preserve"> </w:t>
      </w:r>
      <w:r>
        <w:rPr>
          <w:rFonts w:ascii="Times New Roman;Times;serif" w:hAnsi="Times New Roman;Times;serif"/>
          <w:b/>
          <w:i/>
          <w:sz w:val="20"/>
        </w:rPr>
        <w:t>Services</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The information called for by Item 14 is incorporated in this Report by reference to the Company’s definitive proxy statement relating to the Annual Meeting of Stockholders scheduled to be held on November 20, 2026.</w:t>
      </w:r>
    </w:p>
    <w:p>
      <w:pPr>
        <w:pStyle w:val="TextBody"/>
        <w:bidi w:val="0"/>
        <w:spacing w:before="0" w:after="0"/>
        <w:ind w:left="0" w:right="0" w:hanging="0"/>
        <w:jc w:val="left"/>
        <w:rPr/>
      </w:pPr>
      <w:r>
        <w:rPr/>
        <w:t>​</w:t>
      </w:r>
    </w:p>
    <w:p>
      <w:pPr>
        <w:pStyle w:val="TextBody"/>
        <w:bidi w:val="0"/>
        <w:spacing w:lineRule="auto" w:line="343" w:before="200" w:after="0"/>
        <w:ind w:left="0" w:right="0" w:hanging="0"/>
        <w:jc w:val="center"/>
        <w:rPr>
          <w:rFonts w:ascii="Times New Roman;Times;serif" w:hAnsi="Times New Roman;Times;serif"/>
          <w:b/>
          <w:sz w:val="20"/>
        </w:rPr>
      </w:pPr>
      <w:bookmarkStart w:id="1528" w:name="PARTIV_461467"/>
      <w:bookmarkStart w:id="1529" w:name="_8718c99a_d349_40d5_b5c3_90e943fe0ccd"/>
      <w:bookmarkEnd w:id="1528"/>
      <w:bookmarkEnd w:id="1529"/>
      <w:r>
        <w:rPr>
          <w:rFonts w:ascii="Times New Roman;Times;serif" w:hAnsi="Times New Roman;Times;serif"/>
          <w:b/>
          <w:sz w:val="20"/>
        </w:rPr>
        <w:t>PART IV</w:t>
      </w:r>
    </w:p>
    <w:p>
      <w:pPr>
        <w:pStyle w:val="TextBody"/>
        <w:bidi w:val="0"/>
        <w:spacing w:lineRule="auto" w:line="343" w:before="200" w:after="0"/>
        <w:ind w:left="0" w:right="0" w:hanging="0"/>
        <w:jc w:val="left"/>
        <w:rPr>
          <w:rFonts w:ascii="Times New Roman;Times;serif" w:hAnsi="Times New Roman;Times;serif"/>
          <w:sz w:val="20"/>
        </w:rPr>
      </w:pPr>
      <w:bookmarkStart w:id="1530" w:name="Item15ExhibitsandFinancial_306219"/>
      <w:bookmarkEnd w:id="1530"/>
      <w:r>
        <w:rPr>
          <w:rFonts w:ascii="Times New Roman;Times;serif" w:hAnsi="Times New Roman;Times;serif"/>
          <w:b/>
          <w:sz w:val="20"/>
        </w:rPr>
        <w:t xml:space="preserve">Item 15. </w:t>
      </w:r>
      <w:r>
        <w:rPr>
          <w:rFonts w:ascii="Times New Roman;Times;serif" w:hAnsi="Times New Roman;Times;serif"/>
          <w:b/>
          <w:i/>
          <w:sz w:val="20"/>
        </w:rPr>
        <w:t>Exhibits and Financial</w:t>
      </w:r>
      <w:r>
        <w:rPr>
          <w:rFonts w:ascii="Times New Roman;Times;serif" w:hAnsi="Times New Roman;Times;serif"/>
          <w:sz w:val="20"/>
        </w:rPr>
        <w:t xml:space="preserve"> </w:t>
      </w:r>
      <w:r>
        <w:rPr>
          <w:rFonts w:ascii="Times New Roman;Times;serif" w:hAnsi="Times New Roman;Times;serif"/>
          <w:b/>
          <w:i/>
          <w:sz w:val="20"/>
        </w:rPr>
        <w:t>Statement Schedules</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financial statements and supplementary data are listed in the index included under Item 8 of this Report.</w:t>
      </w:r>
    </w:p>
    <w:p>
      <w:pPr>
        <w:pStyle w:val="TextBody"/>
        <w:bidi w:val="0"/>
        <w:spacing w:lineRule="auto" w:line="343" w:before="200" w:after="0"/>
        <w:ind w:left="0" w:right="0" w:firstLine="475"/>
        <w:jc w:val="left"/>
        <w:rPr>
          <w:rFonts w:ascii="Times New Roman;Times;serif" w:hAnsi="Times New Roman;Times;serif"/>
          <w:sz w:val="20"/>
        </w:rPr>
      </w:pPr>
      <w:r>
        <w:rPr>
          <w:rFonts w:ascii="Times New Roman;Times;serif" w:hAnsi="Times New Roman;Times;serif"/>
          <w:sz w:val="20"/>
        </w:rPr>
        <w:t>The exhibits listed below are filed as part of this report.</w:t>
      </w:r>
    </w:p>
    <w:p>
      <w:pPr>
        <w:pStyle w:val="TextBody"/>
        <w:bidi w:val="0"/>
        <w:spacing w:before="0" w:after="0"/>
        <w:ind w:left="0" w:right="0" w:hanging="0"/>
        <w:jc w:val="left"/>
        <w:rPr/>
      </w:pPr>
      <w:r>
        <w:rPr/>
        <w:t>​</w:t>
      </w:r>
    </w:p>
    <w:p>
      <w:pPr>
        <w:pStyle w:val="TextBody"/>
        <w:bidi w:val="0"/>
        <w:spacing w:lineRule="auto" w:line="343" w:before="200" w:after="120"/>
        <w:ind w:left="0" w:right="0" w:hanging="0"/>
        <w:jc w:val="center"/>
        <w:rPr>
          <w:rFonts w:ascii="Times New Roman;Times;serif" w:hAnsi="Times New Roman;Times;serif"/>
          <w:b/>
          <w:sz w:val="20"/>
        </w:rPr>
      </w:pPr>
      <w:bookmarkStart w:id="1531" w:name="INDEXTOEXHIBITS_204769"/>
      <w:bookmarkEnd w:id="1531"/>
      <w:r>
        <w:rPr>
          <w:rFonts w:ascii="Times New Roman;Times;serif" w:hAnsi="Times New Roman;Times;serif"/>
          <w:b/>
          <w:sz w:val="20"/>
        </w:rPr>
        <w:t>INDEX TO EXHIBITS</w:t>
      </w:r>
    </w:p>
    <w:tbl>
      <w:tblPr>
        <w:tblW w:w="10205" w:type="dxa"/>
        <w:jc w:val="left"/>
        <w:tblInd w:w="0" w:type="dxa"/>
        <w:tblLayout w:type="fixed"/>
        <w:tblCellMar>
          <w:top w:w="0" w:type="dxa"/>
          <w:left w:w="0" w:type="dxa"/>
          <w:bottom w:w="28" w:type="dxa"/>
          <w:right w:w="0" w:type="dxa"/>
        </w:tblCellMar>
      </w:tblPr>
      <w:tblGrid>
        <w:gridCol w:w="811"/>
        <w:gridCol w:w="109"/>
        <w:gridCol w:w="9285"/>
      </w:tblGrid>
      <w:tr>
        <w:trPr/>
        <w:tc>
          <w:tcPr>
            <w:tcW w:w="8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109" w:type="dxa"/>
            <w:tcBorders>
              <w:bottom w:val="single" w:sz="8" w:space="0" w:color="000000"/>
            </w:tcBorders>
            <w:vAlign w:val="center"/>
          </w:tcPr>
          <w:p>
            <w:pPr>
              <w:pStyle w:val="TableContents"/>
              <w:bidi w:val="0"/>
              <w:spacing w:before="0" w:after="0"/>
              <w:ind w:left="0" w:right="0" w:hanging="0"/>
              <w:jc w:val="left"/>
              <w:rPr/>
            </w:pPr>
            <w:r>
              <w:rPr/>
              <w:t>​</w:t>
            </w:r>
          </w:p>
        </w:tc>
        <w:tc>
          <w:tcPr>
            <w:tcW w:w="928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herein by reference to Exhibit 3(i) to the Company’s Current Report on Form 8-K filed on February 12, 2001).</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lineRule="auto" w:line="343" w:before="0" w:after="0"/>
              <w:ind w:left="0" w:right="0" w:hanging="0"/>
              <w:jc w:val="both"/>
              <w:rPr/>
            </w:pPr>
            <w:hyperlink r:id="rId4">
              <w:r>
                <w:rPr>
                  <w:rStyle w:val="InternetLink"/>
                  <w:rFonts w:ascii="Times New Roman;Times;serif" w:hAnsi="Times New Roman;Times;serif"/>
                  <w:b w:val="false"/>
                  <w:i w:val="false"/>
                  <w:caps w:val="false"/>
                  <w:smallCaps w:val="false"/>
                  <w:sz w:val="20"/>
                </w:rPr>
                <w:t>By-laws of the Company, as amended May 22, 2023 (incorporated herein by reference to Exhibit 3.1 to the Company’s Current Report on Form 8-K filed on May 24, 2023).</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Description of Registrant’s Securities (incorporated herein by reference to Exhibit 4.1 to the Company’s Annual Report on Form 10-K filed on August 15, 2019).</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Indenture dated as of June 22, 2010, between the Company and Computershare Trust Company, National Association as successor to and Wells Fargo Bank, National Association, as Trustee, providing for the issuance of Debt Securities in one or more series (incorporated herein by reference to Exhibit 4.1 to the Company’s Current Report on Form 8-K filed on June 22, 2010).</w:t>
              </w:r>
            </w:hyperlink>
          </w:p>
        </w:tc>
      </w:tr>
      <w:tr>
        <w:trPr/>
        <w:tc>
          <w:tcPr>
            <w:tcW w:w="81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Indenture dated as of September 5, 2025, between the Company and U.S. Bank Trust Company, National Association, as trustee (incorporated herein by reference to Exhibit 4.1 to the Company’s Current Report on Form 8-K filed on September 5, 2025).</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Officers’ Certificate establishing the terms of the 4.625% Notes due 2026 (incorporated herein by reference to Exhibit 4.1 to the Company’s Current Report on Form 8-K filed on March 22, 2016).</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Officer’s Certificate setting forth the terms of the 3.00% Notes due 2031 (incorporated herein by reference to Exhibit 4.1 to the Company’s Current Report on Form 8-K filed on May 5, 2021).</w:t>
              </w:r>
            </w:hyperlink>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Officer’s Certificate setting forth the terms of the 5.50% Notes due 2032 (incorporated herein by reference to Exhibit 4.1 to the Company’s Current Report on Form 8-K filed on May 16, 2022).</w:t>
              </w:r>
            </w:hyperlink>
          </w:p>
        </w:tc>
      </w:tr>
      <w:tr>
        <w:trPr/>
        <w:tc>
          <w:tcPr>
            <w:tcW w:w="81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r>
              <w:rPr/>
              <w:t>​</w:t>
            </w:r>
          </w:p>
        </w:tc>
      </w:tr>
      <w:tr>
        <w:trPr/>
        <w:tc>
          <w:tcPr>
            <w:tcW w:w="8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109" w:type="dxa"/>
            <w:tcBorders/>
            <w:tcMar>
              <w:bottom w:w="0" w:type="dxa"/>
            </w:tcMar>
            <w:vAlign w:val="center"/>
          </w:tcPr>
          <w:p>
            <w:pPr>
              <w:pStyle w:val="TableContents"/>
              <w:bidi w:val="0"/>
              <w:spacing w:before="0" w:after="0"/>
              <w:ind w:left="0" w:right="0" w:hanging="0"/>
              <w:jc w:val="left"/>
              <w:rPr/>
            </w:pPr>
            <w:r>
              <w:rPr/>
              <w:t>​</w:t>
            </w:r>
          </w:p>
        </w:tc>
        <w:tc>
          <w:tcPr>
            <w:tcW w:w="9285"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Officers’ Certificate setting forth the terms of the 6.25% Notes due 2028 (incorporated herein by reference to Exhibit 4.1 to the Company’s Current Report on Form 8-K filed on March 8,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The total amount of securities authorized under any other instrument that defines the rights of holders of the Company’s long-term debt does not exceed 10% of the total assets of the Company and its subsidiaries on a consolidated basis. Therefore, these instruments are not required to be filed as exhibits to this Report. The Company agrees to furnish copies of such instruments to the Commission upon request.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Compensation Plans and Arrangements</w:t>
            </w:r>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Letter Agreement between the Company and Philip R. Gallagher as Chief Executive Officer dated November 17, 2020 (incorporated herein by reference to Exhibit 10.2 to the Company’s Quarterly Report on Form 10-Q filed on January 29,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Letter Agreement between the Company</w:t>
              </w:r>
            </w:hyperlink>
            <w:hyperlink r:id="rId14">
              <w:r>
                <w:rPr>
                  <w:rStyle w:val="InternetLink"/>
                  <w:rFonts w:ascii="Times New Roman;Times;serif" w:hAnsi="Times New Roman;Times;serif"/>
                  <w:caps w:val="false"/>
                  <w:smallCaps w:val="false"/>
                  <w:sz w:val="20"/>
                </w:rPr>
                <w:t xml:space="preserve"> </w:t>
              </w:r>
            </w:hyperlink>
            <w:hyperlink r:id="rId15">
              <w:r>
                <w:rPr>
                  <w:rStyle w:val="InternetLink"/>
                  <w:rFonts w:ascii="Times New Roman;Times;serif" w:hAnsi="Times New Roman;Times;serif"/>
                  <w:b w:val="false"/>
                  <w:i w:val="false"/>
                  <w:caps w:val="false"/>
                  <w:smallCaps w:val="false"/>
                  <w:sz w:val="20"/>
                </w:rPr>
                <w:t>and Kenneth Jacobson as Chief Financial Officer dated August 30, 2022 (incorporated herein by reference to Exhibit 10.2 to the Company’s Current Report on Form 8-K filed on September 6, 2022).</w:t>
              </w:r>
            </w:hyperlink>
            <w:r>
              <w:rPr>
                <w:rFonts w:ascii="Times New Roman;Times;serif" w:hAnsi="Times New Roman;Times;serif"/>
                <w:sz w:val="20"/>
              </w:rPr>
              <w:t xml:space="preserve"> </w:t>
            </w:r>
          </w:p>
        </w:tc>
      </w:tr>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Letter Agreement between the Company and Ken Arnold, Max Chan, Michael McCoy, Elizabeth McMullen, and Dave Youngblood (incorporated herein by reference to Exhibit 10.2 to the Company’s Annual Report on Form 10-K filed on August 17, 2017).</w:t>
              </w:r>
            </w:hyperlink>
          </w:p>
        </w:tc>
      </w:tr>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Change of Control Agreement between the Company and Philip Gallagher, Kenneth Jacobson, Ken Arnold, Max Chan, Michael McCoy, Elizabeth McMullen, and Dave Youngblood (incorporated herein by reference to Exhibit 10.3 to the Company’s Current Report on Form 8-K filed on February 15, 2011).</w:t>
              </w:r>
            </w:hyperlink>
          </w:p>
        </w:tc>
      </w:tr>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Indemnity Agreement between the Company and its directors and officers (incorporated herein by reference to Exhibit 10.1 to the Company’s Quarterly Report on Form 10-Q filed on November 3, 2023).</w:t>
              </w:r>
            </w:hyperlink>
          </w:p>
        </w:tc>
      </w:tr>
      <w:tr>
        <w:trPr/>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Avnet Executive Severance Plan (Effective as of August 10, 2017) (incorporated herein by reference to Exhibit 10.1 to the Company’s Quarterly Report on Form 10-Q filed on October 30, 2017).</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Avnet Supplemental Executive Officers’ Retirement Plan (2013 Restatement) (incorporated herein by reference to Exhibit 10.13 to the Company’s Annual Report on Form 10-K filed on August 9, 2013).</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Avnet Restoration Plan (2013 Restatement) (incorporated herein by reference to Exhibit 10.14 to the Company’s Annual Report on Form 10-K filed on August 9, 2013).</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Avnet, Inc. 2016 Stock Compensation and Incentive Plan (Amended and Restated Effective as of May 8, 2018). (incorporated herein by reference to Exhibit 10.12 to the Company’s Annual Report on Form 10-K filed on August 17, 2018). Refer to Exhibit 10.12 above, for the form of awards under the 2016 Stock Compensation and Incentive Plan.</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Avnet, Inc. 2021 Stock Compensation and Incentive Plan (incorporated herein by reference to Exhibit 10.2 to the Company’s Quarterly Report on Form 10-Q filed on April 29, 2022).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211"/>
        <w:gridCol w:w="9408"/>
      </w:tblGrid>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Avnet, Inc. 2021 Stock Compensation and Incentive Plan:</w:t>
                <w:br/>
                <w:t>(a) Form of Award Letter for Restricted Stock Unit Award</w:t>
              </w:r>
            </w:hyperlink>
            <w:r>
              <w:rPr>
                <w:rFonts w:ascii="Times New Roman;Times;serif" w:hAnsi="Times New Roman;Times;serif"/>
                <w:sz w:val="20"/>
              </w:rPr>
              <w:br/>
            </w:r>
            <w:hyperlink r:id="rId25">
              <w:r>
                <w:rPr>
                  <w:rStyle w:val="InternetLink"/>
                  <w:rFonts w:ascii="Times New Roman;Times;serif" w:hAnsi="Times New Roman;Times;serif"/>
                  <w:b w:val="false"/>
                  <w:i w:val="false"/>
                  <w:caps w:val="false"/>
                  <w:smallCaps w:val="false"/>
                  <w:sz w:val="20"/>
                </w:rPr>
                <w:t>(b) Form of Award Letter for Performance Stock Unit Award</w:t>
              </w:r>
            </w:hyperlink>
            <w:r>
              <w:rPr>
                <w:rFonts w:ascii="Times New Roman;Times;serif" w:hAnsi="Times New Roman;Times;serif"/>
                <w:sz w:val="20"/>
              </w:rPr>
              <w:br/>
            </w:r>
            <w:hyperlink r:id="rId26">
              <w:r>
                <w:rPr>
                  <w:rStyle w:val="InternetLink"/>
                  <w:rFonts w:ascii="Times New Roman;Times;serif" w:hAnsi="Times New Roman;Times;serif"/>
                  <w:b w:val="false"/>
                  <w:i w:val="false"/>
                  <w:caps w:val="false"/>
                  <w:smallCaps w:val="false"/>
                  <w:sz w:val="20"/>
                </w:rPr>
                <w:t>(c) Form of Award Letter for Nonqualified Stock Option Award</w:t>
                <w:br/>
                <w:t>(incorporated herein by reference to Exhibit 10.3 to the Company’s Quarterly Report on Form 10-Q filed on April 29, 2022).</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vAlign w:val="center"/>
          </w:tcPr>
          <w:p>
            <w:pPr>
              <w:pStyle w:val="TableContents"/>
              <w:bidi w:val="0"/>
              <w:spacing w:before="0" w:after="0"/>
              <w:ind w:left="0" w:right="0" w:hanging="0"/>
              <w:jc w:val="left"/>
              <w:rPr/>
            </w:pPr>
            <w:hyperlink w:anchor="avt-20260627xex10d12.htm">
              <w:r>
                <w:rPr>
                  <w:rStyle w:val="InternetLink"/>
                  <w:rFonts w:ascii="Times New Roman;Times;serif" w:hAnsi="Times New Roman;Times;serif"/>
                  <w:b w:val="false"/>
                  <w:i w:val="false"/>
                  <w:caps w:val="false"/>
                  <w:smallCaps w:val="false"/>
                  <w:sz w:val="20"/>
                </w:rPr>
                <w:t>Avnet, Inc. 2025 Stock Compensation and Incentive Plan.</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vAlign w:val="center"/>
          </w:tcPr>
          <w:p>
            <w:pPr>
              <w:pStyle w:val="TableContents"/>
              <w:bidi w:val="0"/>
              <w:spacing w:before="0" w:after="0"/>
              <w:ind w:left="0" w:right="0" w:hanging="0"/>
              <w:jc w:val="left"/>
              <w:rPr/>
            </w:pPr>
            <w:hyperlink w:anchor="avt-20260627xex10d13a.htm">
              <w:r>
                <w:rPr>
                  <w:rStyle w:val="InternetLink"/>
                  <w:rFonts w:ascii="Times New Roman;Times;serif" w:hAnsi="Times New Roman;Times;serif"/>
                  <w:sz w:val="20"/>
                </w:rPr>
                <w:t>Avnet, Inc. 2025 Stock Compensation and Incentive Plan:</w:t>
              </w:r>
            </w:hyperlink>
          </w:p>
          <w:p>
            <w:pPr>
              <w:pStyle w:val="TableContents"/>
              <w:bidi w:val="0"/>
              <w:spacing w:before="0" w:after="0"/>
              <w:ind w:left="0" w:right="0" w:hanging="0"/>
              <w:jc w:val="left"/>
              <w:rPr/>
            </w:pPr>
            <w:hyperlink w:anchor="avt-20260627xex10d13a.htm">
              <w:r>
                <w:rPr>
                  <w:rStyle w:val="InternetLink"/>
                  <w:rFonts w:ascii="Times New Roman;Times;serif" w:hAnsi="Times New Roman;Times;serif"/>
                  <w:sz w:val="20"/>
                </w:rPr>
                <w:t>(a)</w:t>
              </w:r>
            </w:hyperlink>
            <w:hyperlink w:anchor="avt-20260627xex10d13a.htm">
              <w:r>
                <w:rPr>
                  <w:rStyle w:val="InternetLink"/>
                  <w:rFonts w:ascii="Times New Roman;Times;serif" w:hAnsi="Times New Roman;Times;serif"/>
                  <w:sz w:val="20"/>
                </w:rPr>
                <w:t>Form of Award Letter for Restricted Stock Unit Award</w:t>
              </w:r>
            </w:hyperlink>
          </w:p>
          <w:p>
            <w:pPr>
              <w:pStyle w:val="TableContents"/>
              <w:bidi w:val="0"/>
              <w:spacing w:before="0" w:after="0"/>
              <w:ind w:left="0" w:right="0" w:hanging="0"/>
              <w:jc w:val="left"/>
              <w:rPr/>
            </w:pPr>
            <w:hyperlink w:anchor="avt-20260627xex10d13b.htm">
              <w:r>
                <w:rPr>
                  <w:rStyle w:val="InternetLink"/>
                  <w:rFonts w:ascii="Times New Roman;Times;serif" w:hAnsi="Times New Roman;Times;serif"/>
                  <w:b w:val="false"/>
                  <w:i w:val="false"/>
                  <w:caps w:val="false"/>
                  <w:smallCaps w:val="false"/>
                  <w:sz w:val="20"/>
                </w:rPr>
                <w:t>(b)Form of Award Letter for Performance Stock Unit Award</w:t>
              </w:r>
            </w:hyperlink>
          </w:p>
          <w:p>
            <w:pPr>
              <w:pStyle w:val="TableContents"/>
              <w:bidi w:val="0"/>
              <w:spacing w:before="0" w:after="0"/>
              <w:ind w:left="0" w:right="0" w:hanging="0"/>
              <w:jc w:val="left"/>
              <w:rPr/>
            </w:pPr>
            <w:hyperlink w:anchor="avt-20260627xex10d13c.htm">
              <w:r>
                <w:rPr>
                  <w:rStyle w:val="InternetLink"/>
                  <w:rFonts w:ascii="Times New Roman;Times;serif" w:hAnsi="Times New Roman;Times;serif"/>
                  <w:b w:val="false"/>
                  <w:i w:val="false"/>
                  <w:caps w:val="false"/>
                  <w:smallCaps w:val="false"/>
                  <w:sz w:val="20"/>
                </w:rPr>
                <w:t>(c)Form of Award Letter for Nonqualified Stock Option Award.</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Avnet, Inc. Deferred Compensation Plan for Outside Directors (Amended and Restated Effective as of May 8, 2018) (incorporated herein by reference to Exhibit 10.5 to the Company’s Annual Report on Form 10-K filed on August 17, 2018).</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Bank Agreements</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Securitization Program</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(a) Receivables Sale Agreement: (1) Second Amended and Restated Receivables Sale Agreement, dated August 16, 2018, between Avnet, Inc. and Avnet Receivables Corporation (incorporated herein by reference to Exhibit 10.2 to the Company’s Current Report on Form 8-K filed on August 17, 2018).</w:t>
              </w:r>
            </w:hyperlink>
          </w:p>
          <w:p>
            <w:pPr>
              <w:pStyle w:val="TableContents"/>
              <w:bidi w:val="0"/>
              <w:spacing w:before="0" w:after="0"/>
              <w:ind w:left="0" w:right="0" w:hanging="0"/>
              <w:jc w:val="left"/>
              <w:rPr/>
            </w:pPr>
            <w:r>
              <w:rPr/>
              <w:t>​</w:t>
            </w:r>
          </w:p>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(2) Amendment No. 1 to the Second Amended and Restated Receivables Sale Agreement, dated July 31, 2020, among Avnet, Inc. and Avnet Receivables Corporation (incorporated herein by reference to Exhibit 10.2 to the Company’s Current Report on Form 8-K filed on August 6, 2020).</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(b) Receivables Purchase Agreement: (1) Fourth Amended and Restated Receivables Purchase Agreement, dated August 16, 2018, among Avnet, Inc., Avnet Receivables Corporation, the companies and financial institutions party thereto and Wells Fargo Bank, N.A., as agent (incorporated herein by reference to Exhibit 10.1 to the Company’s Current Report on Form 8-K filed on August 17, 2018).</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(2) Amendment No. 1 to Fourth Amended and Restated Receivables Purchase Agreement, dated February 28, 2020, among Avnet, Inc., Avnet Receivables Corporation, the companies and financial institutions party thereto and Wells Fargo Bank, N.A., as agent (incorporated herein by reference to Exhibit 10.1 to the Company’s Annual Report on Form 10-Q filed on May 1, 2020).</w:t>
              </w:r>
            </w:hyperlink>
          </w:p>
          <w:p>
            <w:pPr>
              <w:pStyle w:val="TableContents"/>
              <w:bidi w:val="0"/>
              <w:spacing w:before="0" w:after="0"/>
              <w:ind w:left="0" w:right="0" w:hanging="0"/>
              <w:jc w:val="left"/>
              <w:rPr/>
            </w:pPr>
            <w:r>
              <w:rPr/>
              <w:t>​</w:t>
            </w:r>
          </w:p>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(3) Amendment No. 2 to the Fourth Amended and Restated Receivables Purchase Agreement, dated July 31, 2020, among Avnet, Inc., Avnet Receivables Corporation, Wells Fargo Bank, N.A., as agent, and the companies and financial institutions party thereto (incorporated herein by reference to Exhibit 10.1 to the Company’s Current Report on Form 8-K filed on August 6, 2020).</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(4) Amendment No. 3 to the Fourth Amended and Restated Receivables Purchase Agreement, dated July 30, 2021, among Avnet, Inc., Avnet Receivables Corporation, Wells Fargo Bank, N.A., as agent, and the companies and financial institutions party thereto (incorporated herein by reference to Exhibit 10.18B4 to the Company’s Annual Report on Form 10-K filed on August 12, 2022).</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211"/>
        <w:gridCol w:w="9408"/>
      </w:tblGrid>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(5) Amendment No. 4 to the Fourth Amended and Restated Receivables Purchase Agreement, dated August 16, 2021, among Avnet, Inc., Avnet Receivables Corporation, Wells Fargo Bank, N.A., as agent, and the companies and financial institutions party thereto (incorporated herein by reference to Exhibit 10.1 to the Company’s Current Report on Form 8-K filed on August 18, 2021).</w:t>
              </w:r>
            </w:hyperlink>
          </w:p>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(6) Amendment No. 5 to the Fourth Amended and Restated Receivables Purchase Agreement, dated January 10, 2022, among Avnet, Inc., Avnet Receivables Corporation, Wells Fargo Bank, N.A., as agent, and the companies and financial institutions party thereto (incorporated herein by reference to Exhibit 10.1 to the Company’s Quarterly Report on Form 10-Q filed on April 29, 2022).</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(7) Amendment No. 6 to the Fourth Amended and Restated Receivables Purchase Agreement, dated December 16, 2022, among Avnet, Inc., Avnet Receivables Corporation, Wells Fargo Bank, N.A., as agent, and the companies and financial institutions party thereto (incorporated herein by reference to Exhibit 10.1 to the Company’s Current Report on Form 8-K filed on December 21, 2022).</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(8) Amendment No. 7 to the Fourth Amended and Restated Receivables Purchase Agreement, dated May 12, 2023, among Avnet, Inc., Avnet Receivables Corporation, Wells Fargo Bank, N.A., as agent, and the companies and financial institutions party thereto (incorporated herein by reference to Exhibit 10.17B8 to the Company’s Annual Report on Form 10-K filed on August 18, 2023).</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(9) Amendment No. 8 to the Fourth Amended and Restated Receivables Purchase Agreement, dated December 6, 2024, among Avnet, Inc., Avnet Receivables Corporation, Wells Fargo Bank, N.A. as agent, and the financial institutions and companies party thereto (incorporated by reference to Exhibit 10.1 to the Company’s Current Report on Form 8-K filed on December 12, 2024).</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(10) Amendment No. 9 to the Fourth Amended and Restated Receivables Purchase Agreement, dated July 1, 2026, among Avnet, Inc., Avnet Receivables Corporation, Wells Fargo Bank, N.A., as agent, and the financial institutions and companies party thereto (incorporated by reference to Exhibit 10.1 to the Company’s Current Report on Form 8-K filed on July 6, 2026).</w:t>
              </w:r>
            </w:hyperlink>
          </w:p>
        </w:tc>
      </w:tr>
      <w:tr>
        <w:trPr/>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Third Amended and Restated Credit Agreement, dated January 17, 2025, among Avnet, Inc.; Avnet Holding Europe BV; Bank of America, N.A. as administrative agent, swing line lender, and letter of credit issuer; BNP Paribas, JPMorgan Chase Bank, N.A., MUFG Bank, Ltd., The Bank of Nova Scotia and Trust Bank as co-syndication agents; and various other lenders (incorporated by reference to Exhibit 10.1 to the Company’s Current Report on Form 8-K filed on January 22, 2025).</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Amendment No. 1 to the Third Amended and Restated Credit Agreement, dated August 28, 2025, among Avnet, Inc.; Avnet Holding Europe BV; Bank of America, N.A. as administrative agent and each lender party thereto (incorporated by reference to Exhibit 10.1 to the Company’s Current Report on Form 8-K filed on August 28, 2025).</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Credit Agreement dated July 1, 2025, among Avnet Holding Europe BV as borrower, Avnet, Inc. as guarantor, Bank of America, N.A. as administrative agent, and each lender party thereto (incorporated by reference to Exhibit 10.1 to the Company’s Current Report on Form 8-K filed on July 3, 2025).</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Amendment No. 1 to the Credit Agreement, dated August 28, 2025, among Avnet Holding Europe BV as borrower, Avnet, Inc. as guarantor, Bank of America, N.A. as administrative agent, and each lender party thereto (incorporated by reference to Exhibit 10.2 to the Company’s Current Report on Form 8-K filed on August 28, 2025).</w:t>
              </w:r>
            </w:hyperlink>
          </w:p>
        </w:tc>
      </w:tr>
      <w:tr>
        <w:trPr/>
        <w:tc>
          <w:tcPr>
            <w:tcW w:w="5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408" w:type="dxa"/>
            <w:tcBorders/>
            <w:vAlign w:val="center"/>
          </w:tcPr>
          <w:p>
            <w:pPr>
              <w:pStyle w:val="TableContents"/>
              <w:bidi w:val="0"/>
              <w:spacing w:before="0" w:after="0"/>
              <w:ind w:left="0" w:right="0" w:hanging="0"/>
              <w:jc w:val="left"/>
              <w:rPr/>
            </w:pPr>
            <w:r>
              <w:rPr/>
              <w:t>​</w:t>
            </w:r>
          </w:p>
        </w:tc>
      </w:tr>
      <w:tr>
        <w:trPr/>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8" w:type="dxa"/>
            <w:tcBorders/>
            <w:vAlign w:val="center"/>
          </w:tcPr>
          <w:p>
            <w:pPr>
              <w:pStyle w:val="TableContents"/>
              <w:bidi w:val="0"/>
              <w:spacing w:before="0" w:after="0"/>
              <w:ind w:left="0" w:right="0" w:hanging="0"/>
              <w:jc w:val="left"/>
              <w:rPr/>
            </w:pPr>
            <w:hyperlink w:anchor="avt-20260627xex10d20.htm">
              <w:r>
                <w:rPr>
                  <w:rStyle w:val="InternetLink"/>
                  <w:rFonts w:ascii="Times New Roman;Times;serif" w:hAnsi="Times New Roman;Times;serif"/>
                  <w:b w:val="false"/>
                  <w:i w:val="false"/>
                  <w:caps w:val="false"/>
                  <w:smallCaps w:val="false"/>
                  <w:sz w:val="20"/>
                </w:rPr>
                <w:t>Credit Agreement dated as of August 12, 2026, among Avnet, Inc., as borrower, Bank of America, N.A., as administrative agent, and each lender party thereto.</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72"/>
        <w:gridCol w:w="258"/>
        <w:gridCol w:w="9275"/>
      </w:tblGrid>
      <w:tr>
        <w:trPr/>
        <w:tc>
          <w:tcPr>
            <w:tcW w:w="672"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Insider Trading Policy, updated as of June 1, 2024 (incorporated by reference to Exhibit 19.1 to the Company’s Annual Report on Form 10-K filed on August 14, 2024).</w:t>
              </w:r>
            </w:hyperlink>
          </w:p>
        </w:tc>
      </w:tr>
      <w:tr>
        <w:trPr/>
        <w:tc>
          <w:tcPr>
            <w:tcW w:w="672"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21d1.htm">
              <w:r>
                <w:rPr>
                  <w:rStyle w:val="InternetLink"/>
                  <w:rFonts w:ascii="Times New Roman;Times;serif" w:hAnsi="Times New Roman;Times;serif"/>
                  <w:b w:val="false"/>
                  <w:i w:val="false"/>
                  <w:caps w:val="false"/>
                  <w:smallCaps w:val="false"/>
                  <w:sz w:val="20"/>
                </w:rPr>
                <w:t>List of subsidiaries of the Company as of June 27, 2026.</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23d1.htm">
              <w:r>
                <w:rPr>
                  <w:rStyle w:val="InternetLink"/>
                  <w:rFonts w:ascii="Times New Roman;Times;serif" w:hAnsi="Times New Roman;Times;serif"/>
                  <w:b w:val="false"/>
                  <w:i w:val="false"/>
                  <w:caps w:val="false"/>
                  <w:smallCaps w:val="false"/>
                  <w:sz w:val="20"/>
                </w:rPr>
                <w:t>Consent of PricewaterhouseCoopers LLP.</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23d2.htm">
              <w:r>
                <w:rPr>
                  <w:rStyle w:val="InternetLink"/>
                  <w:rFonts w:ascii="Times New Roman;Times;serif" w:hAnsi="Times New Roman;Times;serif"/>
                  <w:b w:val="false"/>
                  <w:i w:val="false"/>
                  <w:caps w:val="false"/>
                  <w:smallCaps w:val="false"/>
                  <w:sz w:val="20"/>
                </w:rPr>
                <w:t>Consent of KPMG LLP.</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PowerOfAttorney">
              <w:r>
                <w:rPr>
                  <w:rStyle w:val="InternetLink"/>
                  <w:rFonts w:ascii="Times New Roman;Times;serif" w:hAnsi="Times New Roman;Times;serif"/>
                  <w:b w:val="false"/>
                  <w:i w:val="false"/>
                  <w:caps w:val="false"/>
                  <w:smallCaps w:val="false"/>
                  <w:sz w:val="20"/>
                </w:rPr>
                <w:t>Power of Attorney (incorporated by reference to the signature page of this Annual Report on Form 10-K).</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32d1.htm">
              <w:r>
                <w:rPr>
                  <w:rStyle w:val="InternetLink"/>
                  <w:rFonts w:ascii="Times New Roman;Times;serif" w:hAnsi="Times New Roman;Times;serif"/>
                  <w:b w:val="false"/>
                  <w:i w:val="false"/>
                  <w:caps w:val="false"/>
                  <w:smallCaps w:val="false"/>
                  <w:sz w:val="20"/>
                </w:rPr>
                <w:t>Certification pursuant to Section 906 of the Sarbanes-Oxley Act of 2002.</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pPr>
            <w:hyperlink w:anchor="avt-20260627xex32d2.htm">
              <w:r>
                <w:rPr>
                  <w:rStyle w:val="InternetLink"/>
                  <w:rFonts w:ascii="Times New Roman;Times;serif" w:hAnsi="Times New Roman;Times;serif"/>
                  <w:b w:val="false"/>
                  <w:i w:val="false"/>
                  <w:caps w:val="false"/>
                  <w:smallCaps w:val="false"/>
                  <w:sz w:val="20"/>
                </w:rPr>
                <w:t>Certification pursuant to Section 906 of the Sarbanes-Oxley Act of 2002.</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Amended and Restated Incentive-Based Compensation Recoupment Policy, effective as of July 1, 2023 (incorporated by reference to Exhibit 97.1 to the Company’s Annual Report on Form 10-K filed on August 14, 2024).</w:t>
              </w:r>
            </w:hyperlink>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72"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72"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r>
        <w:trPr/>
        <w:tc>
          <w:tcPr>
            <w:tcW w:w="672"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left"/>
              <w:rPr/>
            </w:pPr>
            <w:r>
              <w:rPr/>
              <w:t>​</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331"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firstLine="480"/>
        <w:jc w:val="both"/>
        <w:rPr/>
      </w:pPr>
      <w:r>
        <w:rPr/>
        <w:t>​</w:t>
      </w:r>
    </w:p>
    <w:p>
      <w:pPr>
        <w:pStyle w:val="TextBody"/>
        <w:bidi w:val="0"/>
        <w:spacing w:lineRule="auto" w:line="343" w:before="0" w:after="0"/>
        <w:ind w:left="0" w:right="0" w:firstLine="480"/>
        <w:jc w:val="both"/>
        <w:rPr/>
      </w:pPr>
      <w:r>
        <w:rPr/>
        <w:t>​</w:t>
      </w:r>
    </w:p>
    <w:p>
      <w:pPr>
        <w:pStyle w:val="TextBody"/>
        <w:bidi w:val="0"/>
        <w:spacing w:lineRule="auto" w:line="343" w:before="0" w:after="0"/>
        <w:ind w:left="0" w:right="0" w:hanging="0"/>
        <w:jc w:val="left"/>
        <w:rPr>
          <w:rFonts w:ascii="Times New Roman;Times;serif" w:hAnsi="Times New Roman;Times;serif"/>
          <w:sz w:val="20"/>
        </w:rPr>
      </w:pPr>
      <w:bookmarkStart w:id="1532" w:name="Item16Form10KSummary"/>
      <w:bookmarkStart w:id="1533" w:name="_a1682323_3443_4cb6_9079_097914dfe24e"/>
      <w:bookmarkEnd w:id="1532"/>
      <w:bookmarkEnd w:id="1533"/>
      <w:r>
        <w:rPr>
          <w:rFonts w:ascii="Times New Roman;Times;serif" w:hAnsi="Times New Roman;Times;serif"/>
          <w:b/>
          <w:sz w:val="20"/>
        </w:rPr>
        <w:t xml:space="preserve">Item 16. </w:t>
      </w:r>
      <w:r>
        <w:rPr>
          <w:rFonts w:ascii="Times New Roman;Times;serif" w:hAnsi="Times New Roman;Times;serif"/>
          <w:b/>
          <w:i/>
          <w:sz w:val="20"/>
        </w:rPr>
        <w:t>Form 10-K Summary</w:t>
      </w:r>
    </w:p>
    <w:p>
      <w:pPr>
        <w:pStyle w:val="TextBody"/>
        <w:bidi w:val="0"/>
        <w:spacing w:lineRule="auto" w:line="343" w:before="0" w:after="0"/>
        <w:ind w:left="0" w:right="0" w:firstLine="475"/>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43" w:before="0" w:after="0"/>
        <w:ind w:left="0" w:right="0" w:firstLine="480"/>
        <w:jc w:val="both"/>
        <w:rPr/>
      </w:pPr>
      <w:r>
        <w:rPr/>
        <w:t>​</w:t>
      </w:r>
    </w:p>
    <w:p>
      <w:pPr>
        <w:pStyle w:val="TextBody"/>
        <w:bidi w:val="0"/>
        <w:spacing w:lineRule="auto" w:line="343" w:before="0" w:after="0"/>
        <w:ind w:left="0" w:right="0" w:firstLine="480"/>
        <w:jc w:val="both"/>
        <w:rPr/>
      </w:pPr>
      <w:r>
        <w:rPr/>
        <w:t>​</w:t>
      </w:r>
    </w:p>
    <w:p>
      <w:pPr>
        <w:pStyle w:val="TextBody"/>
        <w:bidi w:val="0"/>
        <w:spacing w:before="0" w:after="0"/>
        <w:ind w:left="0" w:right="0" w:firstLine="48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bookmarkStart w:id="1534" w:name="Tc_zrWIDVzLmEyXhZppydpTFg_13_12"/>
      <w:bookmarkStart w:id="1535" w:name="Tc_o6WBM7UiX0KhIgNmPG1vRQ_13_10"/>
      <w:bookmarkStart w:id="1536" w:name="Tc_ube4iySbw0etCrIHmfZ7Ug_13_7"/>
      <w:bookmarkStart w:id="1537" w:name="Tc_6Abr7hc2YEW7U53_jkm9FA_13_0"/>
      <w:bookmarkStart w:id="1538" w:name="Tc_xiTBT39Pr0eEJBnUYlblNQ_12_13"/>
      <w:bookmarkStart w:id="1539" w:name="Tc_6K10ZtOge0CJhgBTB9g-og_12_9"/>
      <w:bookmarkStart w:id="1540" w:name="Tc_QqR2BJxo5UOaWPtT7yG87w_12_0"/>
      <w:bookmarkStart w:id="1541" w:name="Tc_3MlGpGoIp0iQg44iR3l-gQ_11_0"/>
      <w:bookmarkStart w:id="1542" w:name="Tc_Ih002jbuUE-QXIHa08fF-g_10_12"/>
      <w:bookmarkStart w:id="1543" w:name="Tc_aiwpc_pX7U2tI8ZTkuq4xQ_10_10"/>
      <w:bookmarkStart w:id="1544" w:name="Tc_5yrZe3BuKUOUXgdHYXzKjA_10_7"/>
      <w:bookmarkStart w:id="1545" w:name="Tc_ehyd0FknkEOwiDYHNAxMdA_10_0"/>
      <w:bookmarkStart w:id="1546" w:name="Tc_f9pepX9fJUOGuspcbhQBvw_9_13"/>
      <w:bookmarkStart w:id="1547" w:name="Tc_ro3m2N5ElUO4JM4rKC5QdA_9_11"/>
      <w:bookmarkStart w:id="1548" w:name="Tc_VoxAtlHTlECCeX8082-xuw_9_9"/>
      <w:bookmarkStart w:id="1549" w:name="Tc_VgCaG3sKQ0yyWqGTF32LNA_9_8"/>
      <w:bookmarkStart w:id="1550" w:name="Tc_vNw7VZf4fE6lLkoyS1dTRA_9_5"/>
      <w:bookmarkStart w:id="1551" w:name="Tc_m91-upQ6H0i32k0I6ZL8WA_9_0"/>
      <w:bookmarkStart w:id="1552" w:name="Tc_mHJ7NMamTkSiMV-uDL7HgQ_8_0"/>
      <w:bookmarkStart w:id="1553" w:name="Tc_WMALw2JiBUaQ0hvhdPny8w_7_12"/>
      <w:bookmarkStart w:id="1554" w:name="Tc_8p0FngGrzkWMWWDcMdBHHA_7_10"/>
      <w:bookmarkStart w:id="1555" w:name="Tc_0d3fSXXdhkyqdtL7Xm59ug_7_7"/>
      <w:bookmarkStart w:id="1556" w:name="Tc__oNA6shO0kmlPqQ84QuWfw_7_0"/>
      <w:bookmarkStart w:id="1557" w:name="Tc_cFJxn_6ok0208FgMmBa8gg_6_14"/>
      <w:bookmarkStart w:id="1558" w:name="Tc_-xXIIz1naUSiPbEy15dmyQ_6_13"/>
      <w:bookmarkStart w:id="1559" w:name="Tc_f0m9nO312EmpVnWdjHTG-g_6_11"/>
      <w:bookmarkStart w:id="1560" w:name="Tc_olTDArqi8EKaV89pKS0jMA_6_9"/>
      <w:bookmarkStart w:id="1561" w:name="Tc_mZlakM5v6kWgZEv9Q0q4mw_6_8"/>
      <w:bookmarkStart w:id="1562" w:name="Tc_txpQMav7xUmWaMwxcDl8QA_6_5"/>
      <w:bookmarkStart w:id="1563" w:name="Tc_Q9Hh7YRz1EWB50zB9CslCw_6_2"/>
      <w:bookmarkStart w:id="1564" w:name="Tc_TaP47iXLcUKB_IRUjKpZCQ_6_0"/>
      <w:bookmarkStart w:id="1565" w:name="Tc_Ku4YLFj4bUWVgtRMU0ZJ7Q_5_0"/>
      <w:bookmarkStart w:id="1566" w:name="Tc_fAeb-sjLCU6FlW3s0Ctrrw_4_2"/>
      <w:bookmarkStart w:id="1567" w:name="Tc_sON89xW9skGL6AanfAzHGQ_3_14"/>
      <w:bookmarkStart w:id="1568" w:name="Tc_cO9l5OUb1UyGMvB-CaxUjw_3_11"/>
      <w:bookmarkStart w:id="1569" w:name="Tc_JccznAF8BECG0XURqb4-kg_3_8"/>
      <w:bookmarkStart w:id="1570" w:name="Tc_WQV_yapXkEeJHQmGnZsArA_3_5"/>
      <w:bookmarkStart w:id="1571" w:name="Tc_pOSTjti7JUe4InOIJzJRXg_3_2"/>
      <w:bookmarkStart w:id="1572" w:name="Tc_mC7dtDicWk-q47InxT53Nw_3_0"/>
      <w:bookmarkStart w:id="1573" w:name="Tc_oXLPSRJHnEyE134guPlNMA_2_14"/>
      <w:bookmarkStart w:id="1574" w:name="Tc_fk497CZnAkmiXbYl5ibxzA_2_8"/>
      <w:bookmarkStart w:id="1575" w:name="Tc_5kgKmfBfAEWGjSWf8uTrRA_2_5"/>
      <w:bookmarkStart w:id="1576" w:name="Tc_oo9Dl39CYUC52cQcT_ry2A_2_2"/>
      <w:bookmarkStart w:id="1577" w:name="Tc_OUbunt2-8UC-LQyhXoaHCw_1_14"/>
      <w:bookmarkStart w:id="1578" w:name="Tc_E4Pcnl8T-k21dtzWWAaP6w_1_8"/>
      <w:bookmarkStart w:id="1579" w:name="Tc__Er43tSEAUysuv3B36xEew_1_5"/>
      <w:bookmarkStart w:id="1580" w:name="Tc_zDr8gw7Ga0Kn0cvrm6OUlg_1_2"/>
      <w:bookmarkStart w:id="1581" w:name="_b000a03b_122a_45a2_a2c3_b525e86ae880"/>
      <w:bookmarkStart w:id="1582" w:name="SCHEDULEII_784306"/>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ascii="Times New Roman;Times;serif" w:hAnsi="Times New Roman;Times;serif"/>
          <w:b/>
          <w:sz w:val="20"/>
        </w:rPr>
        <w:t>SCHEDULE II</w:t>
      </w:r>
    </w:p>
    <w:p>
      <w:pPr>
        <w:pStyle w:val="TextBody"/>
        <w:bidi w:val="0"/>
        <w:spacing w:lineRule="auto" w:line="343" w:before="20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200" w:after="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Years Ended June 27, 2026, June 28, 2025, and June 29, 2024 </w:t>
      </w:r>
    </w:p>
    <w:p>
      <w:pPr>
        <w:pStyle w:val="TextBody"/>
        <w:bidi w:val="0"/>
        <w:spacing w:lineRule="atLeast" w:line="200"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35"/>
        <w:gridCol w:w="346"/>
        <w:gridCol w:w="251"/>
        <w:gridCol w:w="935"/>
        <w:gridCol w:w="346"/>
        <w:gridCol w:w="250"/>
        <w:gridCol w:w="801"/>
        <w:gridCol w:w="501"/>
        <w:gridCol w:w="250"/>
        <w:gridCol w:w="801"/>
        <w:gridCol w:w="377"/>
        <w:gridCol w:w="230"/>
        <w:gridCol w:w="806"/>
        <w:gridCol w:w="377"/>
        <w:gridCol w:w="213"/>
        <w:gridCol w:w="793"/>
        <w:gridCol w:w="193"/>
      </w:tblGrid>
      <w:tr>
        <w:trPr/>
        <w:tc>
          <w:tcPr>
            <w:tcW w:w="2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736725" cy="175260"/>
                      <wp:effectExtent l="0" t="0" r="0" b="0"/>
                      <wp:wrapNone/>
                      <wp:docPr id="458" name="Frame457"/>
                      <a:graphic xmlns:a="http://schemas.openxmlformats.org/drawingml/2006/main">
                        <a:graphicData uri="http://schemas.microsoft.com/office/word/2010/wordprocessingShape">
                          <wps:wsp>
                            <wps:cNvSpPr txBox="1"/>
                            <wps:spPr>
                              <a:xfrm>
                                <a:off x="0" y="0"/>
                                <a:ext cx="173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59385" cy="175260"/>
                      <wp:effectExtent l="0" t="0" r="0" b="0"/>
                      <wp:wrapNone/>
                      <wp:docPr id="460" name="Frame45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93725" cy="175260"/>
                      <wp:effectExtent l="0" t="0" r="0" b="0"/>
                      <wp:wrapNone/>
                      <wp:docPr id="461" name="Frame460"/>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8750" cy="175260"/>
                      <wp:effectExtent l="0" t="0" r="0" b="0"/>
                      <wp:wrapNone/>
                      <wp:docPr id="463" name="Frame46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08635" cy="175260"/>
                      <wp:effectExtent l="0" t="0" r="0" b="0"/>
                      <wp:wrapNone/>
                      <wp:docPr id="464" name="Frame46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18135" cy="175260"/>
                      <wp:effectExtent l="0" t="0" r="0" b="0"/>
                      <wp:wrapNone/>
                      <wp:docPr id="465" name="Frame46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58750" cy="175260"/>
                      <wp:effectExtent l="0" t="0" r="0" b="0"/>
                      <wp:wrapNone/>
                      <wp:docPr id="466" name="Frame46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508635" cy="175260"/>
                      <wp:effectExtent l="0" t="0" r="0" b="0"/>
                      <wp:wrapNone/>
                      <wp:docPr id="467" name="Frame466"/>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39395" cy="175260"/>
                      <wp:effectExtent l="0" t="0" r="0" b="0"/>
                      <wp:wrapNone/>
                      <wp:docPr id="468" name="Frame46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46050" cy="175260"/>
                      <wp:effectExtent l="0" t="0" r="0" b="0"/>
                      <wp:wrapNone/>
                      <wp:docPr id="469" name="Frame46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11810" cy="175260"/>
                      <wp:effectExtent l="0" t="0" r="0" b="0"/>
                      <wp:wrapNone/>
                      <wp:docPr id="470" name="Frame469"/>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39395" cy="175260"/>
                      <wp:effectExtent l="0" t="0" r="0" b="0"/>
                      <wp:wrapNone/>
                      <wp:docPr id="471" name="Frame47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5255" cy="175260"/>
                      <wp:effectExtent l="0" t="0" r="0" b="0"/>
                      <wp:wrapNone/>
                      <wp:docPr id="472" name="Frame4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03555" cy="175260"/>
                      <wp:effectExtent l="0" t="0" r="0" b="0"/>
                      <wp:wrapNone/>
                      <wp:docPr id="473" name="Frame47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2555" cy="175260"/>
                      <wp:effectExtent l="0" t="0" r="0" b="0"/>
                      <wp:wrapNone/>
                      <wp:docPr id="474" name="Frame47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at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Charged to</w:t>
            </w:r>
          </w:p>
        </w:tc>
        <w:tc>
          <w:tcPr>
            <w:tcW w:w="501"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Charged to</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230"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at</w:t>
            </w:r>
          </w:p>
        </w:tc>
        <w:tc>
          <w:tcPr>
            <w:tcW w:w="193" w:type="dxa"/>
            <w:tcBorders/>
            <w:vAlign w:val="center"/>
          </w:tcPr>
          <w:p>
            <w:pPr>
              <w:pStyle w:val="TableContents"/>
              <w:bidi w:val="0"/>
              <w:spacing w:before="0" w:after="0"/>
              <w:ind w:left="0" w:right="0" w:hanging="0"/>
              <w:jc w:val="center"/>
              <w:rPr/>
            </w:pPr>
            <w:r>
              <w:rPr/>
              <w:t> </w:t>
            </w:r>
          </w:p>
        </w:tc>
      </w:tr>
      <w:tr>
        <w:trPr/>
        <w:tc>
          <w:tcPr>
            <w:tcW w:w="27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Beginning of</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Expense</w:t>
            </w:r>
          </w:p>
        </w:tc>
        <w:tc>
          <w:tcPr>
            <w:tcW w:w="501"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230" w:type="dxa"/>
            <w:tcBorders/>
            <w:vAlign w:val="center"/>
          </w:tcPr>
          <w:p>
            <w:pPr>
              <w:pStyle w:val="TableContents"/>
              <w:bidi w:val="0"/>
              <w:spacing w:before="0" w:after="0"/>
              <w:ind w:left="0" w:right="0" w:hanging="0"/>
              <w:jc w:val="center"/>
              <w:rPr/>
            </w:pPr>
            <w:r>
              <w:rPr/>
              <w:t>​</w:t>
            </w:r>
          </w:p>
        </w:tc>
        <w:tc>
          <w:tcPr>
            <w:tcW w:w="806" w:type="dxa"/>
            <w:tcBorders/>
            <w:vAlign w:val="center"/>
          </w:tcPr>
          <w:p>
            <w:pPr>
              <w:pStyle w:val="TableContents"/>
              <w:bidi w:val="0"/>
              <w:spacing w:before="0" w:after="0"/>
              <w:ind w:left="0" w:right="0" w:hanging="0"/>
              <w:jc w:val="center"/>
              <w:rPr/>
            </w:pPr>
            <w:r>
              <w:rPr/>
              <w:t>​</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End of</w:t>
            </w:r>
          </w:p>
        </w:tc>
        <w:tc>
          <w:tcPr>
            <w:tcW w:w="193" w:type="dxa"/>
            <w:tcBorders/>
            <w:vAlign w:val="center"/>
          </w:tcPr>
          <w:p>
            <w:pPr>
              <w:pStyle w:val="TableContents"/>
              <w:bidi w:val="0"/>
              <w:spacing w:before="0" w:after="0"/>
              <w:ind w:left="0" w:right="0" w:hanging="0"/>
              <w:jc w:val="center"/>
              <w:rPr/>
            </w:pPr>
            <w:r>
              <w:rPr/>
              <w:t> </w:t>
            </w:r>
          </w:p>
        </w:tc>
      </w:tr>
      <w:tr>
        <w:trPr/>
        <w:tc>
          <w:tcPr>
            <w:tcW w:w="273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 Description</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1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w:t>
            </w:r>
          </w:p>
        </w:tc>
        <w:tc>
          <w:tcPr>
            <w:tcW w:w="501" w:type="dxa"/>
            <w:tcBorders/>
            <w:vAlign w:val="center"/>
          </w:tcPr>
          <w:p>
            <w:pPr>
              <w:pStyle w:val="TableContents"/>
              <w:bidi w:val="0"/>
              <w:spacing w:before="0" w:after="0"/>
              <w:ind w:left="0" w:right="0" w:hanging="0"/>
              <w:jc w:val="center"/>
              <w:rPr>
                <w:color w:val="575757"/>
              </w:rPr>
            </w:pPr>
            <w:r>
              <w:rPr>
                <w:color w:val="575757"/>
              </w:rPr>
              <w:t>​</w:t>
            </w:r>
          </w:p>
        </w:tc>
        <w:tc>
          <w:tcPr>
            <w:tcW w:w="105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Accounts</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10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Deductions</w:t>
            </w:r>
          </w:p>
        </w:tc>
        <w:tc>
          <w:tcPr>
            <w:tcW w:w="377" w:type="dxa"/>
            <w:tcBorders/>
            <w:vAlign w:val="center"/>
          </w:tcPr>
          <w:p>
            <w:pPr>
              <w:pStyle w:val="TableContents"/>
              <w:bidi w:val="0"/>
              <w:spacing w:before="0" w:after="0"/>
              <w:ind w:left="0" w:right="0" w:hanging="0"/>
              <w:jc w:val="center"/>
              <w:rPr>
                <w:color w:val="575757"/>
              </w:rPr>
            </w:pPr>
            <w:r>
              <w:rPr>
                <w:color w:val="575757"/>
              </w:rPr>
              <w:t>​</w:t>
            </w:r>
          </w:p>
        </w:tc>
        <w:tc>
          <w:tcPr>
            <w:tcW w:w="100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w:t>
            </w:r>
          </w:p>
        </w:tc>
        <w:tc>
          <w:tcPr>
            <w:tcW w:w="193" w:type="dxa"/>
            <w:tcBorders/>
            <w:vAlign w:val="center"/>
          </w:tcPr>
          <w:p>
            <w:pPr>
              <w:pStyle w:val="TableContents"/>
              <w:bidi w:val="0"/>
              <w:spacing w:before="0" w:after="0"/>
              <w:ind w:left="0" w:right="0" w:hanging="0"/>
              <w:jc w:val="center"/>
              <w:rPr/>
            </w:pPr>
            <w:r>
              <w:rPr/>
              <w:t> </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735" w:type="dxa"/>
            <w:tcBorders/>
            <w:vAlign w:val="center"/>
          </w:tcPr>
          <w:p>
            <w:pPr>
              <w:pStyle w:val="TableContents"/>
              <w:bidi w:val="0"/>
              <w:spacing w:before="0" w:after="0"/>
              <w:ind w:left="0" w:right="0" w:hanging="0"/>
              <w:jc w:val="left"/>
              <w:rPr>
                <w:color w:val="575757"/>
              </w:rPr>
            </w:pPr>
            <w:r>
              <w:rPr>
                <w:color w:val="575757"/>
              </w:rPr>
              <w:t>​</w:t>
            </w:r>
          </w:p>
        </w:tc>
        <w:tc>
          <w:tcPr>
            <w:tcW w:w="346" w:type="dxa"/>
            <w:tcBorders/>
            <w:vAlign w:val="center"/>
          </w:tcPr>
          <w:p>
            <w:pPr>
              <w:pStyle w:val="TableContents"/>
              <w:bidi w:val="0"/>
              <w:spacing w:before="0" w:after="0"/>
              <w:ind w:left="0" w:right="0" w:hanging="0"/>
              <w:jc w:val="center"/>
              <w:rPr>
                <w:color w:val="575757"/>
              </w:rPr>
            </w:pPr>
            <w:r>
              <w:rPr>
                <w:color w:val="575757"/>
              </w:rPr>
              <w:t>​</w:t>
            </w:r>
          </w:p>
        </w:tc>
        <w:tc>
          <w:tcPr>
            <w:tcW w:w="6931"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c>
          <w:tcPr>
            <w:tcW w:w="193" w:type="dxa"/>
            <w:tcBorders/>
            <w:vAlign w:val="center"/>
          </w:tcPr>
          <w:p>
            <w:pPr>
              <w:pStyle w:val="TableContents"/>
              <w:bidi w:val="0"/>
              <w:spacing w:before="0" w:after="0"/>
              <w:ind w:left="0" w:right="0" w:hanging="0"/>
              <w:jc w:val="center"/>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2026</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  ​ ​ ​</w:t>
            </w:r>
          </w:p>
        </w:tc>
        <w:tc>
          <w:tcPr>
            <w:tcW w:w="25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935"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  ​ ​ ​</w:t>
            </w:r>
          </w:p>
        </w:tc>
        <w:tc>
          <w:tcPr>
            <w:tcW w:w="250"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80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501" w:type="dxa"/>
            <w:tcBorders/>
            <w:shd w:fill="CCEEFF" w:val="clear"/>
            <w:vAlign w:val="center"/>
          </w:tcPr>
          <w:p>
            <w:pPr>
              <w:pStyle w:val="TableContents"/>
              <w:bidi w:val="0"/>
              <w:spacing w:before="0" w:after="0"/>
              <w:ind w:left="0" w:right="0" w:hanging="0"/>
              <w:jc w:val="left"/>
              <w:rPr>
                <w:color w:val="575757"/>
              </w:rPr>
            </w:pPr>
            <w:r>
              <w:rPr>
                <w:color w:val="575757"/>
              </w:rPr>
              <w:t>  ​ ​ ​</w:t>
            </w:r>
          </w:p>
        </w:tc>
        <w:tc>
          <w:tcPr>
            <w:tcW w:w="250"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80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377" w:type="dxa"/>
            <w:tcBorders/>
            <w:shd w:fill="CCEEFF" w:val="clear"/>
            <w:vAlign w:val="center"/>
          </w:tcPr>
          <w:p>
            <w:pPr>
              <w:pStyle w:val="TableContents"/>
              <w:bidi w:val="0"/>
              <w:spacing w:before="0" w:after="0"/>
              <w:ind w:left="0" w:right="0" w:hanging="0"/>
              <w:jc w:val="left"/>
              <w:rPr>
                <w:color w:val="575757"/>
              </w:rPr>
            </w:pPr>
            <w:r>
              <w:rPr>
                <w:color w:val="575757"/>
              </w:rPr>
              <w:t>  ​ ​ ​</w:t>
            </w:r>
          </w:p>
        </w:tc>
        <w:tc>
          <w:tcPr>
            <w:tcW w:w="230"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806"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377" w:type="dxa"/>
            <w:tcBorders/>
            <w:shd w:fill="CCEEFF" w:val="clear"/>
            <w:vAlign w:val="center"/>
          </w:tcPr>
          <w:p>
            <w:pPr>
              <w:pStyle w:val="TableContents"/>
              <w:bidi w:val="0"/>
              <w:spacing w:before="0" w:after="0"/>
              <w:ind w:left="0" w:right="0" w:hanging="0"/>
              <w:jc w:val="left"/>
              <w:rPr>
                <w:color w:val="575757"/>
              </w:rPr>
            </w:pPr>
            <w:r>
              <w:rPr>
                <w:color w:val="575757"/>
              </w:rPr>
              <w:t>  ​ ​ ​</w:t>
            </w:r>
          </w:p>
        </w:tc>
        <w:tc>
          <w:tcPr>
            <w:tcW w:w="213"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793"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193"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501"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(10,697)</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97,970</w:t>
            </w:r>
          </w:p>
        </w:tc>
        <w:tc>
          <w:tcPr>
            <w:tcW w:w="193" w:type="dxa"/>
            <w:tcBorders/>
            <w:vAlign w:val="center"/>
          </w:tcPr>
          <w:p>
            <w:pPr>
              <w:pStyle w:val="TableContents"/>
              <w:bidi w:val="0"/>
              <w:spacing w:before="0" w:after="0"/>
              <w:ind w:left="0" w:right="0" w:hanging="0"/>
              <w:jc w:val="left"/>
              <w:rPr>
                <w:color w:val="575757"/>
              </w:rPr>
            </w:pPr>
            <w:r>
              <w:rPr>
                <w:color w:val="575757"/>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deferred tax assets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253,618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(b)(d)  </w:t>
            </w:r>
          </w:p>
        </w:tc>
        <w:tc>
          <w:tcPr>
            <w:tcW w:w="250" w:type="dxa"/>
            <w:tcBorders/>
            <w:shd w:fill="CCEEFF" w:val="clear"/>
            <w:vAlign w:val="center"/>
          </w:tcPr>
          <w:p>
            <w:pPr>
              <w:pStyle w:val="TableContents"/>
              <w:bidi w:val="0"/>
              <w:spacing w:before="0" w:after="0"/>
              <w:ind w:left="0" w:right="0" w:hanging="0"/>
              <w:jc w:val="righ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w:t>
            </w:r>
          </w:p>
        </w:tc>
        <w:tc>
          <w:tcPr>
            <w:tcW w:w="230" w:type="dxa"/>
            <w:tcBorders/>
            <w:shd w:fill="CCEEFF" w:val="clear"/>
            <w:vAlign w:val="center"/>
          </w:tcPr>
          <w:p>
            <w:pPr>
              <w:pStyle w:val="TableContents"/>
              <w:bidi w:val="0"/>
              <w:spacing w:before="0" w:after="0"/>
              <w:ind w:left="0" w:right="0" w:hanging="0"/>
              <w:jc w:val="righ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248,219</w:t>
            </w:r>
          </w:p>
        </w:tc>
        <w:tc>
          <w:tcPr>
            <w:tcW w:w="193"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2025</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1" w:type="dxa"/>
            <w:tcBorders/>
            <w:vAlign w:val="center"/>
          </w:tcPr>
          <w:p>
            <w:pPr>
              <w:pStyle w:val="TableContents"/>
              <w:bidi w:val="0"/>
              <w:spacing w:before="0" w:after="0"/>
              <w:ind w:left="0" w:right="0" w:hanging="0"/>
              <w:jc w:val="right"/>
              <w:rPr>
                <w:color w:val="575757"/>
              </w:rPr>
            </w:pPr>
            <w:r>
              <w:rPr>
                <w:color w:val="575757"/>
              </w:rPr>
              <w:t>​</w:t>
            </w:r>
          </w:p>
        </w:tc>
        <w:tc>
          <w:tcPr>
            <w:tcW w:w="9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501"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w:t>
            </w:r>
          </w:p>
        </w:tc>
        <w:tc>
          <w:tcPr>
            <w:tcW w:w="806"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color w:val="575757"/>
              </w:rPr>
            </w:pPr>
            <w:r>
              <w:rPr>
                <w:color w:val="575757"/>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w:t>
            </w:r>
          </w:p>
        </w:tc>
        <w:tc>
          <w:tcPr>
            <w:tcW w:w="501"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c>
          <w:tcPr>
            <w:tcW w:w="193"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deferred tax assets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1" w:type="dxa"/>
            <w:tcBorders/>
            <w:vAlign w:val="center"/>
          </w:tcPr>
          <w:p>
            <w:pPr>
              <w:pStyle w:val="TableContents"/>
              <w:bidi w:val="0"/>
              <w:spacing w:before="0" w:after="0"/>
              <w:ind w:left="0" w:right="0" w:hanging="0"/>
              <w:jc w:val="righ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216,179</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right"/>
              <w:rPr/>
            </w:pPr>
            <w:r>
              <w:rPr/>
              <w:t> </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22,238</w:t>
            </w:r>
          </w:p>
        </w:tc>
        <w:tc>
          <w:tcPr>
            <w:tcW w:w="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w:t>
            </w:r>
          </w:p>
        </w:tc>
        <w:tc>
          <w:tcPr>
            <w:tcW w:w="250" w:type="dxa"/>
            <w:tcBorders/>
            <w:vAlign w:val="center"/>
          </w:tcPr>
          <w:p>
            <w:pPr>
              <w:pStyle w:val="TableContents"/>
              <w:bidi w:val="0"/>
              <w:spacing w:before="0" w:after="0"/>
              <w:ind w:left="0" w:right="0" w:hanging="0"/>
              <w:jc w:val="right"/>
              <w:rPr/>
            </w:pPr>
            <w:r>
              <w:rPr/>
              <w:t> </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15,201</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w:t>
            </w:r>
          </w:p>
        </w:tc>
        <w:tc>
          <w:tcPr>
            <w:tcW w:w="230" w:type="dxa"/>
            <w:tcBorders/>
            <w:vAlign w:val="center"/>
          </w:tcPr>
          <w:p>
            <w:pPr>
              <w:pStyle w:val="TableContents"/>
              <w:bidi w:val="0"/>
              <w:spacing w:before="0" w:after="0"/>
              <w:ind w:left="0" w:right="0" w:hanging="0"/>
              <w:jc w:val="right"/>
              <w:rPr/>
            </w:pPr>
            <w:r>
              <w:rPr/>
              <w:t> </w:t>
            </w:r>
          </w:p>
        </w:tc>
        <w:tc>
          <w:tcPr>
            <w:tcW w:w="806"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253,618</w:t>
            </w:r>
          </w:p>
        </w:tc>
        <w:tc>
          <w:tcPr>
            <w:tcW w:w="193" w:type="dxa"/>
            <w:tcBorders/>
            <w:vAlign w:val="center"/>
          </w:tcPr>
          <w:p>
            <w:pPr>
              <w:pStyle w:val="TableContents"/>
              <w:bidi w:val="0"/>
              <w:spacing w:before="0" w:after="0"/>
              <w:ind w:left="0" w:right="0" w:hanging="0"/>
              <w:jc w:val="left"/>
              <w:rPr>
                <w:color w:val="575757"/>
              </w:rPr>
            </w:pPr>
            <w:r>
              <w:rPr>
                <w:color w:val="575757"/>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2024</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1" w:type="dxa"/>
            <w:tcBorders/>
            <w:shd w:fill="CCEEFF" w:val="clear"/>
            <w:vAlign w:val="center"/>
          </w:tcPr>
          <w:p>
            <w:pPr>
              <w:pStyle w:val="TableContents"/>
              <w:bidi w:val="0"/>
              <w:spacing w:before="0" w:after="0"/>
              <w:ind w:left="0" w:right="0" w:hanging="0"/>
              <w:jc w:val="right"/>
              <w:rPr>
                <w:color w:val="575757"/>
              </w:rPr>
            </w:pPr>
            <w:r>
              <w:rPr>
                <w:color w:val="575757"/>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2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color w:val="575757"/>
              </w:rPr>
            </w:pPr>
            <w:r>
              <w:rPr>
                <w:color w:val="575757"/>
              </w:rPr>
              <w:t>​</w:t>
            </w:r>
          </w:p>
        </w:tc>
        <w:tc>
          <w:tcPr>
            <w:tcW w:w="251" w:type="dxa"/>
            <w:tcBorders/>
            <w:vAlign w:val="center"/>
          </w:tcPr>
          <w:p>
            <w:pPr>
              <w:pStyle w:val="TableContents"/>
              <w:bidi w:val="0"/>
              <w:spacing w:before="0" w:after="0"/>
              <w:ind w:left="0" w:right="0" w:hanging="0"/>
              <w:jc w:val="right"/>
              <w:rPr/>
            </w:pPr>
            <w:r>
              <w:rPr/>
              <w:t> </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12,570</w:t>
            </w:r>
          </w:p>
        </w:tc>
        <w:tc>
          <w:tcPr>
            <w:tcW w:w="501"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(16,909)</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t>
            </w:r>
          </w:p>
        </w:tc>
        <w:tc>
          <w:tcPr>
            <w:tcW w:w="213"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108,504</w:t>
            </w:r>
          </w:p>
        </w:tc>
        <w:tc>
          <w:tcPr>
            <w:tcW w:w="193" w:type="dxa"/>
            <w:tcBorders/>
            <w:vAlign w:val="center"/>
          </w:tcPr>
          <w:p>
            <w:pPr>
              <w:pStyle w:val="TableContents"/>
              <w:bidi w:val="0"/>
              <w:spacing w:before="0" w:after="0"/>
              <w:ind w:left="0" w:right="0" w:hanging="0"/>
              <w:jc w:val="left"/>
              <w:rPr>
                <w:color w:val="575757"/>
              </w:rPr>
            </w:pPr>
            <w:r>
              <w:rPr>
                <w:color w:val="575757"/>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on deferred tax assets</w:t>
            </w:r>
          </w:p>
        </w:tc>
        <w:tc>
          <w:tcPr>
            <w:tcW w:w="34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1" w:type="dxa"/>
            <w:tcBorders/>
            <w:shd w:fill="CCEEFF" w:val="clear"/>
            <w:vAlign w:val="center"/>
          </w:tcPr>
          <w:p>
            <w:pPr>
              <w:pStyle w:val="TableContents"/>
              <w:bidi w:val="0"/>
              <w:spacing w:before="0" w:after="0"/>
              <w:ind w:left="0" w:right="0" w:hanging="0"/>
              <w:jc w:val="righ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207,744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righ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10,462</w:t>
            </w:r>
          </w:p>
        </w:tc>
        <w:tc>
          <w:tcPr>
            <w:tcW w:w="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w:t>
            </w:r>
          </w:p>
        </w:tc>
        <w:tc>
          <w:tcPr>
            <w:tcW w:w="250" w:type="dxa"/>
            <w:tcBorders/>
            <w:shd w:fill="CCEEFF" w:val="clear"/>
            <w:vAlign w:val="center"/>
          </w:tcPr>
          <w:p>
            <w:pPr>
              <w:pStyle w:val="TableContents"/>
              <w:bidi w:val="0"/>
              <w:spacing w:before="0" w:after="0"/>
              <w:ind w:left="0" w:right="0" w:hanging="0"/>
              <w:jc w:val="righ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w:t>
            </w:r>
          </w:p>
        </w:tc>
        <w:tc>
          <w:tcPr>
            <w:tcW w:w="230" w:type="dxa"/>
            <w:tcBorders/>
            <w:shd w:fill="CCEEFF" w:val="clear"/>
            <w:vAlign w:val="center"/>
          </w:tcPr>
          <w:p>
            <w:pPr>
              <w:pStyle w:val="TableContents"/>
              <w:bidi w:val="0"/>
              <w:spacing w:before="0" w:after="0"/>
              <w:ind w:left="0" w:right="0" w:hanging="0"/>
              <w:jc w:val="right"/>
              <w:rPr/>
            </w:pPr>
            <w:r>
              <w:rPr/>
              <w:t> </w:t>
            </w:r>
          </w:p>
        </w:tc>
        <w:tc>
          <w:tcPr>
            <w:tcW w:w="806"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216,179</w:t>
            </w:r>
          </w:p>
        </w:tc>
        <w:tc>
          <w:tcPr>
            <w:tcW w:w="193" w:type="dxa"/>
            <w:tcBorders/>
            <w:shd w:fill="CCEEFF" w:val="clear"/>
            <w:vAlign w:val="center"/>
          </w:tcPr>
          <w:p>
            <w:pPr>
              <w:pStyle w:val="TableContents"/>
              <w:bidi w:val="0"/>
              <w:spacing w:before="0" w:after="0"/>
              <w:ind w:left="0" w:right="0" w:hanging="0"/>
              <w:jc w:val="left"/>
              <w:rPr>
                <w:color w:val="575757"/>
              </w:rPr>
            </w:pPr>
            <w:r>
              <w:rPr>
                <w:color w:val="575757"/>
              </w:rPr>
              <w:t>​</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represents uncollectible receivables written off and the impact of changes in foreign currency rates during the fiscal year.</w:t>
            </w:r>
          </w:p>
        </w:tc>
      </w:tr>
    </w:tbl>
    <w:tbl>
      <w:tblPr>
        <w:tblW w:w="5357" w:type="dxa"/>
        <w:jc w:val="left"/>
        <w:tblInd w:w="0" w:type="dxa"/>
        <w:tblLayout w:type="fixed"/>
        <w:tblCellMar>
          <w:top w:w="0" w:type="dxa"/>
          <w:left w:w="0" w:type="dxa"/>
          <w:bottom w:w="0" w:type="dxa"/>
          <w:right w:w="0" w:type="dxa"/>
        </w:tblCellMar>
      </w:tblPr>
      <w:tblGrid>
        <w:gridCol w:w="346"/>
        <w:gridCol w:w="50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represents impact of true ups related to prior years.</w:t>
            </w:r>
          </w:p>
        </w:tc>
      </w:tr>
    </w:tbl>
    <w:tbl>
      <w:tblPr>
        <w:tblW w:w="7127" w:type="dxa"/>
        <w:jc w:val="left"/>
        <w:tblInd w:w="0" w:type="dxa"/>
        <w:tblLayout w:type="fixed"/>
        <w:tblCellMar>
          <w:top w:w="0" w:type="dxa"/>
          <w:left w:w="0" w:type="dxa"/>
          <w:bottom w:w="0" w:type="dxa"/>
          <w:right w:w="0" w:type="dxa"/>
        </w:tblCellMar>
      </w:tblPr>
      <w:tblGrid>
        <w:gridCol w:w="331"/>
        <w:gridCol w:w="679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related to impact of foreign currency exchange on valuation allowances.</w:t>
            </w:r>
          </w:p>
        </w:tc>
      </w:tr>
    </w:tbl>
    <w:tbl>
      <w:tblPr>
        <w:tblW w:w="4757" w:type="dxa"/>
        <w:jc w:val="left"/>
        <w:tblInd w:w="0" w:type="dxa"/>
        <w:tblLayout w:type="fixed"/>
        <w:tblCellMar>
          <w:top w:w="0" w:type="dxa"/>
          <w:left w:w="0" w:type="dxa"/>
          <w:bottom w:w="0" w:type="dxa"/>
          <w:right w:w="0" w:type="dxa"/>
        </w:tblCellMar>
      </w:tblPr>
      <w:tblGrid>
        <w:gridCol w:w="346"/>
        <w:gridCol w:w="44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represents impact of current year activities.</w:t>
            </w:r>
          </w:p>
        </w:tc>
      </w:tr>
    </w:tbl>
    <w:p>
      <w:pPr>
        <w:pStyle w:val="TextBody"/>
        <w:bidi w:val="0"/>
        <w:spacing w:lineRule="auto" w:line="343" w:before="60" w:after="0"/>
        <w:ind w:left="0" w:right="0" w:hanging="0"/>
        <w:jc w:val="left"/>
        <w:rPr/>
      </w:pPr>
      <w:r>
        <w:rPr/>
        <w:t>​</w:t>
      </w:r>
    </w:p>
    <w:p>
      <w:pPr>
        <w:pStyle w:val="TextBody"/>
        <w:bidi w:val="0"/>
        <w:spacing w:lineRule="auto" w:line="343" w:before="60" w:after="0"/>
        <w:ind w:left="360" w:right="0" w:hanging="0"/>
        <w:jc w:val="left"/>
        <w:rPr/>
      </w:pPr>
      <w:r>
        <w:rPr/>
        <w:t>​</w:t>
      </w:r>
    </w:p>
    <w:p>
      <w:pPr>
        <w:pStyle w:val="TextBody"/>
        <w:bidi w:val="0"/>
        <w:spacing w:lineRule="auto" w:line="343" w:before="60" w:after="0"/>
        <w:ind w:left="360" w:right="0" w:hanging="0"/>
        <w:jc w:val="left"/>
        <w:rPr/>
      </w:pPr>
      <w:r>
        <w:rPr/>
        <w:t>​</w:t>
      </w:r>
    </w:p>
    <w:p>
      <w:pPr>
        <w:pStyle w:val="TextBody"/>
        <w:bidi w:val="0"/>
        <w:spacing w:lineRule="auto" w:line="343" w:before="6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83" w:name="PowerOfAttorney"/>
      <w:bookmarkStart w:id="1584" w:name="_8034a9fb_f4f0_4df5_9ae1_3271ace2684f"/>
      <w:bookmarkEnd w:id="1583"/>
      <w:bookmarkEnd w:id="1584"/>
      <w:r>
        <w:rPr>
          <w:rFonts w:ascii="Times New Roman;Times;serif" w:hAnsi="Times New Roman;Times;serif"/>
          <w:b/>
          <w:sz w:val="20"/>
        </w:rPr>
        <w:t>SIGNATURES</w:t>
      </w:r>
    </w:p>
    <w:p>
      <w:pPr>
        <w:pStyle w:val="TextBody"/>
        <w:bidi w:val="0"/>
        <w:spacing w:lineRule="auto" w:line="314" w:before="200" w:after="0"/>
        <w:ind w:left="0" w:right="0" w:firstLine="475"/>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tLeast" w:line="200" w:before="0" w:after="0"/>
        <w:ind w:left="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0"/>
              <w:ind w:left="0" w:right="0" w:hanging="0"/>
              <w:jc w:val="left"/>
              <w:rPr/>
            </w:pPr>
            <w:r>
              <w:rPr/>
              <w:t>​</w:t>
            </w:r>
          </w:p>
        </w:tc>
        <w:tc>
          <w:tcPr>
            <w:tcW w:w="28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GALLAGHER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Philip R. Gallagher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 xml:space="preserve">Chief Executive Officer </w:t>
            </w:r>
          </w:p>
        </w:tc>
      </w:tr>
    </w:tbl>
    <w:p>
      <w:pPr>
        <w:pStyle w:val="TextBody"/>
        <w:bidi w:val="0"/>
        <w:spacing w:before="0" w:after="0"/>
        <w:ind w:left="0" w:right="0" w:hanging="0"/>
        <w:jc w:val="left"/>
        <w:rPr/>
      </w:pPr>
      <w:r>
        <w:rPr/>
        <w:t>​</w:t>
      </w:r>
    </w:p>
    <w:p>
      <w:pPr>
        <w:pStyle w:val="TextBody"/>
        <w:bidi w:val="0"/>
        <w:spacing w:lineRule="auto" w:line="314" w:before="0" w:after="0"/>
        <w:ind w:left="0" w:right="0" w:firstLine="475"/>
        <w:jc w:val="both"/>
        <w:rPr>
          <w:rFonts w:ascii="Times New Roman;Times;serif" w:hAnsi="Times New Roman;Times;serif"/>
          <w:sz w:val="20"/>
        </w:rPr>
      </w:pPr>
      <w:r>
        <w:rPr>
          <w:rFonts w:ascii="Times New Roman;Times;serif" w:hAnsi="Times New Roman;Times;serif"/>
          <w:sz w:val="20"/>
        </w:rPr>
        <w:t>Each person whose signature appears below hereby authorizes and appoints each of Phil R. Gallagher and Kenneth A. Jacobson his or her attorneys-in-fact, for him or her in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pStyle w:val="TextBody"/>
        <w:bidi w:val="0"/>
        <w:spacing w:lineRule="auto" w:line="314" w:before="200" w:after="0"/>
        <w:ind w:left="0" w:right="0" w:firstLine="475"/>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indicated on August 14, 2026.</w:t>
      </w:r>
    </w:p>
    <w:p>
      <w:pPr>
        <w:pStyle w:val="TextBody"/>
        <w:bidi w:val="0"/>
        <w:spacing w:lineRule="atLeast" w:line="200" w:before="0" w:after="0"/>
        <w:ind w:left="0" w:right="0" w:hanging="0"/>
        <w:jc w:val="center"/>
        <w:rPr/>
      </w:pPr>
      <w:r>
        <w:rPr/>
        <w:t>​</w:t>
      </w:r>
    </w:p>
    <w:tbl>
      <w:tblPr>
        <w:tblW w:w="5751" w:type="dxa"/>
        <w:jc w:val="left"/>
        <w:tblInd w:w="0" w:type="dxa"/>
        <w:tblLayout w:type="fixed"/>
        <w:tblCellMar>
          <w:top w:w="0" w:type="dxa"/>
          <w:left w:w="0" w:type="dxa"/>
          <w:bottom w:w="0" w:type="dxa"/>
          <w:right w:w="0" w:type="dxa"/>
        </w:tblCellMar>
      </w:tblPr>
      <w:tblGrid>
        <w:gridCol w:w="2521"/>
        <w:gridCol w:w="109"/>
        <w:gridCol w:w="312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600835" cy="175260"/>
                      <wp:effectExtent l="0" t="0" r="0" b="0"/>
                      <wp:wrapNone/>
                      <wp:docPr id="475" name="Frame474"/>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981835" cy="175260"/>
                      <wp:effectExtent l="0" t="0" r="0" b="0"/>
                      <wp:wrapNone/>
                      <wp:docPr id="477" name="Frame476"/>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r>
      <w:tr>
        <w:trPr/>
        <w:tc>
          <w:tcPr>
            <w:tcW w:w="2521" w:type="dxa"/>
            <w:tcBorders>
              <w:top w:val="single" w:sz="2" w:space="0" w:color="000000"/>
            </w:tcBorders>
            <w:tcMar>
              <w:top w:w="28" w:type="dxa"/>
            </w:tcMar>
            <w:vAlign w:val="center"/>
          </w:tcPr>
          <w:p>
            <w:pPr>
              <w:pStyle w:val="TableContents"/>
              <w:bidi w:val="0"/>
              <w:spacing w:lineRule="atLeast" w:line="142" w:before="0" w:after="0"/>
              <w:ind w:left="0" w:right="0" w:hanging="0"/>
              <w:jc w:val="left"/>
              <w:rPr/>
            </w:pPr>
            <w:r>
              <w:rPr/>
              <w:t>​</w:t>
            </w:r>
          </w:p>
        </w:tc>
        <w:tc>
          <w:tcPr>
            <w:tcW w:w="109" w:type="dxa"/>
            <w:tcBorders/>
            <w:vAlign w:val="center"/>
          </w:tcPr>
          <w:p>
            <w:pPr>
              <w:pStyle w:val="TableContents"/>
              <w:bidi w:val="0"/>
              <w:spacing w:lineRule="atLeast" w:line="142" w:before="0" w:after="0"/>
              <w:ind w:left="0" w:right="0" w:hanging="0"/>
              <w:jc w:val="left"/>
              <w:rPr/>
            </w:pPr>
            <w:r>
              <w:rPr/>
              <w:t>​</w:t>
            </w:r>
          </w:p>
        </w:tc>
        <w:tc>
          <w:tcPr>
            <w:tcW w:w="3121" w:type="dxa"/>
            <w:tcBorders>
              <w:top w:val="single" w:sz="2" w:space="0" w:color="000000"/>
            </w:tcBorders>
            <w:tcMar>
              <w:top w:w="28" w:type="dxa"/>
            </w:tcMar>
            <w:vAlign w:val="center"/>
          </w:tcPr>
          <w:p>
            <w:pPr>
              <w:pStyle w:val="TableContents"/>
              <w:bidi w:val="0"/>
              <w:spacing w:lineRule="atLeast" w:line="142"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 PHILIP R. GALLAGHER</w:t>
            </w:r>
          </w:p>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Philip R. Gallagher</w:t>
            </w:r>
          </w:p>
        </w:tc>
        <w:tc>
          <w:tcPr>
            <w:tcW w:w="109" w:type="dxa"/>
            <w:tcBorders/>
            <w:vAlign w:val="center"/>
          </w:tcPr>
          <w:p>
            <w:pPr>
              <w:pStyle w:val="TableContents"/>
              <w:bidi w:val="0"/>
              <w:spacing w:lineRule="atLeast" w:line="200" w:before="0" w:after="0"/>
              <w:ind w:left="0" w:right="0" w:hanging="0"/>
              <w:jc w:val="left"/>
              <w:rPr/>
            </w:pPr>
            <w:r>
              <w:rPr/>
              <w:t>​</w:t>
            </w:r>
          </w:p>
        </w:tc>
        <w:tc>
          <w:tcPr>
            <w:tcW w:w="312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and Director</w:t>
            </w:r>
          </w:p>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RODNEY C. ADKINS</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Rodney C. Adkins</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Chair of the Board and 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BRENDA L. FREEMAN</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Brenda L. Freeman</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HELMUT GASSEL</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Helmut Gassel</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VIRGINIA HENKELS</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Virginia Henkels</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JO ANN JENKINS</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Jo Ann Jenkins</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90" w:before="0" w:after="0"/>
              <w:ind w:left="0" w:right="0" w:hanging="0"/>
              <w:jc w:val="center"/>
              <w:rPr>
                <w:rFonts w:ascii="Times New Roman;Times;serif" w:hAnsi="Times New Roman;Times;serif"/>
                <w:sz w:val="20"/>
              </w:rPr>
            </w:pPr>
            <w:r>
              <w:rPr>
                <w:rFonts w:ascii="Times New Roman;Times;serif" w:hAnsi="Times New Roman;Times;serif"/>
                <w:sz w:val="20"/>
              </w:rPr>
              <w:t>/s/ OLEG KHAYKIN</w:t>
            </w:r>
          </w:p>
          <w:p>
            <w:pPr>
              <w:pStyle w:val="TableContents"/>
              <w:bidi w:val="0"/>
              <w:spacing w:lineRule="atLeast" w:line="190" w:before="0" w:after="0"/>
              <w:ind w:left="0" w:right="0" w:hanging="0"/>
              <w:jc w:val="center"/>
              <w:rPr>
                <w:rFonts w:ascii="Times New Roman;Times;serif" w:hAnsi="Times New Roman;Times;serif"/>
                <w:sz w:val="20"/>
              </w:rPr>
            </w:pPr>
            <w:r>
              <w:rPr>
                <w:rFonts w:ascii="Times New Roman;Times;serif" w:hAnsi="Times New Roman;Times;serif"/>
                <w:sz w:val="20"/>
              </w:rPr>
              <w:t>Oleg Khaykin</w:t>
            </w:r>
          </w:p>
        </w:tc>
        <w:tc>
          <w:tcPr>
            <w:tcW w:w="109" w:type="dxa"/>
            <w:tcBorders/>
            <w:vAlign w:val="center"/>
          </w:tcPr>
          <w:p>
            <w:pPr>
              <w:pStyle w:val="TableContents"/>
              <w:bidi w:val="0"/>
              <w:spacing w:lineRule="atLeast" w:line="190" w:before="0" w:after="0"/>
              <w:ind w:left="0" w:right="0" w:hanging="0"/>
              <w:jc w:val="left"/>
              <w:rPr/>
            </w:pPr>
            <w:r>
              <w:rPr/>
              <w:t>​</w:t>
            </w:r>
          </w:p>
        </w:tc>
        <w:tc>
          <w:tcPr>
            <w:tcW w:w="3121" w:type="dxa"/>
            <w:tcBorders/>
            <w:vAlign w:val="center"/>
          </w:tcPr>
          <w:p>
            <w:pPr>
              <w:pStyle w:val="TableContents"/>
              <w:bidi w:val="0"/>
              <w:spacing w:lineRule="atLeast" w:line="19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 ERNEST MADDOCK</w:t>
            </w:r>
          </w:p>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Ernest Maddock</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AVID MODJTABAI</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Avid Modjtabai</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 ADALIO T. SANCHEZ</w:t>
            </w:r>
          </w:p>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Adalio T. Sanchez</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pBdr>
                <w:bottom w:val="single" w:sz="8" w:space="1" w:color="000000"/>
              </w:pBdr>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/s/ KENNETH A. JACOBSON</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Kenneth A. Jacobson</w:t>
            </w:r>
          </w:p>
        </w:tc>
        <w:tc>
          <w:tcPr>
            <w:tcW w:w="109" w:type="dxa"/>
            <w:tcBorders/>
            <w:vAlign w:val="center"/>
          </w:tcPr>
          <w:p>
            <w:pPr>
              <w:pStyle w:val="TableContents"/>
              <w:bidi w:val="0"/>
              <w:spacing w:lineRule="atLeast" w:line="180" w:before="0" w:after="0"/>
              <w:ind w:left="0" w:right="0" w:hanging="0"/>
              <w:jc w:val="left"/>
              <w:rPr/>
            </w:pPr>
            <w:r>
              <w:rPr/>
              <w:t>​</w:t>
            </w:r>
          </w:p>
        </w:tc>
        <w:tc>
          <w:tcPr>
            <w:tcW w:w="312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 xml:space="preserve">Chief Financial Officer </w:t>
            </w:r>
          </w:p>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25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0"/>
        <w:ind w:left="0" w:right="720" w:hanging="0"/>
        <w:jc w:val="left"/>
        <w:rPr/>
      </w:pPr>
      <w:bookmarkStart w:id="1585" w:name="avt-20260627xex10d12.htm"/>
      <w:bookmarkStart w:id="1586" w:name="ksavt20260627xex10d12"/>
      <w:bookmarkEnd w:id="1585"/>
      <w:bookmarkEnd w:id="1586"/>
      <w:r>
        <w:rPr/>
        <w:t>​</w:t>
      </w:r>
      <w:r>
        <w:br w:type="page"/>
      </w:r>
    </w:p>
    <w:p>
      <w:pPr>
        <w:pStyle w:val="TextBody"/>
        <w:bidi w:val="0"/>
        <w:spacing w:before="0" w:after="0"/>
        <w:ind w:left="0" w:right="720" w:hanging="0"/>
        <w:jc w:val="left"/>
        <w:rPr/>
      </w:pPr>
      <w:r>
        <w:rPr/>
        <w:t>​</w:t>
      </w:r>
    </w:p>
    <w:p>
      <w:pPr>
        <w:pStyle w:val="TextBody"/>
        <w:bidi w:val="0"/>
        <w:spacing w:before="0" w:after="0"/>
        <w:ind w:left="0" w:right="720" w:hanging="0"/>
        <w:jc w:val="left"/>
        <w:rPr/>
      </w:pPr>
      <w:r>
        <w:rPr/>
        <w:t>​</w:t>
      </w:r>
    </w:p>
    <w:p>
      <w:pPr>
        <w:pStyle w:val="TextBody"/>
        <w:bidi w:val="0"/>
        <w:spacing w:before="0" w:after="0"/>
        <w:ind w:left="0" w:right="720" w:hanging="0"/>
        <w:jc w:val="left"/>
        <w:rPr/>
      </w:pPr>
      <w:r>
        <w:rPr/>
        <w:t>​</w:t>
      </w:r>
    </w:p>
    <w:p>
      <w:pPr>
        <w:pStyle w:val="TextBody"/>
        <w:bidi w:val="0"/>
        <w:spacing w:before="0" w:after="0"/>
        <w:ind w:left="0" w:right="720" w:hanging="0"/>
        <w:jc w:val="right"/>
        <w:rPr>
          <w:rFonts w:ascii="Arial;Helvetica;sans-serif" w:hAnsi="Arial;Helvetica;sans-serif"/>
          <w:b/>
          <w:sz w:val="24"/>
        </w:rPr>
      </w:pPr>
      <w:r>
        <w:rPr>
          <w:rFonts w:ascii="Arial;Helvetica;sans-serif" w:hAnsi="Arial;Helvetica;sans-serif"/>
          <w:b/>
          <w:sz w:val="24"/>
        </w:rPr>
        <w:t>Exhibit 10.12</w:t>
      </w:r>
    </w:p>
    <w:p>
      <w:pPr>
        <w:pStyle w:val="TextBody"/>
        <w:bidi w:val="0"/>
        <w:spacing w:before="0" w:after="0"/>
        <w:ind w:left="720" w:right="720" w:hanging="0"/>
        <w:jc w:val="center"/>
        <w:rPr>
          <w:rFonts w:ascii="Arial;Helvetica;sans-serif" w:hAnsi="Arial;Helvetica;sans-serif"/>
          <w:b/>
          <w:sz w:val="32"/>
        </w:rPr>
      </w:pPr>
      <w:r>
        <w:rPr>
          <w:rFonts w:ascii="Arial;Helvetica;sans-serif" w:hAnsi="Arial;Helvetica;sans-serif"/>
          <w:b/>
          <w:sz w:val="32"/>
        </w:rPr>
        <w:t>AVNET, INC.</w:t>
      </w:r>
    </w:p>
    <w:p>
      <w:pPr>
        <w:pStyle w:val="TextBody"/>
        <w:bidi w:val="0"/>
        <w:spacing w:before="0" w:after="240"/>
        <w:ind w:left="720" w:right="720" w:hanging="0"/>
        <w:jc w:val="center"/>
        <w:rPr>
          <w:rFonts w:ascii="Arial;Helvetica;sans-serif" w:hAnsi="Arial;Helvetica;sans-serif"/>
          <w:b/>
          <w:sz w:val="32"/>
        </w:rPr>
      </w:pPr>
      <w:r>
        <w:rPr>
          <w:rFonts w:ascii="Arial;Helvetica;sans-serif" w:hAnsi="Arial;Helvetica;sans-serif"/>
          <w:b/>
          <w:sz w:val="32"/>
        </w:rPr>
        <w:t>2025 STOCK COMPENSATION AND INCENTIVE PLAN</w:t>
      </w:r>
    </w:p>
    <w:p>
      <w:pPr>
        <w:pStyle w:val="TextBody"/>
        <w:bidi w:val="0"/>
        <w:spacing w:before="0" w:after="240"/>
        <w:ind w:left="270" w:right="0" w:hanging="0"/>
        <w:jc w:val="center"/>
        <w:rPr>
          <w:rFonts w:ascii="Arial;Helvetica;sans-serif" w:hAnsi="Arial;Helvetica;sans-serif"/>
          <w:b/>
          <w:sz w:val="20"/>
        </w:rPr>
      </w:pPr>
      <w:r>
        <w:rPr>
          <w:rFonts w:ascii="Arial;Helvetica;sans-serif" w:hAnsi="Arial;Helvetica;sans-serif"/>
          <w:b/>
          <w:caps/>
          <w:sz w:val="20"/>
        </w:rPr>
        <w:t>Article 1</w:t>
      </w:r>
      <w:r>
        <w:rPr>
          <w:rFonts w:ascii="Arial;Helvetica;sans-serif" w:hAnsi="Arial;Helvetica;sans-serif"/>
          <w:b/>
          <w:sz w:val="20"/>
        </w:rPr>
        <w:t>​​</w:t>
      </w:r>
    </w:p>
    <w:p>
      <w:pPr>
        <w:pStyle w:val="TextBody"/>
        <w:bidi w:val="0"/>
        <w:spacing w:before="0" w:after="240"/>
        <w:ind w:left="270" w:right="0" w:hanging="0"/>
        <w:jc w:val="center"/>
        <w:rPr>
          <w:rFonts w:ascii="Arial;Helvetica;sans-serif" w:hAnsi="Arial;Helvetica;sans-serif"/>
          <w:b/>
          <w:sz w:val="20"/>
        </w:rPr>
      </w:pPr>
      <w:r>
        <w:rPr>
          <w:rFonts w:ascii="Arial;Helvetica;sans-serif" w:hAnsi="Arial;Helvetica;sans-serif"/>
          <w:b/>
          <w:sz w:val="20"/>
        </w:rPr>
        <w:t>PURPOSE OF THE PLAN</w:t>
      </w:r>
    </w:p>
    <w:p>
      <w:pPr>
        <w:pStyle w:val="TextBody"/>
        <w:bidi w:val="0"/>
        <w:spacing w:before="120" w:after="0"/>
        <w:ind w:left="432" w:right="720" w:hanging="0"/>
        <w:jc w:val="left"/>
        <w:rPr>
          <w:rFonts w:ascii="Arial;Helvetica;sans-serif" w:hAnsi="Arial;Helvetica;sans-serif"/>
          <w:sz w:val="20"/>
        </w:rPr>
      </w:pPr>
      <w:r>
        <w:rPr>
          <w:rFonts w:ascii="Arial;Helvetica;sans-serif" w:hAnsi="Arial;Helvetica;sans-serif"/>
          <w:sz w:val="20"/>
        </w:rPr>
        <w:t>The 2025 Stock Compensation and Incentive Plan is intended to advance Avnet’s interests by helping Avnet and its subsidiaries to attract, retain, and motivate high caliber talent to serve as Eligible Employees and Non-Employee Directors, and by providing incentives that are consistent with the shareholders’ interest in maximizing the value of Avnet’s stock.</w:t>
      </w:r>
    </w:p>
    <w:p>
      <w:pPr>
        <w:pStyle w:val="TextBody"/>
        <w:bidi w:val="0"/>
        <w:spacing w:before="240" w:after="240"/>
        <w:ind w:left="270" w:right="0" w:hanging="0"/>
        <w:jc w:val="center"/>
        <w:rPr>
          <w:rFonts w:ascii="Arial;Helvetica;sans-serif" w:hAnsi="Arial;Helvetica;sans-serif"/>
          <w:b/>
          <w:sz w:val="20"/>
        </w:rPr>
      </w:pPr>
      <w:r>
        <w:rPr>
          <w:rFonts w:ascii="Arial;Helvetica;sans-serif" w:hAnsi="Arial;Helvetica;sans-serif"/>
          <w:b/>
          <w:caps/>
          <w:sz w:val="20"/>
        </w:rPr>
        <w:t>Article 2</w:t>
      </w:r>
      <w:r>
        <w:rPr>
          <w:rFonts w:ascii="Arial;Helvetica;sans-serif" w:hAnsi="Arial;Helvetica;sans-serif"/>
          <w:b/>
          <w:sz w:val="20"/>
        </w:rPr>
        <w:t>​</w:t>
        <w:br/>
        <w:t>DEFINITIONS</w:t>
      </w:r>
    </w:p>
    <w:p>
      <w:pPr>
        <w:pStyle w:val="TextBody"/>
        <w:bidi w:val="0"/>
        <w:spacing w:before="0" w:after="240"/>
        <w:ind w:left="691" w:right="806" w:hanging="0"/>
        <w:jc w:val="left"/>
        <w:rPr>
          <w:rFonts w:ascii="Arial;Helvetica;sans-serif" w:hAnsi="Arial;Helvetica;sans-serif"/>
          <w:sz w:val="10"/>
        </w:rPr>
      </w:pPr>
      <w:r>
        <w:rPr>
          <w:rFonts w:ascii="Arial;Helvetica;sans-serif" w:hAnsi="Arial;Helvetica;sans-serif"/>
          <w:sz w:val="20"/>
        </w:rPr>
        <w:t>The following terms, when used in capitalized form, shall have the meanings set forth below:</w:t>
      </w:r>
      <w:r>
        <w:rPr>
          <w:rFonts w:ascii="Arial;Helvetica;sans-serif" w:hAnsi="Arial;Helvetica;sans-serif"/>
          <w:sz w:val="10"/>
        </w:rPr>
        <w: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 xml:space="preserve">2.1.  </w:t>
      </w:r>
      <w:r>
        <w:rPr>
          <w:rFonts w:ascii="Arial;Helvetica;sans-serif" w:hAnsi="Arial;Helvetica;sans-serif"/>
          <w:i/>
          <w:sz w:val="20"/>
        </w:rPr>
        <w:t>Administrator</w:t>
      </w:r>
      <w:r>
        <w:rPr>
          <w:rFonts w:ascii="Arial;Helvetica;sans-serif" w:hAnsi="Arial;Helvetica;sans-serif"/>
          <w:sz w:val="20"/>
        </w:rPr>
        <w:t xml:space="preserve"> means—</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(a) the Committee, with respect to each Award granted to an Eligible Employee; and</w:t>
      </w:r>
    </w:p>
    <w:p>
      <w:pPr>
        <w:pStyle w:val="TextBody"/>
        <w:bidi w:val="0"/>
        <w:spacing w:before="240" w:after="240"/>
        <w:ind w:left="1152" w:right="720" w:firstLine="720"/>
        <w:jc w:val="left"/>
        <w:rPr>
          <w:rFonts w:ascii="Arial;Helvetica;sans-serif" w:hAnsi="Arial;Helvetica;sans-serif"/>
          <w:sz w:val="20"/>
        </w:rPr>
      </w:pPr>
      <w:r>
        <w:rPr>
          <w:rFonts w:ascii="Arial;Helvetica;sans-serif" w:hAnsi="Arial;Helvetica;sans-serif"/>
          <w:sz w:val="20"/>
        </w:rPr>
        <w:t>(b) the Independent Directors, with respect to each Award granted to a Non-Employee Director.</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 xml:space="preserve">2.2.  </w:t>
      </w:r>
      <w:r>
        <w:rPr>
          <w:rFonts w:ascii="Arial;Helvetica;sans-serif" w:hAnsi="Arial;Helvetica;sans-serif"/>
          <w:i/>
          <w:sz w:val="20"/>
        </w:rPr>
        <w:t>Agreement</w:t>
      </w:r>
      <w:r>
        <w:rPr>
          <w:rFonts w:ascii="Arial;Helvetica;sans-serif" w:hAnsi="Arial;Helvetica;sans-serif"/>
          <w:sz w:val="20"/>
        </w:rPr>
        <w:t xml:space="preserve"> means the document (written or electronic) that evidences an Award granted hereunder and sets forth the material terms thereof, including any addendum thereto. Each Agreement shall be in such form as prescribed or approved by the Administrator.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2.3. </w:t>
      </w:r>
      <w:r>
        <w:rPr>
          <w:rFonts w:ascii="Arial;Helvetica;sans-serif" w:hAnsi="Arial;Helvetica;sans-serif"/>
          <w:i/>
          <w:sz w:val="20"/>
        </w:rPr>
        <w:t>Avnet</w:t>
      </w:r>
      <w:r>
        <w:rPr>
          <w:rFonts w:ascii="Arial;Helvetica;sans-serif" w:hAnsi="Arial;Helvetica;sans-serif"/>
          <w:sz w:val="20"/>
        </w:rPr>
        <w:t xml:space="preserve"> means Avnet, Inc.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2.4.  </w:t>
      </w:r>
      <w:r>
        <w:rPr>
          <w:rFonts w:ascii="Arial;Helvetica;sans-serif" w:hAnsi="Arial;Helvetica;sans-serif"/>
          <w:i/>
          <w:sz w:val="20"/>
        </w:rPr>
        <w:t>Award</w:t>
      </w:r>
      <w:r>
        <w:rPr>
          <w:rFonts w:ascii="Arial;Helvetica;sans-serif" w:hAnsi="Arial;Helvetica;sans-serif"/>
          <w:sz w:val="20"/>
        </w:rPr>
        <w:t xml:space="preserve"> means a grant under the Plan of an Option, Stock Appreciation Right, Restricted Stock, Restricted Stock Unit, Performance Share Unit, Other Stock Unit Award, or Executive Incentive Performance Award, as evidenced by an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2.5.  </w:t>
      </w:r>
      <w:r>
        <w:rPr>
          <w:rFonts w:ascii="Arial;Helvetica;sans-serif" w:hAnsi="Arial;Helvetica;sans-serif"/>
          <w:i/>
          <w:sz w:val="20"/>
        </w:rPr>
        <w:t>Board of Directors</w:t>
      </w:r>
      <w:r>
        <w:rPr>
          <w:rFonts w:ascii="Arial;Helvetica;sans-serif" w:hAnsi="Arial;Helvetica;sans-serif"/>
          <w:sz w:val="20"/>
        </w:rPr>
        <w:t xml:space="preserve"> and </w:t>
      </w:r>
      <w:r>
        <w:rPr>
          <w:rFonts w:ascii="Arial;Helvetica;sans-serif" w:hAnsi="Arial;Helvetica;sans-serif"/>
          <w:i/>
          <w:sz w:val="20"/>
        </w:rPr>
        <w:t>Director</w:t>
      </w:r>
      <w:r>
        <w:rPr>
          <w:rFonts w:ascii="Arial;Helvetica;sans-serif" w:hAnsi="Arial;Helvetica;sans-serif"/>
          <w:sz w:val="20"/>
        </w:rPr>
        <w:t xml:space="preserve"> mean, respectively, the Board of Directors of Avnet and any member thereof.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2.6.  </w:t>
      </w:r>
      <w:r>
        <w:rPr>
          <w:rFonts w:ascii="Arial;Helvetica;sans-serif" w:hAnsi="Arial;Helvetica;sans-serif"/>
          <w:i/>
          <w:sz w:val="20"/>
        </w:rPr>
        <w:t>Change in Control</w:t>
      </w:r>
      <w:r>
        <w:rPr>
          <w:rFonts w:ascii="Arial;Helvetica;sans-serif" w:hAnsi="Arial;Helvetica;sans-serif"/>
          <w:sz w:val="20"/>
        </w:rPr>
        <w:t xml:space="preserve"> means the happening of any of the following: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(a) the acquisition by any individual, entity or group (within the meaning of Section 13(d)(3) or 14(d)(2) of the Exchange Act (a “Person”)) of beneficial ownership (within the meaning of Rule 13d-3 promulgated under the Exchange Act) of more than 30% of either: (A)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 directly from Avnet (excluding an acquisition by virtue of the exercise of a conversion privilege), (ii) any acquisition by Avnet or an entity controlled by Avnet, or (iii) an acquisition by any employee benefit plan (or related trust) sponsored or maintained by Avnet or any entity controlled by Avnet; or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 xml:space="preserve">(b) the individuals who, as of the date of the 2025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 if (i) his election, or nomination for election by Avnet’s stockholders, was approved by a vote of at least a majority of the Directors then comprising the Incumbent Board, </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and (ii) his initial assumption of office does not occur as a result of an actual or threatened solicitation of proxies or consents by or on behalf of a Person other than a majority of the then Incumbent Board; or</w:t>
      </w:r>
      <w:bookmarkStart w:id="1587" w:name="eolPage44"/>
      <w:bookmarkEnd w:id="1587"/>
      <w:r>
        <w:rPr>
          <w:rFonts w:ascii="Arial;Helvetica;sans-serif" w:hAnsi="Arial;Helvetica;sans-serif"/>
          <w:sz w:val="20"/>
        </w:rPr>
        <w:t xml:space="preserve">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(c) a complete liquidation or dissolution of Avnet, or the sale or other disposition of all or substantially all the assets of Avnet (in one or more transactions).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Section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2.7. </w:t>
      </w:r>
      <w:r>
        <w:rPr>
          <w:rFonts w:ascii="Arial;Helvetica;sans-serif" w:hAnsi="Arial;Helvetica;sans-serif"/>
          <w:i/>
          <w:sz w:val="20"/>
        </w:rPr>
        <w:t>CEO</w:t>
      </w:r>
      <w:r>
        <w:rPr>
          <w:rFonts w:ascii="Arial;Helvetica;sans-serif" w:hAnsi="Arial;Helvetica;sans-serif"/>
          <w:sz w:val="20"/>
        </w:rPr>
        <w:t xml:space="preserve"> means the Chief Executive Officer of Avnet.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2.8. </w:t>
      </w:r>
      <w:r>
        <w:rPr>
          <w:rFonts w:ascii="Arial;Helvetica;sans-serif" w:hAnsi="Arial;Helvetica;sans-serif"/>
          <w:i/>
          <w:sz w:val="20"/>
        </w:rPr>
        <w:t>Code</w:t>
      </w:r>
      <w:r>
        <w:rPr>
          <w:rFonts w:ascii="Arial;Helvetica;sans-serif" w:hAnsi="Arial;Helvetica;sans-serif"/>
          <w:sz w:val="20"/>
        </w:rPr>
        <w:t xml:space="preserve"> means the Internal Revenue Code of 1986, as amended.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2.9. </w:t>
      </w:r>
      <w:r>
        <w:rPr>
          <w:rFonts w:ascii="Arial;Helvetica;sans-serif" w:hAnsi="Arial;Helvetica;sans-serif"/>
          <w:i/>
          <w:sz w:val="20"/>
        </w:rPr>
        <w:t>Committee</w:t>
      </w:r>
      <w:r>
        <w:rPr>
          <w:rFonts w:ascii="Arial;Helvetica;sans-serif" w:hAnsi="Arial;Helvetica;sans-serif"/>
          <w:sz w:val="20"/>
        </w:rPr>
        <w:t xml:space="preserve"> means the Compensation and Leadership Development Committee of the Board of Directors, which shall consist of three or more Non-Employee Directors appointed by the Board of Directors. Only Non-Employee Directors, within the meaning of Rule 16b-3, may serve on the Committee.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2.10.  </w:t>
      </w:r>
      <w:r>
        <w:rPr>
          <w:rFonts w:ascii="Arial;Helvetica;sans-serif" w:hAnsi="Arial;Helvetica;sans-serif"/>
          <w:i/>
          <w:sz w:val="20"/>
        </w:rPr>
        <w:t>Company</w:t>
      </w:r>
      <w:r>
        <w:rPr>
          <w:rFonts w:ascii="Arial;Helvetica;sans-serif" w:hAnsi="Arial;Helvetica;sans-serif"/>
          <w:sz w:val="20"/>
        </w:rPr>
        <w:t xml:space="preserve"> means Avnet and all its Subsidiaries.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2.11. </w:t>
      </w:r>
      <w:r>
        <w:rPr>
          <w:rFonts w:ascii="Arial;Helvetica;sans-serif" w:hAnsi="Arial;Helvetica;sans-serif"/>
          <w:i/>
          <w:sz w:val="20"/>
        </w:rPr>
        <w:t>Disability</w:t>
      </w:r>
      <w:r>
        <w:rPr>
          <w:rFonts w:ascii="Arial;Helvetica;sans-serif" w:hAnsi="Arial;Helvetica;sans-serif"/>
          <w:sz w:val="20"/>
        </w:rPr>
        <w:t xml:space="preserve"> means a “permanent and total disability” as defined by Code section 22(e)(3).</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 xml:space="preserve">2.12.  </w:t>
      </w:r>
      <w:r>
        <w:rPr>
          <w:rFonts w:ascii="Arial;Helvetica;sans-serif" w:hAnsi="Arial;Helvetica;sans-serif"/>
          <w:i/>
          <w:sz w:val="20"/>
        </w:rPr>
        <w:t>Eligible Employee</w:t>
      </w:r>
      <w:r>
        <w:rPr>
          <w:rFonts w:ascii="Arial;Helvetica;sans-serif" w:hAnsi="Arial;Helvetica;sans-serif"/>
          <w:sz w:val="20"/>
        </w:rPr>
        <w:t xml:space="preserve"> means an employee of Avnet or of any of its Subsidiaries.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2.13. </w:t>
      </w:r>
      <w:r>
        <w:rPr>
          <w:rFonts w:ascii="Arial;Helvetica;sans-serif" w:hAnsi="Arial;Helvetica;sans-serif"/>
          <w:i/>
          <w:sz w:val="20"/>
        </w:rPr>
        <w:t>Exchange Act</w:t>
      </w:r>
      <w:r>
        <w:rPr>
          <w:rFonts w:ascii="Arial;Helvetica;sans-serif" w:hAnsi="Arial;Helvetica;sans-serif"/>
          <w:sz w:val="20"/>
        </w:rPr>
        <w:t xml:space="preserve"> means the Securities Exchange Act of 1934, as amended.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2.14. </w:t>
      </w:r>
      <w:r>
        <w:rPr>
          <w:rFonts w:ascii="Arial;Helvetica;sans-serif" w:hAnsi="Arial;Helvetica;sans-serif"/>
          <w:i/>
          <w:sz w:val="20"/>
        </w:rPr>
        <w:t>Executive Incentive Performance Award</w:t>
      </w:r>
      <w:r>
        <w:rPr>
          <w:rFonts w:ascii="Arial;Helvetica;sans-serif" w:hAnsi="Arial;Helvetica;sans-serif"/>
          <w:sz w:val="20"/>
        </w:rPr>
        <w:t xml:space="preserve"> or </w:t>
      </w:r>
      <w:r>
        <w:rPr>
          <w:rFonts w:ascii="Arial;Helvetica;sans-serif" w:hAnsi="Arial;Helvetica;sans-serif"/>
          <w:i/>
          <w:sz w:val="20"/>
        </w:rPr>
        <w:t>EIP Award</w:t>
      </w:r>
      <w:r>
        <w:rPr>
          <w:rFonts w:ascii="Arial;Helvetica;sans-serif" w:hAnsi="Arial;Helvetica;sans-serif"/>
          <w:sz w:val="20"/>
        </w:rPr>
        <w:t xml:space="preserve"> means a performance-based cash award granted pursuant to Article 11.</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2.15. </w:t>
      </w:r>
      <w:r>
        <w:rPr>
          <w:rFonts w:ascii="Arial;Helvetica;sans-serif" w:hAnsi="Arial;Helvetica;sans-serif"/>
          <w:i/>
          <w:sz w:val="20"/>
        </w:rPr>
        <w:t>Executive Officer</w:t>
      </w:r>
      <w:r>
        <w:rPr>
          <w:rFonts w:ascii="Arial;Helvetica;sans-serif" w:hAnsi="Arial;Helvetica;sans-serif"/>
          <w:sz w:val="20"/>
        </w:rPr>
        <w:t xml:space="preserve"> means an employee designated by Avnet as an executive officer under Rule 16b-3.</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2.16. </w:t>
      </w:r>
      <w:r>
        <w:rPr>
          <w:rFonts w:ascii="Arial;Helvetica;sans-serif" w:hAnsi="Arial;Helvetica;sans-serif"/>
          <w:i/>
          <w:sz w:val="20"/>
        </w:rPr>
        <w:t>Fair Market Value</w:t>
      </w:r>
      <w:r>
        <w:rPr>
          <w:rFonts w:ascii="Arial;Helvetica;sans-serif" w:hAnsi="Arial;Helvetica;sans-serif"/>
          <w:sz w:val="20"/>
        </w:rPr>
        <w:t xml:space="preserve"> means, with respect to any date, the closing price (as reported for the Nasdaq Composite Index) at which shares of Stock have been sold on such date (or, if such date is a date for which no trading is so reported, on the next preceding date for which trading is so reported), or such other price as determined by the Committee in accordance with applicable law.</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2.17. </w:t>
      </w:r>
      <w:r>
        <w:rPr>
          <w:rFonts w:ascii="Arial;Helvetica;sans-serif" w:hAnsi="Arial;Helvetica;sans-serif"/>
          <w:i/>
          <w:sz w:val="20"/>
        </w:rPr>
        <w:t>Grant Date</w:t>
      </w:r>
      <w:r>
        <w:rPr>
          <w:rFonts w:ascii="Arial;Helvetica;sans-serif" w:hAnsi="Arial;Helvetica;sans-serif"/>
          <w:sz w:val="20"/>
        </w:rPr>
        <w:t xml:space="preserve"> means, with respect to granting an Award or modification of an outstanding Award, the date on which the material terms of the Award (including, as applicable, the number of shares covered by the Awards and the exercise price)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2.18. </w:t>
      </w:r>
      <w:r>
        <w:rPr>
          <w:rFonts w:ascii="Arial;Helvetica;sans-serif" w:hAnsi="Arial;Helvetica;sans-serif"/>
          <w:i/>
          <w:sz w:val="20"/>
        </w:rPr>
        <w:t>Independent Directors</w:t>
      </w:r>
      <w:r>
        <w:rPr>
          <w:rFonts w:ascii="Arial;Helvetica;sans-serif" w:hAnsi="Arial;Helvetica;sans-serif"/>
          <w:sz w:val="20"/>
        </w:rPr>
        <w:t xml:space="preserve"> means members of the Board of Directors acting as a group, each of whom satisfies Avnet’s Director independence standards.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2.19. </w:t>
      </w:r>
      <w:r>
        <w:rPr>
          <w:rFonts w:ascii="Arial;Helvetica;sans-serif" w:hAnsi="Arial;Helvetica;sans-serif"/>
          <w:i/>
          <w:sz w:val="20"/>
        </w:rPr>
        <w:t>Non-Employee Director</w:t>
      </w:r>
      <w:r>
        <w:rPr>
          <w:rFonts w:ascii="Arial;Helvetica;sans-serif" w:hAnsi="Arial;Helvetica;sans-serif"/>
          <w:sz w:val="20"/>
        </w:rPr>
        <w:t xml:space="preserve"> means a Director who is not an Eligible Employee.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2.20. </w:t>
      </w:r>
      <w:r>
        <w:rPr>
          <w:rFonts w:ascii="Arial;Helvetica;sans-serif" w:hAnsi="Arial;Helvetica;sans-serif"/>
          <w:i/>
          <w:sz w:val="20"/>
        </w:rPr>
        <w:t>Option</w:t>
      </w:r>
      <w:r>
        <w:rPr>
          <w:rFonts w:ascii="Arial;Helvetica;sans-serif" w:hAnsi="Arial;Helvetica;sans-serif"/>
          <w:sz w:val="20"/>
        </w:rPr>
        <w:t xml:space="preserve">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2.21. </w:t>
      </w:r>
      <w:r>
        <w:rPr>
          <w:rFonts w:ascii="Arial;Helvetica;sans-serif" w:hAnsi="Arial;Helvetica;sans-serif"/>
          <w:i/>
          <w:sz w:val="20"/>
        </w:rPr>
        <w:t>Optionee</w:t>
      </w:r>
      <w:r>
        <w:rPr>
          <w:rFonts w:ascii="Arial;Helvetica;sans-serif" w:hAnsi="Arial;Helvetica;sans-serif"/>
          <w:sz w:val="20"/>
        </w:rPr>
        <w:t xml:space="preserve"> means a person who, at the time in question, holds an Option that then remains unexercised in whole or in part, has not been surrendered, and has not expired or terminated. The term “Optionee” also includes any Successor Optionee.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2.22. </w:t>
      </w:r>
      <w:r>
        <w:rPr>
          <w:rFonts w:ascii="Arial;Helvetica;sans-serif" w:hAnsi="Arial;Helvetica;sans-serif"/>
          <w:i/>
          <w:sz w:val="20"/>
        </w:rPr>
        <w:t>Other Stock Unit Award</w:t>
      </w:r>
      <w:r>
        <w:rPr>
          <w:rFonts w:ascii="Arial;Helvetica;sans-serif" w:hAnsi="Arial;Helvetica;sans-serif"/>
          <w:sz w:val="20"/>
        </w:rPr>
        <w:t xml:space="preserve"> means a full value Award (</w:t>
      </w:r>
      <w:r>
        <w:rPr>
          <w:rFonts w:ascii="Arial;Helvetica;sans-serif" w:hAnsi="Arial;Helvetica;sans-serif"/>
          <w:i/>
          <w:sz w:val="20"/>
        </w:rPr>
        <w:t>i.e.</w:t>
      </w:r>
      <w:r>
        <w:rPr>
          <w:rFonts w:ascii="Arial;Helvetica;sans-serif" w:hAnsi="Arial;Helvetica;sans-serif"/>
          <w:sz w:val="20"/>
        </w:rPr>
        <w:t>, not an Option, SAR, or other appreciation award) granted pursuant to Article 10.</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2.23. </w:t>
      </w:r>
      <w:r>
        <w:rPr>
          <w:rFonts w:ascii="Arial;Helvetica;sans-serif" w:hAnsi="Arial;Helvetica;sans-serif"/>
          <w:i/>
          <w:sz w:val="20"/>
        </w:rPr>
        <w:t>Participant</w:t>
      </w:r>
      <w:r>
        <w:rPr>
          <w:rFonts w:ascii="Arial;Helvetica;sans-serif" w:hAnsi="Arial;Helvetica;sans-serif"/>
          <w:sz w:val="20"/>
        </w:rPr>
        <w:t xml:space="preserve"> means an Eligible Employee or Non-Employee Director who has been granted an Award hereunder.</w:t>
      </w:r>
      <w:bookmarkStart w:id="1588" w:name="eolPage45"/>
      <w:bookmarkEnd w:id="1588"/>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2.24. </w:t>
      </w:r>
      <w:r>
        <w:rPr>
          <w:rFonts w:ascii="Arial;Helvetica;sans-serif" w:hAnsi="Arial;Helvetica;sans-serif"/>
          <w:i/>
          <w:sz w:val="20"/>
        </w:rPr>
        <w:t>Performance Criteria</w:t>
      </w:r>
      <w:r>
        <w:rPr>
          <w:rFonts w:ascii="Arial;Helvetica;sans-serif" w:hAnsi="Arial;Helvetica;sans-serif"/>
          <w:sz w:val="20"/>
        </w:rPr>
        <w:t xml:space="preserve"> means any of the following criteria as related to Avnet, any Subsidiary, or any division or other area of Avnet or a Subsidiary:</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(a) 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 xml:space="preserve">(b) 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objective measures of environmental, social and corporate governance; successful completion of internal or external audits; successful integration of business units; successful hiring, , retention of talent, or other succession planning; or objective measures of employee engagement and satisfaction. </w:t>
      </w:r>
    </w:p>
    <w:p>
      <w:pPr>
        <w:pStyle w:val="TextBody"/>
        <w:bidi w:val="0"/>
        <w:spacing w:before="0" w:after="240"/>
        <w:ind w:left="446" w:right="1440" w:hanging="0"/>
        <w:jc w:val="left"/>
        <w:rPr>
          <w:rFonts w:ascii="Arial;Helvetica;sans-serif" w:hAnsi="Arial;Helvetica;sans-serif"/>
          <w:sz w:val="20"/>
        </w:rPr>
      </w:pPr>
      <w:r>
        <w:rPr>
          <w:rFonts w:ascii="Arial;Helvetica;sans-serif" w:hAnsi="Arial;Helvetica;sans-serif"/>
          <w:sz w:val="20"/>
        </w:rPr>
        <w:t>In addition, Performance Criteria may include any other criteria selected by the Committee.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2.25. </w:t>
      </w:r>
      <w:r>
        <w:rPr>
          <w:rFonts w:ascii="Arial;Helvetica;sans-serif" w:hAnsi="Arial;Helvetica;sans-serif"/>
          <w:i/>
          <w:sz w:val="20"/>
        </w:rPr>
        <w:t>Performance Objectives</w:t>
      </w:r>
      <w:r>
        <w:rPr>
          <w:rFonts w:ascii="Arial;Helvetica;sans-serif" w:hAnsi="Arial;Helvetica;sans-serif"/>
          <w:sz w:val="20"/>
        </w:rPr>
        <w:t xml:space="preserve"> mean,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2.26. </w:t>
      </w:r>
      <w:r>
        <w:rPr>
          <w:rFonts w:ascii="Arial;Helvetica;sans-serif" w:hAnsi="Arial;Helvetica;sans-serif"/>
          <w:i/>
          <w:sz w:val="20"/>
        </w:rPr>
        <w:t>Performance Period</w:t>
      </w:r>
      <w:r>
        <w:rPr>
          <w:rFonts w:ascii="Arial;Helvetica;sans-serif" w:hAnsi="Arial;Helvetica;sans-serif"/>
          <w:sz w:val="20"/>
        </w:rPr>
        <w:t xml:space="preserve"> means a period over which achievement of Performance Objectives is measured, as set forth in the applicable Agreement.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2.27. </w:t>
      </w:r>
      <w:r>
        <w:rPr>
          <w:rFonts w:ascii="Arial;Helvetica;sans-serif" w:hAnsi="Arial;Helvetica;sans-serif"/>
          <w:i/>
          <w:sz w:val="20"/>
        </w:rPr>
        <w:t>Performance Share Unit</w:t>
      </w:r>
      <w:r>
        <w:rPr>
          <w:rFonts w:ascii="Arial;Helvetica;sans-serif" w:hAnsi="Arial;Helvetica;sans-serif"/>
          <w:sz w:val="20"/>
        </w:rPr>
        <w:t xml:space="preserve"> means an Award granted pursuant to Article 9. In general, a Performance Share Unit gives the recipient a contractual right to receive a particular number of shares of Stock or cash upon the attainment of specified Performance Objectives.</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2.28. </w:t>
      </w:r>
      <w:r>
        <w:rPr>
          <w:rFonts w:ascii="Arial;Helvetica;sans-serif" w:hAnsi="Arial;Helvetica;sans-serif"/>
          <w:i/>
          <w:sz w:val="20"/>
        </w:rPr>
        <w:t>Period of Restriction</w:t>
      </w:r>
      <w:r>
        <w:rPr>
          <w:rFonts w:ascii="Arial;Helvetica;sans-serif" w:hAnsi="Arial;Helvetica;sans-serif"/>
          <w:sz w:val="20"/>
        </w:rPr>
        <w:t xml:space="preserve"> means the period during which the transfer of shares of Restricted Stock is restricted, pursuant to Article 7.</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2.29. </w:t>
      </w:r>
      <w:r>
        <w:rPr>
          <w:rFonts w:ascii="Arial;Helvetica;sans-serif" w:hAnsi="Arial;Helvetica;sans-serif"/>
          <w:i/>
          <w:sz w:val="20"/>
        </w:rPr>
        <w:t>Plan</w:t>
      </w:r>
      <w:r>
        <w:rPr>
          <w:rFonts w:ascii="Arial;Helvetica;sans-serif" w:hAnsi="Arial;Helvetica;sans-serif"/>
          <w:sz w:val="20"/>
        </w:rPr>
        <w:t xml:space="preserve"> means the Avnet, Inc. 2025 Stock Compensation and Incentive Plan, as may be amended from time to time.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2.30. </w:t>
      </w:r>
      <w:r>
        <w:rPr>
          <w:rFonts w:ascii="Arial;Helvetica;sans-serif" w:hAnsi="Arial;Helvetica;sans-serif"/>
          <w:i/>
          <w:sz w:val="20"/>
        </w:rPr>
        <w:t>Restricted Stock</w:t>
      </w:r>
      <w:r>
        <w:rPr>
          <w:rFonts w:ascii="Arial;Helvetica;sans-serif" w:hAnsi="Arial;Helvetica;sans-serif"/>
          <w:sz w:val="20"/>
        </w:rPr>
        <w:t xml:space="preserve"> means an Award of Stock granted pursuant to Article 7. In general, Restricted Stock is Stock that, during a Period of Restriction, is subject to a substantial risk of forfeiture and restrictions against sale or other transfer.</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2.31. </w:t>
      </w:r>
      <w:r>
        <w:rPr>
          <w:rFonts w:ascii="Arial;Helvetica;sans-serif" w:hAnsi="Arial;Helvetica;sans-serif"/>
          <w:i/>
          <w:sz w:val="20"/>
        </w:rPr>
        <w:t>Restricted Stock Unit</w:t>
      </w:r>
      <w:r>
        <w:rPr>
          <w:rFonts w:ascii="Arial;Helvetica;sans-serif" w:hAnsi="Arial;Helvetica;sans-serif"/>
          <w:sz w:val="20"/>
        </w:rPr>
        <w:t xml:space="preserve"> means an Award granted pursuant to Article 8. In general, a Restricted Stock Unit gives the recipient a contractual right to receive cash or shares of Stock upon the occurrence of specified vesting conditions.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2.32. </w:t>
      </w:r>
      <w:r>
        <w:rPr>
          <w:rFonts w:ascii="Arial;Helvetica;sans-serif" w:hAnsi="Arial;Helvetica;sans-serif"/>
          <w:i/>
          <w:sz w:val="20"/>
        </w:rPr>
        <w:t>Rule 16b-3</w:t>
      </w:r>
      <w:r>
        <w:rPr>
          <w:rFonts w:ascii="Arial;Helvetica;sans-serif" w:hAnsi="Arial;Helvetica;sans-serif"/>
          <w:sz w:val="20"/>
        </w:rPr>
        <w:t xml:space="preserve"> means Rule 16b-3 promulgated under the Exchange Act.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2.33. </w:t>
      </w:r>
      <w:r>
        <w:rPr>
          <w:rFonts w:ascii="Arial;Helvetica;sans-serif" w:hAnsi="Arial;Helvetica;sans-serif"/>
          <w:i/>
          <w:sz w:val="20"/>
        </w:rPr>
        <w:t>Securities Act</w:t>
      </w:r>
      <w:r>
        <w:rPr>
          <w:rFonts w:ascii="Arial;Helvetica;sans-serif" w:hAnsi="Arial;Helvetica;sans-serif"/>
          <w:sz w:val="20"/>
        </w:rPr>
        <w:t xml:space="preserve"> means the Securities Act of 1933, as amended.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2.34. </w:t>
      </w:r>
      <w:r>
        <w:rPr>
          <w:rFonts w:ascii="Arial;Helvetica;sans-serif" w:hAnsi="Arial;Helvetica;sans-serif"/>
          <w:i/>
          <w:sz w:val="20"/>
        </w:rPr>
        <w:t>Stock</w:t>
      </w:r>
      <w:r>
        <w:rPr>
          <w:rFonts w:ascii="Arial;Helvetica;sans-serif" w:hAnsi="Arial;Helvetica;sans-serif"/>
          <w:sz w:val="20"/>
        </w:rPr>
        <w:t xml:space="preserve"> means Avnet’s $1.00 par value common stock, subject to the adjustment provisions set forth in Article 13.</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2.35. </w:t>
      </w:r>
      <w:r>
        <w:rPr>
          <w:rFonts w:ascii="Arial;Helvetica;sans-serif" w:hAnsi="Arial;Helvetica;sans-serif"/>
          <w:i/>
          <w:sz w:val="20"/>
        </w:rPr>
        <w:t>Stock Appreciation Right</w:t>
      </w:r>
      <w:r>
        <w:rPr>
          <w:rFonts w:ascii="Arial;Helvetica;sans-serif" w:hAnsi="Arial;Helvetica;sans-serif"/>
          <w:sz w:val="20"/>
        </w:rPr>
        <w:t xml:space="preserve"> or </w:t>
      </w:r>
      <w:r>
        <w:rPr>
          <w:rFonts w:ascii="Arial;Helvetica;sans-serif" w:hAnsi="Arial;Helvetica;sans-serif"/>
          <w:i/>
          <w:sz w:val="20"/>
        </w:rPr>
        <w:t>SAR</w:t>
      </w:r>
      <w:r>
        <w:rPr>
          <w:rFonts w:ascii="Arial;Helvetica;sans-serif" w:hAnsi="Arial;Helvetica;sans-serif"/>
          <w:sz w:val="20"/>
        </w:rPr>
        <w:t xml:space="preserve">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2.36. </w:t>
      </w:r>
      <w:r>
        <w:rPr>
          <w:rFonts w:ascii="Arial;Helvetica;sans-serif" w:hAnsi="Arial;Helvetica;sans-serif"/>
          <w:i/>
          <w:sz w:val="20"/>
        </w:rPr>
        <w:t>Subsidiary</w:t>
      </w:r>
      <w:r>
        <w:rPr>
          <w:rFonts w:ascii="Arial;Helvetica;sans-serif" w:hAnsi="Arial;Helvetica;sans-serif"/>
          <w:sz w:val="20"/>
        </w:rPr>
        <w:t xml:space="preserve"> means a corporation in which Avnet directly or indirectly owns more than 50% of the total combined voting power of all classes of capital stock.</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2.37. </w:t>
      </w:r>
      <w:r>
        <w:rPr>
          <w:rFonts w:ascii="Arial;Helvetica;sans-serif" w:hAnsi="Arial;Helvetica;sans-serif"/>
          <w:i/>
          <w:sz w:val="20"/>
        </w:rPr>
        <w:t>Successor Optionee</w:t>
      </w:r>
      <w:r>
        <w:rPr>
          <w:rFonts w:ascii="Arial;Helvetica;sans-serif" w:hAnsi="Arial;Helvetica;sans-serif"/>
          <w:sz w:val="20"/>
        </w:rPr>
        <w:t xml:space="preserve"> means any person who, under the provisions of Article 5, has acquired from an Optionee the right to exercise an Option, for so long as such Option remains unexercised in whole or in part, and has not been surrendered, exercised, or terminated.</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3</w:t>
      </w:r>
      <w:r>
        <w:rPr>
          <w:rFonts w:ascii="Arial;Helvetica;sans-serif" w:hAnsi="Arial;Helvetica;sans-serif"/>
          <w:b/>
          <w:sz w:val="20"/>
        </w:rPr>
        <w:t>​</w:t>
        <w:br/>
      </w:r>
      <w:bookmarkStart w:id="1589" w:name="_Ref271185800"/>
      <w:bookmarkEnd w:id="1589"/>
      <w:r>
        <w:rPr>
          <w:rFonts w:ascii="Arial;Helvetica;sans-serif" w:hAnsi="Arial;Helvetica;sans-serif"/>
          <w:b/>
          <w:sz w:val="20"/>
        </w:rPr>
        <w:t>SHARES RESERVED FOR THE PLAN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3.1.  </w:t>
      </w:r>
      <w:bookmarkStart w:id="1590" w:name="_Ref269314870"/>
      <w:bookmarkEnd w:id="1590"/>
      <w:r>
        <w:rPr>
          <w:rFonts w:ascii="Arial;Helvetica;sans-serif" w:hAnsi="Arial;Helvetica;sans-serif"/>
          <w:i/>
          <w:sz w:val="20"/>
        </w:rPr>
        <w:t>General Limitations</w:t>
      </w:r>
      <w:r>
        <w:rPr>
          <w:rFonts w:ascii="Arial;Helvetica;sans-serif" w:hAnsi="Arial;Helvetica;sans-serif"/>
          <w:sz w:val="20"/>
        </w:rPr>
        <w:t>. Subject to the adjustment provisions set forth in Article 13, the maximum number of shares of Stock that may be delivered pursuant to the exercise of Awards granted under the Plan shall be 3,000,000 shares. All such shares shall be available for any type of Award.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Avnet’s 2016 and 2021 Stock Compensation and Incentive Plans. Shares of Stock subject to Awards may consist of authorized but unissued shares of Stock and/or shares of Stock held in Avnet’s treasury.</w:t>
      </w:r>
      <w:bookmarkStart w:id="1591" w:name="_Ref359501637"/>
      <w:bookmarkStart w:id="1592" w:name="_Ref269832533"/>
      <w:bookmarkEnd w:id="1591"/>
      <w:bookmarkEnd w:id="1592"/>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3.2. </w:t>
      </w:r>
      <w:r>
        <w:rPr>
          <w:rFonts w:ascii="Arial;Helvetica;sans-serif" w:hAnsi="Arial;Helvetica;sans-serif"/>
          <w:i/>
          <w:sz w:val="20"/>
        </w:rPr>
        <w:t>Individual Limitations</w:t>
      </w:r>
      <w:r>
        <w:rPr>
          <w:rFonts w:ascii="Arial;Helvetica;sans-serif" w:hAnsi="Arial;Helvetica;sans-serif"/>
          <w:sz w:val="20"/>
        </w:rPr>
        <w:t xml:space="preserve">. </w:t>
      </w:r>
      <w:bookmarkStart w:id="1593" w:name="_Hlk72327149"/>
      <w:bookmarkEnd w:id="1593"/>
      <w:r>
        <w:rPr>
          <w:rFonts w:ascii="Arial;Helvetica;sans-serif" w:hAnsi="Arial;Helvetica;sans-serif"/>
          <w:sz w:val="20"/>
        </w:rPr>
        <w:t xml:space="preserve">No Non-Employee Director may be granted Awards covering shares with a value at the time of grant of more than $1 million in any calendar year; provided, however, that Awards covering shares of Stock with a value of up to $2 million may be granted to a Non-Employee Director during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the calendar year in which the Non-Employee Director first joins the Board of Directors or is first designated as Chair of the Board of Directors or Lead Director.</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3.3. </w:t>
      </w:r>
      <w:bookmarkStart w:id="1594" w:name="_Ref205386960"/>
      <w:bookmarkEnd w:id="1594"/>
      <w:r>
        <w:rPr>
          <w:rFonts w:ascii="Arial;Helvetica;sans-serif" w:hAnsi="Arial;Helvetica;sans-serif"/>
          <w:i/>
          <w:sz w:val="20"/>
        </w:rPr>
        <w:t>Termination and Expiration of Awards</w:t>
      </w:r>
      <w:r>
        <w:rPr>
          <w:rFonts w:ascii="Arial;Helvetica;sans-serif" w:hAnsi="Arial;Helvetica;sans-serif"/>
          <w:sz w:val="20"/>
        </w:rPr>
        <w:t>. If an Award is canceled, forfeited, expired or otherwise terminates or is settled without delivery of shares of Stock, whether in whole or in part, the number of shares of Stock covered by such Award immediately before such cancellation, forfeiture, expiration, termination, or settlement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4</w:t>
      </w:r>
      <w:r>
        <w:rPr>
          <w:rFonts w:ascii="Arial;Helvetica;sans-serif" w:hAnsi="Arial;Helvetica;sans-serif"/>
          <w:b/>
          <w:sz w:val="20"/>
        </w:rPr>
        <w:t>​</w:t>
        <w:br/>
        <w:t>ADMINISTRATION OF THE PLAN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4.1. </w:t>
      </w:r>
      <w:bookmarkStart w:id="1595" w:name="_Ref269292064"/>
      <w:bookmarkStart w:id="1596" w:name="_Ref360433523"/>
      <w:bookmarkEnd w:id="1595"/>
      <w:bookmarkEnd w:id="1596"/>
      <w:r>
        <w:rPr>
          <w:rFonts w:ascii="Arial;Helvetica;sans-serif" w:hAnsi="Arial;Helvetica;sans-serif"/>
          <w:i/>
          <w:sz w:val="20"/>
        </w:rPr>
        <w:t>Plan Administration</w:t>
      </w:r>
      <w:r>
        <w:rPr>
          <w:rFonts w:ascii="Arial;Helvetica;sans-serif" w:hAnsi="Arial;Helvetica;sans-serif"/>
          <w:sz w:val="20"/>
        </w:rPr>
        <w:t xml:space="preserve">. This Plan shall be administered by the Administrator. The Administrator shall have full and exclusive power to: </w:t>
      </w:r>
      <w:bookmarkStart w:id="1597" w:name="OLE_LINK2"/>
      <w:bookmarkEnd w:id="1597"/>
      <w:r>
        <w:rPr>
          <w:rFonts w:ascii="Arial;Helvetica;sans-serif" w:hAnsi="Arial;Helvetica;sans-serif"/>
          <w:sz w:val="20"/>
        </w:rPr>
        <w:t xml:space="preserve">(a)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4.4, the Administrator may delegate some or all of its authority under the Plan (including powers not referenced in this Section 4.1) to one or more Company officers, to the extent permitted by and not inconsistent with any requirements of applicable law.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4.2. </w:t>
      </w:r>
      <w:r>
        <w:rPr>
          <w:rFonts w:ascii="Arial;Helvetica;sans-serif" w:hAnsi="Arial;Helvetica;sans-serif"/>
          <w:i/>
          <w:sz w:val="20"/>
        </w:rPr>
        <w:t>Committee’s Authority to Grant Awards</w:t>
      </w:r>
      <w:r>
        <w:rPr>
          <w:rFonts w:ascii="Arial;Helvetica;sans-serif" w:hAnsi="Arial;Helvetica;sans-serif"/>
          <w:sz w:val="20"/>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w:t>
      </w:r>
      <w:bookmarkStart w:id="1598" w:name="eolPage47"/>
      <w:bookmarkEnd w:id="1598"/>
      <w:r>
        <w:rPr>
          <w:rFonts w:ascii="Arial;Helvetica;sans-serif" w:hAnsi="Arial;Helvetica;sans-serif"/>
          <w:sz w:val="20"/>
        </w:rPr>
        <w:t xml:space="preserve">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4.3. </w:t>
      </w:r>
      <w:r>
        <w:rPr>
          <w:rFonts w:ascii="Arial;Helvetica;sans-serif" w:hAnsi="Arial;Helvetica;sans-serif"/>
          <w:i/>
          <w:sz w:val="20"/>
        </w:rPr>
        <w:t>Independent Directors’ Authority to Grant Awards</w:t>
      </w:r>
      <w:r>
        <w:rPr>
          <w:rFonts w:ascii="Arial;Helvetica;sans-serif" w:hAnsi="Arial;Helvetica;sans-serif"/>
          <w:sz w:val="20"/>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Independent Directors. Subject to the requirements of the Plan, the terms and conditions prescribed or approved for any Award granted by the Independent Directors (as reflected in the applicable Agreement) shall be entirely within the discretion of the Independent Directors.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4.4. </w:t>
      </w:r>
      <w:bookmarkStart w:id="1599" w:name="_Ref359921643"/>
      <w:bookmarkEnd w:id="1599"/>
      <w:r>
        <w:rPr>
          <w:rFonts w:ascii="Arial;Helvetica;sans-serif" w:hAnsi="Arial;Helvetica;sans-serif"/>
          <w:i/>
          <w:sz w:val="20"/>
        </w:rPr>
        <w:t>CEO Authority to Grant Awards</w:t>
      </w:r>
      <w:r>
        <w:rPr>
          <w:rFonts w:ascii="Arial;Helvetica;sans-serif" w:hAnsi="Arial;Helvetica;sans-serif"/>
          <w:sz w:val="20"/>
        </w:rPr>
        <w:t xml:space="preserve">. </w:t>
      </w:r>
      <w:bookmarkStart w:id="1600" w:name="_Ref269291936"/>
      <w:bookmarkEnd w:id="1600"/>
      <w:r>
        <w:rPr>
          <w:rFonts w:ascii="Arial;Helvetica;sans-serif" w:hAnsi="Arial;Helvetica;sans-serif"/>
          <w:sz w:val="20"/>
        </w:rPr>
        <w:t>The CEO shall have authority to make Awards to Eligible Employees who are not Executive Officers,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4.5. </w:t>
      </w:r>
      <w:r>
        <w:rPr>
          <w:rFonts w:ascii="Arial;Helvetica;sans-serif" w:hAnsi="Arial;Helvetica;sans-serif"/>
          <w:i/>
          <w:sz w:val="20"/>
        </w:rPr>
        <w:t xml:space="preserve">Determining Amount Payable. </w:t>
      </w:r>
      <w:r>
        <w:rPr>
          <w:rFonts w:ascii="Arial;Helvetica;sans-serif" w:hAnsi="Arial;Helvetica;sans-serif"/>
          <w:sz w:val="20"/>
        </w:rPr>
        <w:t>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4.6. </w:t>
      </w:r>
      <w:r>
        <w:rPr>
          <w:rFonts w:ascii="Arial;Helvetica;sans-serif" w:hAnsi="Arial;Helvetica;sans-serif"/>
          <w:i/>
          <w:sz w:val="20"/>
        </w:rPr>
        <w:t>Decisions of the Administrator</w:t>
      </w:r>
      <w:r>
        <w:rPr>
          <w:rFonts w:ascii="Arial;Helvetica;sans-serif" w:hAnsi="Arial;Helvetica;sans-serif"/>
          <w:sz w:val="20"/>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Restated Certificate of Incorporation or By-laws, as amended, of Avnet to be approved by the Board of Directors or shareholders.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4.7. </w:t>
      </w:r>
      <w:r>
        <w:rPr>
          <w:rFonts w:ascii="Arial;Helvetica;sans-serif" w:hAnsi="Arial;Helvetica;sans-serif"/>
          <w:i/>
          <w:sz w:val="20"/>
        </w:rPr>
        <w:t>Law Compliance</w:t>
      </w:r>
      <w:r>
        <w:rPr>
          <w:rFonts w:ascii="Arial;Helvetica;sans-serif" w:hAnsi="Arial;Helvetica;sans-serif"/>
          <w:sz w:val="20"/>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409A of the Code, Section 280G of the Code, or any other applicable law; and the Plan shall be construed consistently with the intent to avoid adverse consequences under applicable law.</w:t>
      </w:r>
      <w:bookmarkStart w:id="1601" w:name="eolPage48"/>
      <w:bookmarkEnd w:id="1601"/>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5</w:t>
      </w:r>
      <w:r>
        <w:rPr>
          <w:rFonts w:ascii="Arial;Helvetica;sans-serif" w:hAnsi="Arial;Helvetica;sans-serif"/>
          <w:b/>
          <w:sz w:val="20"/>
        </w:rPr>
        <w:t>​</w:t>
        <w:br/>
      </w:r>
      <w:bookmarkStart w:id="1602" w:name="_Ref269832301"/>
      <w:bookmarkEnd w:id="1602"/>
      <w:r>
        <w:rPr>
          <w:rFonts w:ascii="Arial;Helvetica;sans-serif" w:hAnsi="Arial;Helvetica;sans-serif"/>
          <w:b/>
          <w:sz w:val="20"/>
        </w:rPr>
        <w:t>OPTIONS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5.1. </w:t>
      </w:r>
      <w:bookmarkStart w:id="1603" w:name="_Ref269835149"/>
      <w:bookmarkEnd w:id="1603"/>
      <w:r>
        <w:rPr>
          <w:rFonts w:ascii="Arial;Helvetica;sans-serif" w:hAnsi="Arial;Helvetica;sans-serif"/>
          <w:i/>
          <w:sz w:val="20"/>
        </w:rPr>
        <w:t>Grant</w:t>
      </w:r>
      <w:r>
        <w:rPr>
          <w:rFonts w:ascii="Arial;Helvetica;sans-serif" w:hAnsi="Arial;Helvetica;sans-serif"/>
          <w:sz w:val="20"/>
        </w:rPr>
        <w:t xml:space="preserve">. The Committee (and the CEO to the extent permitted by Section 4.4) may grant Options to Eligible Employees, and the Independent Directors may grant Options to Non-Employee Directors.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5.2. </w:t>
      </w:r>
      <w:r>
        <w:rPr>
          <w:rFonts w:ascii="Arial;Helvetica;sans-serif" w:hAnsi="Arial;Helvetica;sans-serif"/>
          <w:i/>
          <w:sz w:val="20"/>
        </w:rPr>
        <w:t>Exercise Price</w:t>
      </w:r>
      <w:r>
        <w:rPr>
          <w:rFonts w:ascii="Arial;Helvetica;sans-serif" w:hAnsi="Arial;Helvetica;sans-serif"/>
          <w:sz w:val="20"/>
        </w:rPr>
        <w:t>. The price per share at which Stock subject to an Option may be purchased shall be set forth in the Agreement. Such exercise price shall be at least 100% of the Fair Market Value of the Stock on the Grant Date.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5.3. </w:t>
      </w:r>
      <w:bookmarkStart w:id="1604" w:name="_Ref271095658"/>
      <w:bookmarkEnd w:id="1604"/>
      <w:r>
        <w:rPr>
          <w:rFonts w:ascii="Arial;Helvetica;sans-serif" w:hAnsi="Arial;Helvetica;sans-serif"/>
          <w:i/>
          <w:sz w:val="20"/>
        </w:rPr>
        <w:t>Term</w:t>
      </w:r>
      <w:r>
        <w:rPr>
          <w:rFonts w:ascii="Arial;Helvetica;sans-serif" w:hAnsi="Arial;Helvetica;sans-serif"/>
          <w:sz w:val="20"/>
        </w:rPr>
        <w:t>. The term of each Option granted under the Plan shall be set forth in the Agreement; provided, however, that in no event shall an Option be exercisable after the day before the tenth (10</w:t>
      </w:r>
      <w:r>
        <w:rPr>
          <w:rFonts w:ascii="Arial;Helvetica;sans-serif" w:hAnsi="Arial;Helvetica;sans-serif"/>
          <w:sz w:val="15"/>
        </w:rPr>
        <w:t>th</w:t>
      </w:r>
      <w:r>
        <w:rPr>
          <w:rFonts w:ascii="Arial;Helvetica;sans-serif" w:hAnsi="Arial;Helvetica;sans-serif"/>
          <w:sz w:val="20"/>
        </w:rPr>
        <w:t>)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5.4. </w:t>
      </w:r>
      <w:bookmarkStart w:id="1605" w:name="_Ref269308962"/>
      <w:bookmarkEnd w:id="1605"/>
      <w:r>
        <w:rPr>
          <w:rFonts w:ascii="Arial;Helvetica;sans-serif" w:hAnsi="Arial;Helvetica;sans-serif"/>
          <w:i/>
          <w:sz w:val="20"/>
        </w:rPr>
        <w:t>Exercisability (Vesting)</w:t>
      </w:r>
      <w:r>
        <w:rPr>
          <w:rFonts w:ascii="Arial;Helvetica;sans-serif" w:hAnsi="Arial;Helvetica;sans-serif"/>
          <w:sz w:val="20"/>
        </w:rPr>
        <w:t xml:space="preserve">. Each Option granted under the Plan shall be subject to the vesting conditions set forth in the Agreement; provided, however, that the exercisability of any Option may be accelerated to the extent permitted by Section 12.2 (Acceleration of Vesting). Subject to Section 12.2, an 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5.5. </w:t>
      </w:r>
      <w:bookmarkStart w:id="1606" w:name="_Ref269835428"/>
      <w:bookmarkEnd w:id="1606"/>
      <w:r>
        <w:rPr>
          <w:rFonts w:ascii="Arial;Helvetica;sans-serif" w:hAnsi="Arial;Helvetica;sans-serif"/>
          <w:i/>
          <w:sz w:val="20"/>
        </w:rPr>
        <w:t>Exercise</w:t>
      </w:r>
      <w:r>
        <w:rPr>
          <w:rFonts w:ascii="Arial;Helvetica;sans-serif" w:hAnsi="Arial;Helvetica;sans-serif"/>
          <w:sz w:val="20"/>
        </w:rPr>
        <w:t xml:space="preserve">. To the extent that an Option has become exercisable in accordance with Section 5.4, </w:t>
      </w:r>
      <w:bookmarkStart w:id="1607" w:name="eolPage49"/>
      <w:bookmarkEnd w:id="1607"/>
      <w:r>
        <w:rPr>
          <w:rFonts w:ascii="Arial;Helvetica;sans-serif" w:hAnsi="Arial;Helvetica;sans-serif"/>
          <w:sz w:val="20"/>
        </w:rPr>
        <w:t xml:space="preserve">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(a) cash or check (certified, if so required by Avnet); (b) shares of Stock with a fair market value, at the date of receipt by Avnet, equal to the aggregate exercise price (plus withholding, if applicable); (c) a combination of subsections (a) and (b) of this Section 5.5; (d) having Avnet retain from the Stock otherwise issuable upon exercise of the Option a number of shares of Stock having a fair market value equal to the exercise price of the Option (plus withholding, if applicable); (e) to the extent permitted by applicable law, by delivering a properly executed exercise notice, together with irrevocable instructions to a broker to promptly deliver to Avnet the exercise price and to deliver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 xml:space="preserve">to the Participant the net amount of shares received upon exercise (after subtracting the exercise price, withholding, and any broker fee); or (f) any other manner acceptable to the Administrator.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5.6. </w:t>
      </w:r>
      <w:bookmarkStart w:id="1608" w:name="_Ref271139343"/>
      <w:bookmarkEnd w:id="1608"/>
      <w:r>
        <w:rPr>
          <w:rFonts w:ascii="Arial;Helvetica;sans-serif" w:hAnsi="Arial;Helvetica;sans-serif"/>
          <w:i/>
          <w:sz w:val="20"/>
        </w:rPr>
        <w:t>General Modification Rules; Limits on Repricing</w:t>
      </w:r>
      <w:r>
        <w:rPr>
          <w:rFonts w:ascii="Arial;Helvetica;sans-serif" w:hAnsi="Arial;Helvetica;sans-serif"/>
          <w:sz w:val="20"/>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5.7. </w:t>
      </w:r>
      <w:bookmarkStart w:id="1609" w:name="_Ref271139344"/>
      <w:bookmarkStart w:id="1610" w:name="_Ref269885260"/>
      <w:bookmarkStart w:id="1611" w:name="_Ref269307868"/>
      <w:bookmarkEnd w:id="1609"/>
      <w:bookmarkEnd w:id="1610"/>
      <w:bookmarkEnd w:id="1611"/>
      <w:r>
        <w:rPr>
          <w:rFonts w:ascii="Arial;Helvetica;sans-serif" w:hAnsi="Arial;Helvetica;sans-serif"/>
          <w:i/>
          <w:sz w:val="20"/>
        </w:rPr>
        <w:t>Dividend Rights</w:t>
      </w:r>
      <w:r>
        <w:rPr>
          <w:rFonts w:ascii="Arial;Helvetica;sans-serif" w:hAnsi="Arial;Helvetica;sans-serif"/>
          <w:sz w:val="20"/>
        </w:rPr>
        <w:t>. Participants in whose name Options are granted shall not be entitled to receive dividends or other distributions with respect to shares of Stock underlying such Options prior to the exercise of such Options.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5.8. </w:t>
      </w:r>
      <w:bookmarkStart w:id="1612" w:name="_Ref453877043"/>
      <w:bookmarkEnd w:id="1612"/>
      <w:r>
        <w:rPr>
          <w:rFonts w:ascii="Arial;Helvetica;sans-serif" w:hAnsi="Arial;Helvetica;sans-serif"/>
          <w:i/>
          <w:sz w:val="20"/>
        </w:rPr>
        <w:t>Special Modification in the Event of a Corporate Transaction</w:t>
      </w:r>
      <w:r>
        <w:rPr>
          <w:rFonts w:ascii="Arial;Helvetica;sans-serif" w:hAnsi="Arial;Helvetica;sans-serif"/>
          <w:sz w:val="20"/>
        </w:rPr>
        <w:t>. In the event of a corporate transaction (within the meaning of Treas. Reg. § 1.424-1(a)(3)), the Administrator may provide for the assumption or substitution of outstanding Options, provided that the requirements of Treas. Reg. § 1.409A-1(b)(v)(D) are satisfied.</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6</w:t>
      </w:r>
      <w:r>
        <w:rPr>
          <w:rFonts w:ascii="Arial;Helvetica;sans-serif" w:hAnsi="Arial;Helvetica;sans-serif"/>
          <w:b/>
          <w:sz w:val="20"/>
        </w:rPr>
        <w:t>​</w:t>
        <w:br/>
      </w:r>
      <w:bookmarkStart w:id="1613" w:name="_Ref271181732"/>
      <w:bookmarkStart w:id="1614" w:name="_Ref269835472"/>
      <w:bookmarkEnd w:id="1613"/>
      <w:bookmarkEnd w:id="1614"/>
      <w:r>
        <w:rPr>
          <w:rFonts w:ascii="Arial;Helvetica;sans-serif" w:hAnsi="Arial;Helvetica;sans-serif"/>
          <w:b/>
          <w:sz w:val="20"/>
        </w:rPr>
        <w:t>STOCK APPRECIATION RIGHTS (“SARs”)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6.1. </w:t>
      </w:r>
      <w:r>
        <w:rPr>
          <w:rFonts w:ascii="Arial;Helvetica;sans-serif" w:hAnsi="Arial;Helvetica;sans-serif"/>
          <w:i/>
          <w:sz w:val="20"/>
        </w:rPr>
        <w:t>Grant</w:t>
      </w:r>
      <w:r>
        <w:rPr>
          <w:rFonts w:ascii="Arial;Helvetica;sans-serif" w:hAnsi="Arial;Helvetica;sans-serif"/>
          <w:sz w:val="20"/>
        </w:rPr>
        <w:t>. The Committee (and the CEO to the extent permitted by Section 4.4)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 xml:space="preserve">6.2.  </w:t>
      </w:r>
      <w:r>
        <w:rPr>
          <w:rFonts w:ascii="Arial;Helvetica;sans-serif" w:hAnsi="Arial;Helvetica;sans-serif"/>
          <w:i/>
          <w:sz w:val="20"/>
        </w:rPr>
        <w:t>Exercise Price</w:t>
      </w:r>
      <w:r>
        <w:rPr>
          <w:rFonts w:ascii="Arial;Helvetica;sans-serif" w:hAnsi="Arial;Helvetica;sans-serif"/>
          <w:sz w:val="20"/>
        </w:rPr>
        <w:t xml:space="preserve">. The exercise price per share for each free-standing SAR granted under the Plan shall be set forth in the Agreement. Such exercise price shall be at least 100% of the Fair Market Value of the Stock on the Grant Date. The exercise price per share for each SAR related to an Option shall be no less than the exercise price for the related Option.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6.3. </w:t>
      </w:r>
      <w:bookmarkStart w:id="1615" w:name="_Ref271184515"/>
      <w:bookmarkEnd w:id="1615"/>
      <w:r>
        <w:rPr>
          <w:rFonts w:ascii="Arial;Helvetica;sans-serif" w:hAnsi="Arial;Helvetica;sans-serif"/>
          <w:i/>
          <w:sz w:val="20"/>
        </w:rPr>
        <w:t>Term</w:t>
      </w:r>
      <w:r>
        <w:rPr>
          <w:rFonts w:ascii="Arial;Helvetica;sans-serif" w:hAnsi="Arial;Helvetica;sans-serif"/>
          <w:sz w:val="20"/>
        </w:rPr>
        <w:t>. The term of each SAR granted under the Plan shall be set forth in the Agreement; provided, however that in no event shall a SAR be exercisable after the day before the tenth (10</w:t>
      </w:r>
      <w:r>
        <w:rPr>
          <w:rFonts w:ascii="Arial;Helvetica;sans-serif" w:hAnsi="Arial;Helvetica;sans-serif"/>
          <w:sz w:val="15"/>
        </w:rPr>
        <w:t>th</w:t>
      </w:r>
      <w:r>
        <w:rPr>
          <w:rFonts w:ascii="Arial;Helvetica;sans-serif" w:hAnsi="Arial;Helvetica;sans-serif"/>
          <w:sz w:val="20"/>
        </w:rPr>
        <w:t>)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6.4. </w:t>
      </w:r>
      <w:bookmarkStart w:id="1616" w:name="_Ref271137997"/>
      <w:bookmarkEnd w:id="1616"/>
      <w:r>
        <w:rPr>
          <w:rFonts w:ascii="Arial;Helvetica;sans-serif" w:hAnsi="Arial;Helvetica;sans-serif"/>
          <w:i/>
          <w:sz w:val="20"/>
        </w:rPr>
        <w:t>Exercisability (Vesting)</w:t>
      </w:r>
      <w:r>
        <w:rPr>
          <w:rFonts w:ascii="Arial;Helvetica;sans-serif" w:hAnsi="Arial;Helvetica;sans-serif"/>
          <w:sz w:val="20"/>
        </w:rPr>
        <w:t>. Each SAR granted under the Plan shall be subject to the vesting conditions set forth in the Agreement; provided, however, that (a) the exercisability of any SAR may be accelerated to the extent permitted by Section 12.2 (Acceleration of Vesting), and (b) if a SAR relates to all or part of an Option, such SAR shall be exercisable only to the extent that the related Option is exercisable. Subject to 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6.5. </w:t>
      </w:r>
      <w:r>
        <w:rPr>
          <w:rFonts w:ascii="Arial;Helvetica;sans-serif" w:hAnsi="Arial;Helvetica;sans-serif"/>
          <w:i/>
          <w:sz w:val="20"/>
        </w:rPr>
        <w:t>Exercise</w:t>
      </w:r>
      <w:r>
        <w:rPr>
          <w:rFonts w:ascii="Arial;Helvetica;sans-serif" w:hAnsi="Arial;Helvetica;sans-serif"/>
          <w:sz w:val="20"/>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6.6. </w:t>
      </w:r>
      <w:r>
        <w:rPr>
          <w:rFonts w:ascii="Arial;Helvetica;sans-serif" w:hAnsi="Arial;Helvetica;sans-serif"/>
          <w:i/>
          <w:sz w:val="20"/>
        </w:rPr>
        <w:t>Other Conditions</w:t>
      </w:r>
      <w:r>
        <w:rPr>
          <w:rFonts w:ascii="Arial;Helvetica;sans-serif" w:hAnsi="Arial;Helvetica;sans-serif"/>
          <w:sz w:val="20"/>
        </w:rPr>
        <w:t>. The Administrator (or its designee) may impose any other conditions upon the exercise of SARs. Such conditions may govern the right to exercise SARs granted before the adoption or amendment of such conditions as well as SARs granted thereafter.</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6.7. </w:t>
      </w:r>
      <w:bookmarkStart w:id="1617" w:name="_Ref271194329"/>
      <w:bookmarkEnd w:id="1617"/>
      <w:r>
        <w:rPr>
          <w:rFonts w:ascii="Arial;Helvetica;sans-serif" w:hAnsi="Arial;Helvetica;sans-serif"/>
          <w:i/>
          <w:sz w:val="20"/>
        </w:rPr>
        <w:t>Dividend Rights</w:t>
      </w:r>
      <w:r>
        <w:rPr>
          <w:rFonts w:ascii="Arial;Helvetica;sans-serif" w:hAnsi="Arial;Helvetica;sans-serif"/>
          <w:sz w:val="20"/>
        </w:rPr>
        <w:t>. Participants in whose name SARs are granted shall not be entitled to receive dividends or other distributions with respect to shares of Stock underlying such SARs.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6.8. </w:t>
      </w:r>
      <w:r>
        <w:rPr>
          <w:rFonts w:ascii="Arial;Helvetica;sans-serif" w:hAnsi="Arial;Helvetica;sans-serif"/>
          <w:i/>
          <w:sz w:val="20"/>
        </w:rPr>
        <w:t>Modification and Cancellation Rules</w:t>
      </w:r>
      <w:r>
        <w:rPr>
          <w:rFonts w:ascii="Arial;Helvetica;sans-serif" w:hAnsi="Arial;Helvetica;sans-serif"/>
          <w:sz w:val="20"/>
        </w:rPr>
        <w:t xml:space="preserve">. The modification and cancellation rules and restrictions set forth in Sections 5.6 (General Modification Rules) and 5.8 (Special Modification in the Event of a Corporate Transaction) shall also apply with respect to SARs. </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7</w:t>
      </w:r>
      <w:r>
        <w:rPr>
          <w:rFonts w:ascii="Arial;Helvetica;sans-serif" w:hAnsi="Arial;Helvetica;sans-serif"/>
          <w:b/>
          <w:sz w:val="20"/>
        </w:rPr>
        <w:t>​</w:t>
        <w:br/>
      </w:r>
      <w:bookmarkStart w:id="1618" w:name="_Ref269887280"/>
      <w:bookmarkStart w:id="1619" w:name="_Ref269290306"/>
      <w:bookmarkEnd w:id="1618"/>
      <w:bookmarkEnd w:id="1619"/>
      <w:r>
        <w:rPr>
          <w:rFonts w:ascii="Arial;Helvetica;sans-serif" w:hAnsi="Arial;Helvetica;sans-serif"/>
          <w:b/>
          <w:sz w:val="20"/>
        </w:rPr>
        <w:t>RESTRICTED STOCK</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7.1. </w:t>
      </w:r>
      <w:r>
        <w:rPr>
          <w:rFonts w:ascii="Arial;Helvetica;sans-serif" w:hAnsi="Arial;Helvetica;sans-serif"/>
          <w:i/>
          <w:sz w:val="20"/>
        </w:rPr>
        <w:t>Grant</w:t>
      </w:r>
      <w:r>
        <w:rPr>
          <w:rFonts w:ascii="Arial;Helvetica;sans-serif" w:hAnsi="Arial;Helvetica;sans-serif"/>
          <w:sz w:val="20"/>
        </w:rPr>
        <w:t xml:space="preserve">. The Committee (and the CEO to the extent permitted by Section 4.4) may grant Restricted Stock to Eligible Employees, and the Independent Directors may grant Restricted Stock to Non-Employee Directors. The number of shares granted pursuant to any Restricted Stock Award, and the purchase price (if any), shall be set forth in the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7.2. </w:t>
      </w:r>
      <w:bookmarkStart w:id="1620" w:name="_Ref269886479"/>
      <w:bookmarkStart w:id="1621" w:name="_Ref269885893"/>
      <w:bookmarkEnd w:id="1620"/>
      <w:bookmarkEnd w:id="1621"/>
      <w:r>
        <w:rPr>
          <w:rFonts w:ascii="Arial;Helvetica;sans-serif" w:hAnsi="Arial;Helvetica;sans-serif"/>
          <w:i/>
          <w:sz w:val="20"/>
        </w:rPr>
        <w:t>Restrictions</w:t>
      </w:r>
      <w:r>
        <w:rPr>
          <w:rFonts w:ascii="Arial;Helvetica;sans-serif" w:hAnsi="Arial;Helvetica;sans-serif"/>
          <w:sz w:val="20"/>
        </w:rPr>
        <w:t xml:space="preserve">.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7.3. </w:t>
      </w:r>
      <w:bookmarkStart w:id="1622" w:name="_Ref271184141"/>
      <w:bookmarkEnd w:id="1622"/>
      <w:r>
        <w:rPr>
          <w:rFonts w:ascii="Arial;Helvetica;sans-serif" w:hAnsi="Arial;Helvetica;sans-serif"/>
          <w:i/>
          <w:sz w:val="20"/>
        </w:rPr>
        <w:t>Lapse of Period of Restriction (Vesting)</w:t>
      </w:r>
      <w:r>
        <w:rPr>
          <w:rFonts w:ascii="Arial;Helvetica;sans-serif" w:hAnsi="Arial;Helvetica;sans-serif"/>
          <w:sz w:val="20"/>
        </w:rPr>
        <w:t>. The Period of Restriction for each Award of Restricted Stock shall lapse only upon satisfaction of conditions set forth in the Agreement. Such conditions may be based on (a) continued service to Avnet or a Subsidiary for a specified period, (b) achievement of Performance Objectives, or (c) a combination of (a) and (b). Subject to Section 12.2, the Period of Restriction for any Award of Restricted Stock shall lapse no faster than pro rata over the three (3) year period that starts on the Grant Date.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7.4. </w:t>
      </w:r>
      <w:r>
        <w:rPr>
          <w:rFonts w:ascii="Arial;Helvetica;sans-serif" w:hAnsi="Arial;Helvetica;sans-serif"/>
          <w:i/>
          <w:sz w:val="20"/>
        </w:rPr>
        <w:t>Settlement of Restricted Stock</w:t>
      </w:r>
      <w:r>
        <w:rPr>
          <w:rFonts w:ascii="Arial;Helvetica;sans-serif" w:hAnsi="Arial;Helvetica;sans-serif"/>
          <w:sz w:val="20"/>
        </w:rPr>
        <w:t xml:space="preserve">.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7.5. </w:t>
      </w:r>
      <w:bookmarkStart w:id="1623" w:name="_Ref269312253"/>
      <w:bookmarkEnd w:id="1623"/>
      <w:r>
        <w:rPr>
          <w:rFonts w:ascii="Arial;Helvetica;sans-serif" w:hAnsi="Arial;Helvetica;sans-serif"/>
          <w:i/>
          <w:sz w:val="20"/>
        </w:rPr>
        <w:t>Voting Rights</w:t>
      </w:r>
      <w:r>
        <w:rPr>
          <w:rFonts w:ascii="Arial;Helvetica;sans-serif" w:hAnsi="Arial;Helvetica;sans-serif"/>
          <w:sz w:val="20"/>
        </w:rPr>
        <w:t xml:space="preserve">. During the Period of Restriction, Participants in whose name Restricted Stock is granted under the Plan may exercise full voting rights with respect to those shares.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7.6. </w:t>
      </w:r>
      <w:bookmarkStart w:id="1624" w:name="_Ref269312778"/>
      <w:bookmarkStart w:id="1625" w:name="eolPage52"/>
      <w:bookmarkEnd w:id="1624"/>
      <w:bookmarkEnd w:id="1625"/>
      <w:r>
        <w:rPr>
          <w:rFonts w:ascii="Arial;Helvetica;sans-serif" w:hAnsi="Arial;Helvetica;sans-serif"/>
          <w:i/>
          <w:sz w:val="20"/>
        </w:rPr>
        <w:t>Dividend Rights</w:t>
      </w:r>
      <w:r>
        <w:rPr>
          <w:rFonts w:ascii="Arial;Helvetica;sans-serif" w:hAnsi="Arial;Helvetica;sans-serif"/>
          <w:sz w:val="20"/>
        </w:rPr>
        <w:t xml:space="preserve">.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right to receive cash with respect to any fractional share shall be subject to forfeiture until the Period of Restriction for the underlying shares lapses.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7.7. </w:t>
      </w:r>
      <w:bookmarkStart w:id="1626" w:name="_Ref271299054"/>
      <w:bookmarkEnd w:id="1626"/>
      <w:r>
        <w:rPr>
          <w:rFonts w:ascii="Arial;Helvetica;sans-serif" w:hAnsi="Arial;Helvetica;sans-serif"/>
          <w:i/>
          <w:sz w:val="20"/>
        </w:rPr>
        <w:t>Foreign Laws</w:t>
      </w:r>
      <w:r>
        <w:rPr>
          <w:rFonts w:ascii="Arial;Helvetica;sans-serif" w:hAnsi="Arial;Helvetica;sans-serif"/>
          <w:sz w:val="20"/>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8</w:t>
      </w:r>
      <w:r>
        <w:rPr>
          <w:rFonts w:ascii="Arial;Helvetica;sans-serif" w:hAnsi="Arial;Helvetica;sans-serif"/>
          <w:b/>
          <w:sz w:val="20"/>
        </w:rPr>
        <w:t>​</w:t>
        <w:br/>
      </w:r>
      <w:bookmarkStart w:id="1627" w:name="_Ref269915140"/>
      <w:bookmarkEnd w:id="1627"/>
      <w:r>
        <w:rPr>
          <w:rFonts w:ascii="Arial;Helvetica;sans-serif" w:hAnsi="Arial;Helvetica;sans-serif"/>
          <w:b/>
          <w:sz w:val="20"/>
        </w:rPr>
        <w:t>RESTRICTED STOCK UNITS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8.1. </w:t>
      </w:r>
      <w:r>
        <w:rPr>
          <w:rFonts w:ascii="Arial;Helvetica;sans-serif" w:hAnsi="Arial;Helvetica;sans-serif"/>
          <w:i/>
          <w:sz w:val="20"/>
        </w:rPr>
        <w:t>Grant</w:t>
      </w:r>
      <w:r>
        <w:rPr>
          <w:rFonts w:ascii="Arial;Helvetica;sans-serif" w:hAnsi="Arial;Helvetica;sans-serif"/>
          <w:sz w:val="20"/>
        </w:rPr>
        <w:t xml:space="preserve">. The Committee (and the CEO to the extent permitted by Section 4.4) may grant Restricted Stock Units to Eligible Employees, and the Independent Directors may grant Restricted Stock Units to Non-Employee Directors. The number of shares of Stock underlying any Restricted Stock Unit Award shall be set forth in the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8.2. </w:t>
      </w:r>
      <w:bookmarkStart w:id="1628" w:name="_Ref271184144"/>
      <w:bookmarkStart w:id="1629" w:name="_Ref269915275"/>
      <w:bookmarkEnd w:id="1628"/>
      <w:bookmarkEnd w:id="1629"/>
      <w:r>
        <w:rPr>
          <w:rFonts w:ascii="Arial;Helvetica;sans-serif" w:hAnsi="Arial;Helvetica;sans-serif"/>
          <w:i/>
          <w:sz w:val="20"/>
        </w:rPr>
        <w:t>Vesting</w:t>
      </w:r>
      <w:r>
        <w:rPr>
          <w:rFonts w:ascii="Arial;Helvetica;sans-serif" w:hAnsi="Arial;Helvetica;sans-serif"/>
          <w:sz w:val="20"/>
        </w:rPr>
        <w:t xml:space="preserve">. </w:t>
      </w:r>
      <w:bookmarkStart w:id="1630" w:name="OLE_LINK3"/>
      <w:bookmarkEnd w:id="1630"/>
      <w:r>
        <w:rPr>
          <w:rFonts w:ascii="Arial;Helvetica;sans-serif" w:hAnsi="Arial;Helvetica;sans-serif"/>
          <w:sz w:val="20"/>
        </w:rPr>
        <w:t xml:space="preserve">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Subject to </w:t>
      </w:r>
      <w:bookmarkStart w:id="1631" w:name="OLE_LINK4"/>
      <w:bookmarkEnd w:id="1631"/>
      <w:r>
        <w:rPr>
          <w:rFonts w:ascii="Arial;Helvetica;sans-serif" w:hAnsi="Arial;Helvetica;sans-serif"/>
          <w:sz w:val="20"/>
        </w:rPr>
        <w:t>Section 12.2, a Restricted Stock Unit Award shall become vested no faster than pro rata over the three (3) year period that starts on the Grant Date.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8.3. </w:t>
      </w:r>
      <w:r>
        <w:rPr>
          <w:rFonts w:ascii="Arial;Helvetica;sans-serif" w:hAnsi="Arial;Helvetica;sans-serif"/>
          <w:i/>
          <w:sz w:val="20"/>
        </w:rPr>
        <w:t>Settlement of Restricted Stock Units</w:t>
      </w:r>
      <w:r>
        <w:rPr>
          <w:rFonts w:ascii="Arial;Helvetica;sans-serif" w:hAnsi="Arial;Helvetica;sans-serif"/>
          <w:sz w:val="20"/>
        </w:rPr>
        <w:t xml:space="preserve">. Subject to Section 12.6 (Registration of Shares), unless the applicable Agreement provides otherwise, as soon as practicable after any Restricted Stock Unit becomes vested (and in no event later than the end of the “applicable 2-½ month period” described in Treas. Reg. § 1.409A-1(b)(4)(i)(A)), Avnet shall transfer to the Participant one share of Stock for each such vested Restricted Stock Unit, cash in lieu of shares of Stock, or a combination of cash and shares of Stock. No fractional shares shall be issued with respect to vesting of Restricted Stock Units.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8.4. </w:t>
      </w:r>
      <w:r>
        <w:rPr>
          <w:rFonts w:ascii="Arial;Helvetica;sans-serif" w:hAnsi="Arial;Helvetica;sans-serif"/>
          <w:i/>
          <w:sz w:val="20"/>
        </w:rPr>
        <w:t>Dividend Rights</w:t>
      </w:r>
      <w:r>
        <w:rPr>
          <w:rFonts w:ascii="Arial;Helvetica;sans-serif" w:hAnsi="Arial;Helvetica;sans-serif"/>
          <w:sz w:val="20"/>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accrued dividends and distributions, if any, shall be paid when the applicable Restricted Stock Units are settled.</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9</w:t>
      </w:r>
      <w:r>
        <w:rPr>
          <w:rFonts w:ascii="Arial;Helvetica;sans-serif" w:hAnsi="Arial;Helvetica;sans-serif"/>
          <w:b/>
          <w:sz w:val="20"/>
        </w:rPr>
        <w:t>​</w:t>
        <w:br/>
      </w:r>
      <w:bookmarkStart w:id="1632" w:name="_Ref359929620"/>
      <w:bookmarkEnd w:id="1632"/>
      <w:r>
        <w:rPr>
          <w:rFonts w:ascii="Arial;Helvetica;sans-serif" w:hAnsi="Arial;Helvetica;sans-serif"/>
          <w:b/>
          <w:caps/>
          <w:sz w:val="20"/>
        </w:rPr>
        <w:t>Performance Share Units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9.1. </w:t>
      </w:r>
      <w:r>
        <w:rPr>
          <w:rFonts w:ascii="Arial;Helvetica;sans-serif" w:hAnsi="Arial;Helvetica;sans-serif"/>
          <w:i/>
          <w:sz w:val="20"/>
        </w:rPr>
        <w:t>Grant.</w:t>
      </w:r>
      <w:r>
        <w:rPr>
          <w:rFonts w:ascii="Arial;Helvetica;sans-serif" w:hAnsi="Arial;Helvetica;sans-serif"/>
          <w:sz w:val="20"/>
        </w:rPr>
        <w:t xml:space="preserve"> The Committee (and the CEO to the extent permitted by Section 4.4)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9.2. </w:t>
      </w:r>
      <w:bookmarkStart w:id="1633" w:name="_Ref359934967"/>
      <w:bookmarkEnd w:id="1633"/>
      <w:r>
        <w:rPr>
          <w:rFonts w:ascii="Arial;Helvetica;sans-serif" w:hAnsi="Arial;Helvetica;sans-serif"/>
          <w:i/>
          <w:sz w:val="20"/>
        </w:rPr>
        <w:t>Vesting</w:t>
      </w:r>
      <w:r>
        <w:rPr>
          <w:rFonts w:ascii="Arial;Helvetica;sans-serif" w:hAnsi="Arial;Helvetica;sans-serif"/>
          <w:sz w:val="20"/>
        </w:rPr>
        <w:t>.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9.3. </w:t>
      </w:r>
      <w:r>
        <w:rPr>
          <w:rFonts w:ascii="Arial;Helvetica;sans-serif" w:hAnsi="Arial;Helvetica;sans-serif"/>
          <w:i/>
          <w:sz w:val="20"/>
        </w:rPr>
        <w:t>Settlement of Performance Shares</w:t>
      </w:r>
      <w:r>
        <w:rPr>
          <w:rFonts w:ascii="Arial;Helvetica;sans-serif" w:hAnsi="Arial;Helvetica;sans-serif"/>
          <w:sz w:val="20"/>
        </w:rPr>
        <w:t>. Subject to Section 12.6 (Registration of Shares), unless the Agreement provides otherwise, as soon as practicable after Performance Share Units become vested</w:t>
      </w:r>
      <w:bookmarkStart w:id="1634" w:name="_Hlk204034149"/>
      <w:bookmarkEnd w:id="1634"/>
      <w:r>
        <w:rPr>
          <w:rFonts w:ascii="Arial;Helvetica;sans-serif" w:hAnsi="Arial;Helvetica;sans-serif"/>
          <w:sz w:val="20"/>
        </w:rPr>
        <w:t xml:space="preserve"> (and in no event later than the end of the “applicable 2-½ month period” described in Treas. Reg. § 1.409A-1(b)(4)(i)(A)), Avnet shall transfer to the Participant shares of Stock or cash, or a combination of cash and shares of Stock, corresponding to the vested amount (determined after considering the Administrator’s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 xml:space="preserve">discretion to reduce the amount payable upon achievement of Performance Objectives). No fractional shares shall be issued with respect to vesting of Performance Share Units.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9.4. </w:t>
      </w:r>
      <w:r>
        <w:rPr>
          <w:rFonts w:ascii="Arial;Helvetica;sans-serif" w:hAnsi="Arial;Helvetica;sans-serif"/>
          <w:i/>
          <w:sz w:val="20"/>
        </w:rPr>
        <w:t>Dividend Rights.</w:t>
      </w:r>
      <w:r>
        <w:rPr>
          <w:rFonts w:ascii="Arial;Helvetica;sans-serif" w:hAnsi="Arial;Helvetica;sans-serif"/>
          <w:sz w:val="20"/>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accrued dividends and distributions, if any, shall be paid when the applicable Performance Share Units are settled.</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10</w:t>
      </w:r>
      <w:r>
        <w:rPr>
          <w:rFonts w:ascii="Arial;Helvetica;sans-serif" w:hAnsi="Arial;Helvetica;sans-serif"/>
          <w:b/>
          <w:sz w:val="20"/>
        </w:rPr>
        <w:t> </w:t>
      </w:r>
      <w:r>
        <w:rPr>
          <w:rFonts w:ascii="Arial;Helvetica;sans-serif" w:hAnsi="Arial;Helvetica;sans-serif"/>
          <w:b/>
          <w:sz w:val="10"/>
        </w:rPr>
        <w:br/>
      </w:r>
      <w:bookmarkStart w:id="1635" w:name="_Ref269289150"/>
      <w:bookmarkEnd w:id="1635"/>
      <w:r>
        <w:rPr>
          <w:rFonts w:ascii="Arial;Helvetica;sans-serif" w:hAnsi="Arial;Helvetica;sans-serif"/>
          <w:b/>
          <w:sz w:val="20"/>
        </w:rPr>
        <w:t>OTHER STOCK UNIT AWARDS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10.1. </w:t>
      </w:r>
      <w:r>
        <w:rPr>
          <w:rFonts w:ascii="Arial;Helvetica;sans-serif" w:hAnsi="Arial;Helvetica;sans-serif"/>
          <w:i/>
          <w:sz w:val="20"/>
        </w:rPr>
        <w:t>Grant</w:t>
      </w:r>
      <w:r>
        <w:rPr>
          <w:rFonts w:ascii="Arial;Helvetica;sans-serif" w:hAnsi="Arial;Helvetica;sans-serif"/>
          <w:sz w:val="20"/>
        </w:rPr>
        <w:t xml:space="preserve">. The Committee (and the CEO to the extent permitted by Section 4.4)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10.2. </w:t>
      </w:r>
      <w:r>
        <w:rPr>
          <w:rFonts w:ascii="Arial;Helvetica;sans-serif" w:hAnsi="Arial;Helvetica;sans-serif"/>
          <w:i/>
          <w:sz w:val="20"/>
        </w:rPr>
        <w:t>Amount of Award</w:t>
      </w:r>
      <w:r>
        <w:rPr>
          <w:rFonts w:ascii="Arial;Helvetica;sans-serif" w:hAnsi="Arial;Helvetica;sans-serif"/>
          <w:sz w:val="20"/>
        </w:rPr>
        <w:t xml:space="preserve">.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10.3. </w:t>
      </w:r>
      <w:bookmarkStart w:id="1636" w:name="_Ref271208651"/>
      <w:bookmarkEnd w:id="1636"/>
      <w:r>
        <w:rPr>
          <w:rFonts w:ascii="Arial;Helvetica;sans-serif" w:hAnsi="Arial;Helvetica;sans-serif"/>
          <w:i/>
          <w:sz w:val="20"/>
        </w:rPr>
        <w:t>General Rules for Other Stock Unit Awards</w:t>
      </w:r>
      <w:r>
        <w:rPr>
          <w:rFonts w:ascii="Arial;Helvetica;sans-serif" w:hAnsi="Arial;Helvetica;sans-serif"/>
          <w:sz w:val="20"/>
        </w:rPr>
        <w:t>.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 xml:space="preserve">(a)  An Other Stock Unit Award shall be subject to vesting conditions set forth in the applicable Agreement, which may be based on any criterion permitted by Section 8.2 (Vesting). </w:t>
      </w:r>
      <w:bookmarkStart w:id="1637" w:name="_Ref271184150"/>
      <w:bookmarkEnd w:id="1637"/>
      <w:r>
        <w:rPr>
          <w:rFonts w:ascii="Arial;Helvetica;sans-serif" w:hAnsi="Arial;Helvetica;sans-serif"/>
          <w:sz w:val="20"/>
        </w:rPr>
        <w:t xml:space="preserve">Subject to Section 12.2, the minimum vesting period required by Section 8.2 shall also apply for Other Stock Unit Awards; provided that the minimum vesting period shall not apply for full value awards granted to Non-Employee Directors.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(b)  An Other Stock Unit Award may be contingent on the payment of cash consideration by the Participant or may provide for delivery of the Award, and any Stock or other securities issued in conjunction with the Award, without any payment of cash consideration.</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(c)  The time and form of payment of an Other Stock Unit Award shall be set forth in the Agreement. An Other Stock Unit Award may be subject to a deferred payment schedule, if so set forth in the Agreement.</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(d)  The Administrator, in its sole discretion, may waive or otherwise remove, in whole or in part, any restriction or condition imposed on an Other Stock Unit Award at the time of grant. For example, the Administrator may take such action in relation to the assumption of, or substitution of stock unit awards of a company with which Avnet or a Subsidiary participates</w:t>
      </w:r>
      <w:bookmarkStart w:id="1638" w:name="eolPage53"/>
      <w:bookmarkEnd w:id="1638"/>
      <w:r>
        <w:rPr>
          <w:rFonts w:ascii="Arial;Helvetica;sans-serif" w:hAnsi="Arial;Helvetica;sans-serif"/>
          <w:sz w:val="20"/>
        </w:rPr>
        <w:t xml:space="preserve"> in an acquisition, separation, or similar corporate transaction.</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11​</w:t>
        <w:br/>
      </w:r>
      <w:bookmarkStart w:id="1639" w:name="_Ref359399995"/>
      <w:bookmarkEnd w:id="1639"/>
      <w:r>
        <w:rPr>
          <w:rFonts w:ascii="Arial;Helvetica;sans-serif" w:hAnsi="Arial;Helvetica;sans-serif"/>
          <w:b/>
          <w:caps/>
          <w:sz w:val="20"/>
        </w:rPr>
        <w:t>Executive Incentive Performance Awards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11.1. </w:t>
      </w:r>
      <w:r>
        <w:rPr>
          <w:rFonts w:ascii="Arial;Helvetica;sans-serif" w:hAnsi="Arial;Helvetica;sans-serif"/>
          <w:i/>
          <w:sz w:val="20"/>
        </w:rPr>
        <w:t>EIP Awards</w:t>
      </w:r>
      <w:r>
        <w:rPr>
          <w:rFonts w:ascii="Arial;Helvetica;sans-serif" w:hAnsi="Arial;Helvetica;sans-serif"/>
          <w:sz w:val="20"/>
        </w:rPr>
        <w:t xml:space="preserve">. The Committee (and the CEO to the extent permitted by Section 4.4) may issue EIP Awards to Eligible Employees who are Executive Officers or members of senior management of Avnet or of any of its Subsidiaries. Neither this Article 11 nor any other provision of the Plan shall limit in any way the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authority of the CEO and other Company officers to issue incentive pay and cash bonuses to Eligible Employees who are not Executive Officers.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11.2. </w:t>
      </w:r>
      <w:r>
        <w:rPr>
          <w:rFonts w:ascii="Arial;Helvetica;sans-serif" w:hAnsi="Arial;Helvetica;sans-serif"/>
          <w:i/>
          <w:sz w:val="20"/>
        </w:rPr>
        <w:t>Determination of EIP Amount</w:t>
      </w:r>
      <w:r>
        <w:rPr>
          <w:rFonts w:ascii="Arial;Helvetica;sans-serif" w:hAnsi="Arial;Helvetica;sans-serif"/>
          <w:sz w:val="20"/>
        </w:rPr>
        <w:t xml:space="preserve">. The amount of an EIP Award shall be determined by the Committee (or the CEO to the extent permitted by Section 4.4) and shall be contingent upon the achievement of Performance Objectives specified by the Committee, as set forth in the Agreement.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11.3. </w:t>
      </w:r>
      <w:r>
        <w:rPr>
          <w:rFonts w:ascii="Arial;Helvetica;sans-serif" w:hAnsi="Arial;Helvetica;sans-serif"/>
          <w:i/>
          <w:sz w:val="20"/>
        </w:rPr>
        <w:t>Payment of Awards</w:t>
      </w:r>
      <w:r>
        <w:rPr>
          <w:rFonts w:ascii="Arial;Helvetica;sans-serif" w:hAnsi="Arial;Helvetica;sans-serif"/>
          <w:sz w:val="20"/>
        </w:rPr>
        <w:t xml:space="preserve">. EIP Awards shall be paid in cash after the Performance Period has ended and the Committee has certified that the specified Performance Objectives were achieved. Except as otherwise expressly provided in an Agreement, payment shall be made no later than the end of the “applicable 2-½ month period” described in Treas. Reg. § 1.409A-1(b)(4)(i)(A).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 xml:space="preserve">11.4.  </w:t>
      </w:r>
      <w:bookmarkStart w:id="1640" w:name="_Ref359401696"/>
      <w:bookmarkEnd w:id="1640"/>
      <w:r>
        <w:rPr>
          <w:rFonts w:ascii="Arial;Helvetica;sans-serif" w:hAnsi="Arial;Helvetica;sans-serif"/>
          <w:i/>
          <w:sz w:val="20"/>
        </w:rPr>
        <w:t>Individual Limitation</w:t>
      </w:r>
      <w:r>
        <w:rPr>
          <w:rFonts w:ascii="Arial;Helvetica;sans-serif" w:hAnsi="Arial;Helvetica;sans-serif"/>
          <w:sz w:val="20"/>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12</w:t>
      </w:r>
      <w:r>
        <w:rPr>
          <w:rFonts w:ascii="Arial;Helvetica;sans-serif" w:hAnsi="Arial;Helvetica;sans-serif"/>
          <w:b/>
          <w:sz w:val="20"/>
        </w:rPr>
        <w:t>​</w:t>
        <w:br/>
      </w:r>
      <w:bookmarkStart w:id="1641" w:name="_Ref269311950"/>
      <w:bookmarkEnd w:id="1641"/>
      <w:r>
        <w:rPr>
          <w:rFonts w:ascii="Arial;Helvetica;sans-serif" w:hAnsi="Arial;Helvetica;sans-serif"/>
          <w:b/>
          <w:sz w:val="20"/>
        </w:rPr>
        <w:t>ADDITIONAL TERMS AND PROVISIONS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12.1. </w:t>
      </w:r>
      <w:r>
        <w:rPr>
          <w:rFonts w:ascii="Arial;Helvetica;sans-serif" w:hAnsi="Arial;Helvetica;sans-serif"/>
          <w:i/>
          <w:sz w:val="20"/>
        </w:rPr>
        <w:t>Agreements</w:t>
      </w:r>
      <w:r>
        <w:rPr>
          <w:rFonts w:ascii="Arial;Helvetica;sans-serif" w:hAnsi="Arial;Helvetica;sans-serif"/>
          <w:sz w:val="20"/>
        </w:rPr>
        <w:t>. Promptly after the grant or modification of any Award, the Administrator shall cause such Participant to be notified of such action and shall cause Avnet to deliver to such Participant an Agreement (which Agreement shall be signed on behalf of Avnet by an officer of Avnet with appropriate authorization) evidencing the Award so granted or modified and the terms and conditions thereof and including, if applicable, an addendum evidencing the original Award prior to such modification and the terms and conditions thereof.</w:t>
      </w:r>
      <w:bookmarkStart w:id="1642" w:name="_Ref269894726"/>
      <w:bookmarkStart w:id="1643" w:name="_Ref271184852"/>
      <w:bookmarkEnd w:id="1642"/>
      <w:bookmarkEnd w:id="1643"/>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12.2. </w:t>
      </w:r>
      <w:r>
        <w:rPr>
          <w:rFonts w:ascii="Arial;Helvetica;sans-serif" w:hAnsi="Arial;Helvetica;sans-serif"/>
          <w:i/>
          <w:sz w:val="20"/>
        </w:rPr>
        <w:t>Acceleration of Vesting and Cancellation of Options and SARs</w:t>
      </w:r>
      <w:r>
        <w:rPr>
          <w:rFonts w:ascii="Arial;Helvetica;sans-serif" w:hAnsi="Arial;Helvetica;sans-serif"/>
          <w:sz w:val="20"/>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 the avoidance of doubt, no payment shall be required with respect to any Option or SAR for which the exercise price exceeds the fair market value of the Stock at the time of the cancellation (</w:t>
      </w:r>
      <w:r>
        <w:rPr>
          <w:rFonts w:ascii="Arial;Helvetica;sans-serif" w:hAnsi="Arial;Helvetica;sans-serif"/>
          <w:i/>
          <w:sz w:val="20"/>
        </w:rPr>
        <w:t>i.e.</w:t>
      </w:r>
      <w:r>
        <w:rPr>
          <w:rFonts w:ascii="Arial;Helvetica;sans-serif" w:hAnsi="Arial;Helvetica;sans-serif"/>
          <w:sz w:val="20"/>
        </w:rPr>
        <w:t>, an “under water” option or SAR).</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12.3. </w:t>
      </w:r>
      <w:r>
        <w:rPr>
          <w:rFonts w:ascii="Arial;Helvetica;sans-serif" w:hAnsi="Arial;Helvetica;sans-serif"/>
          <w:i/>
          <w:sz w:val="20"/>
        </w:rPr>
        <w:t>Tax Withholding</w:t>
      </w:r>
      <w:r>
        <w:rPr>
          <w:rFonts w:ascii="Arial;Helvetica;sans-serif" w:hAnsi="Arial;Helvetica;sans-serif"/>
          <w:sz w:val="20"/>
        </w:rPr>
        <w:t xml:space="preserve">.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bookmarkStart w:id="1644" w:name="eolPage54"/>
      <w:bookmarkEnd w:id="1644"/>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12.4. </w:t>
      </w:r>
      <w:r>
        <w:rPr>
          <w:rFonts w:ascii="Arial;Helvetica;sans-serif" w:hAnsi="Arial;Helvetica;sans-serif"/>
          <w:i/>
          <w:sz w:val="20"/>
        </w:rPr>
        <w:t>No Right to Employment; No Right to Award</w:t>
      </w:r>
      <w:r>
        <w:rPr>
          <w:rFonts w:ascii="Arial;Helvetica;sans-serif" w:hAnsi="Arial;Helvetica;sans-serif"/>
          <w:sz w:val="20"/>
        </w:rPr>
        <w:t>. The Plan shall not confer upon any Participant or other individual any right with respect to continued employment with the Company, or continued membership on the Board of Directors, nor shall it interfere in any way with the individual’s right, or the Company’s right, to terminate employment or Board membership at any time. No provision of the Plan shall be construed to give any Eligible Employee or Non-Employee Director a right to receive an Award.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12.5. </w:t>
      </w:r>
      <w:r>
        <w:rPr>
          <w:rFonts w:ascii="Arial;Helvetica;sans-serif" w:hAnsi="Arial;Helvetica;sans-serif"/>
          <w:i/>
          <w:sz w:val="20"/>
        </w:rPr>
        <w:t>Shareholder Rights</w:t>
      </w:r>
      <w:r>
        <w:rPr>
          <w:rFonts w:ascii="Arial;Helvetica;sans-serif" w:hAnsi="Arial;Helvetica;sans-serif"/>
          <w:sz w:val="20"/>
        </w:rPr>
        <w:t>.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After such recordation in the books and records of Avnet, the recipient of shares of Stock shall have the full rights of a holder of such Stock.</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12.6. </w:t>
      </w:r>
      <w:bookmarkStart w:id="1645" w:name="_Ref269314047"/>
      <w:bookmarkStart w:id="1646" w:name="_Ref271205305"/>
      <w:bookmarkEnd w:id="1645"/>
      <w:bookmarkEnd w:id="1646"/>
      <w:r>
        <w:rPr>
          <w:rFonts w:ascii="Arial;Helvetica;sans-serif" w:hAnsi="Arial;Helvetica;sans-serif"/>
          <w:i/>
          <w:sz w:val="20"/>
        </w:rPr>
        <w:t>Registration of Shares</w:t>
      </w:r>
      <w:r>
        <w:rPr>
          <w:rFonts w:ascii="Arial;Helvetica;sans-serif" w:hAnsi="Arial;Helvetica;sans-serif"/>
          <w:sz w:val="20"/>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(a) 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 (C) with respect to such shares, there is available at the time of such grant, vesting event, or exercise (as applicable) a prospectus meeting the requirements of the Securities Act and the rules promulgated thereunder;</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(b) such shares are (or upon official notice of issuance will be) listed on each national securities exchange on which the class of Stock is then listed;</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 xml:space="preserve">(c) 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(d) if the Committee so requires, Avnet has received an opinion from its counsel with respect to compliance with the matters set forth in subsections (a), (b), and/or (c) of this Section 12.6.</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12.7. </w:t>
      </w:r>
      <w:r>
        <w:rPr>
          <w:rFonts w:ascii="Arial;Helvetica;sans-serif" w:hAnsi="Arial;Helvetica;sans-serif"/>
          <w:i/>
          <w:sz w:val="20"/>
        </w:rPr>
        <w:t>Document Requirements</w:t>
      </w:r>
      <w:r>
        <w:rPr>
          <w:rFonts w:ascii="Arial;Helvetica;sans-serif" w:hAnsi="Arial;Helvetica;sans-serif"/>
          <w:sz w:val="20"/>
        </w:rPr>
        <w:t xml:space="preserve">. The Committee may require, as a condition of any payment or share issuance, that certain agreements, undertakings, representations, certificates, or information, as the Committee may deem necessary or advisable, be executed or provided to the Company. </w:t>
      </w:r>
      <w:bookmarkStart w:id="1647" w:name="eolPage55"/>
      <w:bookmarkEnd w:id="1647"/>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12.8. </w:t>
      </w:r>
      <w:r>
        <w:rPr>
          <w:rFonts w:ascii="Arial;Helvetica;sans-serif" w:hAnsi="Arial;Helvetica;sans-serif"/>
          <w:i/>
          <w:sz w:val="20"/>
        </w:rPr>
        <w:t>Deferrals</w:t>
      </w:r>
      <w:r>
        <w:rPr>
          <w:rFonts w:ascii="Arial;Helvetica;sans-serif" w:hAnsi="Arial;Helvetica;sans-serif"/>
          <w:sz w:val="20"/>
        </w:rPr>
        <w:t xml:space="preserve">.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12.9. </w:t>
      </w:r>
      <w:bookmarkStart w:id="1648" w:name="_Ref269309323"/>
      <w:bookmarkEnd w:id="1648"/>
      <w:r>
        <w:rPr>
          <w:rFonts w:ascii="Arial;Helvetica;sans-serif" w:hAnsi="Arial;Helvetica;sans-serif"/>
          <w:i/>
          <w:sz w:val="20"/>
        </w:rPr>
        <w:t>Recoupment/Clawback</w:t>
      </w:r>
      <w:r>
        <w:rPr>
          <w:rFonts w:ascii="Arial;Helvetica;sans-serif" w:hAnsi="Arial;Helvetica;sans-serif"/>
          <w:sz w:val="20"/>
        </w:rPr>
        <w:t>. Each Award shall be subject to the terms and conditions of Avnet’s compensation recoupment or clawback policy, as in effect and amended from time to time, including disgorgement or repayment to the extent required by such policy.</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12.10. </w:t>
      </w:r>
      <w:bookmarkStart w:id="1649" w:name="_Ref360542093"/>
      <w:bookmarkEnd w:id="1649"/>
      <w:r>
        <w:rPr>
          <w:rFonts w:ascii="Arial;Helvetica;sans-serif" w:hAnsi="Arial;Helvetica;sans-serif"/>
          <w:i/>
          <w:sz w:val="20"/>
        </w:rPr>
        <w:t>Nontransferability</w:t>
      </w:r>
      <w:r>
        <w:rPr>
          <w:rFonts w:ascii="Arial;Helvetica;sans-serif" w:hAnsi="Arial;Helvetica;sans-serif"/>
          <w:sz w:val="20"/>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 xml:space="preserve">(a) An Award may be transferred by testamentary disposition or the laws of descent and distribution. </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(b) The Committee shall have sole discretion to approve, and to establish terms and conditions for, a transfer of an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(c) The Committee shall have discretion to authorize a transfer pursuant to a domestic relations order; provided, however, that the Committee shall not be required under any circumstance to accept or approve a transfer pursuant to a domestic relations order.</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(d) An Award may be forfeited or transferred to the extent required to satisfy a tax levy or judgment under the Mandatory Victims Restitution Act or similar federal or state law.</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12.11. </w:t>
      </w:r>
      <w:r>
        <w:rPr>
          <w:rFonts w:ascii="Arial;Helvetica;sans-serif" w:hAnsi="Arial;Helvetica;sans-serif"/>
          <w:i/>
          <w:sz w:val="20"/>
        </w:rPr>
        <w:t>Applicable Law and Severability</w:t>
      </w:r>
      <w:r>
        <w:rPr>
          <w:rFonts w:ascii="Arial;Helvetica;sans-serif" w:hAnsi="Arial;Helvetica;sans-serif"/>
          <w:sz w:val="20"/>
        </w:rPr>
        <w:t>. The Plan, and its rules, rights, agreements and regulations, shall be governed and construed in accordance with the laws of the State of New York, without regard to any conflicts or choice of law rule or principle that might result in the application of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12.12. </w:t>
      </w:r>
      <w:r>
        <w:rPr>
          <w:rFonts w:ascii="Arial;Helvetica;sans-serif" w:hAnsi="Arial;Helvetica;sans-serif"/>
          <w:i/>
          <w:sz w:val="20"/>
        </w:rPr>
        <w:t>Special Incentive Compensation</w:t>
      </w:r>
      <w:r>
        <w:rPr>
          <w:rFonts w:ascii="Arial;Helvetica;sans-serif" w:hAnsi="Arial;Helvetica;sans-serif"/>
          <w:sz w:val="20"/>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12.13. </w:t>
      </w:r>
      <w:bookmarkStart w:id="1650" w:name="eolPage56"/>
      <w:bookmarkEnd w:id="1650"/>
      <w:r>
        <w:rPr>
          <w:rFonts w:ascii="Arial;Helvetica;sans-serif" w:hAnsi="Arial;Helvetica;sans-serif"/>
          <w:i/>
          <w:sz w:val="20"/>
        </w:rPr>
        <w:t>Section 16(b) of the Exchange Act</w:t>
      </w:r>
      <w:r>
        <w:rPr>
          <w:rFonts w:ascii="Arial;Helvetica;sans-serif" w:hAnsi="Arial;Helvetica;sans-serif"/>
          <w:sz w:val="20"/>
        </w:rPr>
        <w:t xml:space="preserve">.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 </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12.14. </w:t>
      </w:r>
      <w:r>
        <w:rPr>
          <w:rFonts w:ascii="Arial;Helvetica;sans-serif" w:hAnsi="Arial;Helvetica;sans-serif"/>
          <w:i/>
          <w:sz w:val="20"/>
        </w:rPr>
        <w:t>Section 409A of the Code</w:t>
      </w:r>
      <w:r>
        <w:rPr>
          <w:rFonts w:ascii="Arial;Helvetica;sans-serif" w:hAnsi="Arial;Helvetica;sans-serif"/>
          <w:sz w:val="20"/>
        </w:rPr>
        <w:t>. The Plan, any Award granted under the Plan, and all Agreements evidencing such Awards, shall be interpreted and administered with the intent that (a) 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 Section 409A of the Code by reason of the “short-term deferral rule” set forth in Treas. Reg. § 1.409A-1(b)(4). To the extent that an Award is subject to Section 409A of the Code, the following rules will apply:</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(a)It is intended that the provisions of the Plan, any Award granted under the Plan, and all Agreements avoid the adverse consequences under Section 409A of the Code, and all provisions of the Plan, any Award granted under the Plan, and all Agreements shall be construed and interpreted in a manner consistent with that intent.</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(b)If payment is due upon a termination of employment or service, payment shall only be made if such termination constitutes a “separation from service” within the meaning of Section 409A of the Code.</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(c)If, at the time of a Participant’s separation from service (within the meaning of Section 409A of the Code), (A) such Participant shall be a specified employee (within the meaning of Section 409A of the Code) and (B) an amount payable pursuant to an Award constitutes nonqualified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without interest, on the first day of the seventh month following such separation from service.</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(d)Notwithstanding any provision of the Plan to the contrary,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a Participant or for a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1152" w:right="720" w:hanging="0"/>
        <w:jc w:val="left"/>
        <w:rPr>
          <w:rFonts w:ascii="Arial;Helvetica;sans-serif" w:hAnsi="Arial;Helvetica;sans-serif"/>
          <w:sz w:val="20"/>
        </w:rPr>
      </w:pPr>
      <w:r>
        <w:rPr>
          <w:rFonts w:ascii="Arial;Helvetica;sans-serif" w:hAnsi="Arial;Helvetica;sans-serif"/>
          <w:sz w:val="20"/>
        </w:rPr>
        <w:t>(e)Each payment payable under the Plan is intended to constitute a separate payment under Treas. Reg. § 1.409A-2(b)(2).</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12.15. </w:t>
      </w:r>
      <w:r>
        <w:rPr>
          <w:rFonts w:ascii="Arial;Helvetica;sans-serif" w:hAnsi="Arial;Helvetica;sans-serif"/>
          <w:i/>
          <w:sz w:val="20"/>
        </w:rPr>
        <w:t xml:space="preserve">Application of Proceeds. </w:t>
      </w:r>
      <w:r>
        <w:rPr>
          <w:rFonts w:ascii="Arial;Helvetica;sans-serif" w:hAnsi="Arial;Helvetica;sans-serif"/>
          <w:sz w:val="20"/>
        </w:rPr>
        <w:t>The proceeds received by the Company from the sale of Stock under the Plan shall be used for general corporate purposes.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12.16. </w:t>
      </w:r>
      <w:r>
        <w:rPr>
          <w:rFonts w:ascii="Arial;Helvetica;sans-serif" w:hAnsi="Arial;Helvetica;sans-serif"/>
          <w:i/>
          <w:sz w:val="20"/>
        </w:rPr>
        <w:t xml:space="preserve">Rules of Construction. </w:t>
      </w:r>
      <w:r>
        <w:rPr>
          <w:rFonts w:ascii="Arial;Helvetica;sans-serif" w:hAnsi="Arial;Helvetica;sans-serif"/>
          <w:sz w:val="20"/>
        </w:rPr>
        <w:t>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12.17. </w:t>
      </w:r>
      <w:r>
        <w:rPr>
          <w:rFonts w:ascii="Arial;Helvetica;sans-serif" w:hAnsi="Arial;Helvetica;sans-serif"/>
          <w:i/>
          <w:sz w:val="20"/>
        </w:rPr>
        <w:t xml:space="preserve">Headings and Captions. </w:t>
      </w:r>
      <w:r>
        <w:rPr>
          <w:rFonts w:ascii="Arial;Helvetica;sans-serif" w:hAnsi="Arial;Helvetica;sans-serif"/>
          <w:sz w:val="20"/>
        </w:rPr>
        <w:t>The headings and captions in this Plan document are provided for reference and convenience only, shall not be considered part of the Plan, and shall not be employed in the construction of the Plan.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12.18. </w:t>
      </w:r>
      <w:r>
        <w:rPr>
          <w:rFonts w:ascii="Arial;Helvetica;sans-serif" w:hAnsi="Arial;Helvetica;sans-serif"/>
          <w:i/>
          <w:sz w:val="20"/>
        </w:rPr>
        <w:t xml:space="preserve">Effective Date. </w:t>
      </w:r>
      <w:r>
        <w:rPr>
          <w:rFonts w:ascii="Arial;Helvetica;sans-serif" w:hAnsi="Arial;Helvetica;sans-serif"/>
          <w:sz w:val="20"/>
        </w:rPr>
        <w:t>The Plan shall become effective on the date the Plan is approved by Avnet’s shareholders.</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13</w:t>
      </w:r>
      <w:r>
        <w:rPr>
          <w:rFonts w:ascii="Arial;Helvetica;sans-serif" w:hAnsi="Arial;Helvetica;sans-serif"/>
          <w:b/>
          <w:sz w:val="20"/>
        </w:rPr>
        <w:t>​</w:t>
        <w:br/>
      </w:r>
      <w:bookmarkStart w:id="1651" w:name="_Ref269289900"/>
      <w:bookmarkEnd w:id="1651"/>
      <w:r>
        <w:rPr>
          <w:rFonts w:ascii="Arial;Helvetica;sans-serif" w:hAnsi="Arial;Helvetica;sans-serif"/>
          <w:b/>
          <w:sz w:val="20"/>
        </w:rPr>
        <w:t>ADJUSTMENTS UPON CHANGES IN CAPITALIZATION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13.1. </w:t>
      </w:r>
      <w:bookmarkStart w:id="1652" w:name="_Ref269916165"/>
      <w:bookmarkEnd w:id="1652"/>
      <w:r>
        <w:rPr>
          <w:rFonts w:ascii="Arial;Helvetica;sans-serif" w:hAnsi="Arial;Helvetica;sans-serif"/>
          <w:i/>
          <w:sz w:val="20"/>
        </w:rPr>
        <w:t>Share Adjustments</w:t>
      </w:r>
      <w:r>
        <w:rPr>
          <w:rFonts w:ascii="Arial;Helvetica;sans-serif" w:hAnsi="Arial;Helvetica;sans-serif"/>
          <w:sz w:val="20"/>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13.2. </w:t>
      </w:r>
      <w:r>
        <w:rPr>
          <w:rFonts w:ascii="Arial;Helvetica;sans-serif" w:hAnsi="Arial;Helvetica;sans-serif"/>
          <w:i/>
          <w:sz w:val="20"/>
        </w:rPr>
        <w:t>Exercise Price Adjustments</w:t>
      </w:r>
      <w:r>
        <w:rPr>
          <w:rFonts w:ascii="Arial;Helvetica;sans-serif" w:hAnsi="Arial;Helvetica;sans-serif"/>
          <w:sz w:val="20"/>
        </w:rPr>
        <w:t>. If the Stock is split, divided or otherwise reclassified or exchanged, or if any dividend payable in shares of Stock or extraordinary cash dividend is paid to the holders of outstanding</w:t>
      </w:r>
      <w:bookmarkStart w:id="1653" w:name="eolPage57"/>
      <w:bookmarkEnd w:id="1653"/>
      <w:r>
        <w:rPr>
          <w:rFonts w:ascii="Arial;Helvetica;sans-serif" w:hAnsi="Arial;Helvetica;sans-serif"/>
          <w:sz w:val="20"/>
        </w:rPr>
        <w:t xml:space="preserve">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13.3. </w:t>
      </w:r>
      <w:bookmarkStart w:id="1654" w:name="_Ref269895289"/>
      <w:bookmarkStart w:id="1655" w:name="_Ref269894764"/>
      <w:bookmarkEnd w:id="1654"/>
      <w:bookmarkEnd w:id="1655"/>
      <w:r>
        <w:rPr>
          <w:rFonts w:ascii="Arial;Helvetica;sans-serif" w:hAnsi="Arial;Helvetica;sans-serif"/>
          <w:i/>
          <w:sz w:val="20"/>
        </w:rPr>
        <w:t>Fractional Shares</w:t>
      </w:r>
      <w:r>
        <w:rPr>
          <w:rFonts w:ascii="Arial;Helvetica;sans-serif" w:hAnsi="Arial;Helvetica;sans-serif"/>
          <w:sz w:val="20"/>
        </w:rPr>
        <w:t xml:space="preserve">.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720" w:hanging="0"/>
        <w:jc w:val="right"/>
        <w:rPr/>
      </w:pPr>
      <w:r>
        <w:rPr/>
        <w:t>​</w:t>
      </w:r>
    </w:p>
    <w:p>
      <w:pPr>
        <w:pStyle w:val="TextBody"/>
        <w:bidi w:val="0"/>
        <w:spacing w:before="0" w:after="0"/>
        <w:ind w:left="720" w:right="720" w:hanging="0"/>
        <w:jc w:val="right"/>
        <w:rPr/>
      </w:pPr>
      <w:r>
        <w:rPr/>
        <w:t>​</w:t>
      </w:r>
    </w:p>
    <w:p>
      <w:pPr>
        <w:pStyle w:val="TextBody"/>
        <w:bidi w:val="0"/>
        <w:spacing w:before="0" w:after="240"/>
        <w:ind w:left="432" w:right="720" w:hanging="0"/>
        <w:jc w:val="left"/>
        <w:rPr>
          <w:rFonts w:ascii="Arial;Helvetica;sans-serif" w:hAnsi="Arial;Helvetica;sans-serif"/>
          <w:sz w:val="20"/>
        </w:rPr>
      </w:pPr>
      <w:r>
        <w:rPr>
          <w:rFonts w:ascii="Arial;Helvetica;sans-serif" w:hAnsi="Arial;Helvetica;sans-serif"/>
          <w:sz w:val="20"/>
        </w:rPr>
        <w:t>Optionee holding such Award shall become entitled neither to purchase the same nor to receive cash or other property in payment therefor or in lieu thereof.</w:t>
      </w:r>
    </w:p>
    <w:p>
      <w:pPr>
        <w:pStyle w:val="TextBody"/>
        <w:bidi w:val="0"/>
        <w:spacing w:before="0" w:after="240"/>
        <w:ind w:left="270" w:right="0" w:hanging="0"/>
        <w:jc w:val="left"/>
        <w:rPr>
          <w:rFonts w:ascii="Arial;Helvetica;sans-serif" w:hAnsi="Arial;Helvetica;sans-serif"/>
          <w:b/>
          <w:sz w:val="20"/>
        </w:rPr>
      </w:pPr>
      <w:r>
        <w:rPr>
          <w:rFonts w:ascii="Arial;Helvetica;sans-serif" w:hAnsi="Arial;Helvetica;sans-serif"/>
          <w:b/>
          <w:caps/>
          <w:sz w:val="20"/>
        </w:rPr>
        <w:t>Article 14</w:t>
      </w:r>
      <w:r>
        <w:rPr>
          <w:rFonts w:ascii="Arial;Helvetica;sans-serif" w:hAnsi="Arial;Helvetica;sans-serif"/>
          <w:b/>
          <w:sz w:val="20"/>
        </w:rPr>
        <w:t>​</w:t>
        <w:br/>
      </w:r>
      <w:bookmarkStart w:id="1656" w:name="_Ref269306510"/>
      <w:bookmarkEnd w:id="1656"/>
      <w:r>
        <w:rPr>
          <w:rFonts w:ascii="Arial;Helvetica;sans-serif" w:hAnsi="Arial;Helvetica;sans-serif"/>
          <w:b/>
          <w:sz w:val="20"/>
        </w:rPr>
        <w:t>AMENDMENT OR TERMINATION OF THE PLAN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14.1. The Plan shall automatically terminate on November 21, 2035,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pStyle w:val="TextBody"/>
        <w:bidi w:val="0"/>
        <w:spacing w:before="0" w:after="240"/>
        <w:ind w:left="432" w:right="720" w:firstLine="720"/>
        <w:jc w:val="left"/>
        <w:rPr>
          <w:rFonts w:ascii="Arial;Helvetica;sans-serif" w:hAnsi="Arial;Helvetica;sans-serif"/>
          <w:sz w:val="20"/>
        </w:rPr>
      </w:pPr>
      <w:r>
        <w:rPr>
          <w:rFonts w:ascii="Arial;Helvetica;sans-serif" w:hAnsi="Arial;Helvetica;sans-serif"/>
          <w:sz w:val="20"/>
        </w:rPr>
        <w:t>14.2. </w:t>
      </w:r>
      <w:bookmarkStart w:id="1657" w:name="_Ref269314991"/>
      <w:bookmarkEnd w:id="1657"/>
      <w:r>
        <w:rPr>
          <w:rFonts w:ascii="Arial;Helvetica;sans-serif" w:hAnsi="Arial;Helvetica;sans-serif"/>
          <w:i/>
          <w:sz w:val="20"/>
        </w:rPr>
        <w:t>Reservation of Rights</w:t>
      </w:r>
      <w:r>
        <w:rPr>
          <w:rFonts w:ascii="Arial;Helvetica;sans-serif" w:hAnsi="Arial;Helvetica;sans-serif"/>
          <w:sz w:val="20"/>
        </w:rPr>
        <w:t>. The Board of Directors may amend or terminate the Plan and/or any Award thereunder at any time as the Board of Directors may deem advisable and in the best interests of Avnet; provided, however, that--</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(a) 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pStyle w:val="TextBody"/>
        <w:bidi w:val="0"/>
        <w:spacing w:before="0" w:after="240"/>
        <w:ind w:left="1152" w:right="720" w:firstLine="720"/>
        <w:jc w:val="left"/>
        <w:rPr>
          <w:rFonts w:ascii="Arial;Helvetica;sans-serif" w:hAnsi="Arial;Helvetica;sans-serif"/>
          <w:sz w:val="20"/>
        </w:rPr>
      </w:pPr>
      <w:r>
        <w:rPr>
          <w:rFonts w:ascii="Arial;Helvetica;sans-serif" w:hAnsi="Arial;Helvetica;sans-serif"/>
          <w:sz w:val="20"/>
        </w:rPr>
        <w:t>(b) the affirmative vote of a majority of the votes cast at a meeting of the shareholders of Avnet duly called and held for that purpose, shall be required for any change that (i) affects the composition or functioning of the Committee; (ii) materially increases the aggregate number of shares of Stock that may be delivered pursuant to the exercise of Awards; (iii) materially increases the aggregate number of shares of Stock with respect to which Options or other Awards may be granted to any Participant during any calendar year; (iv) materially decreases the minimum purchase price per share of Stock (in relation to the Fair Market Value thereof at the respective dates of grant) upon the exercise of Options; (v) extends the ten-year maximum period within which an Award is exercisable or the termination date of the Plan; or (vi) otherwise triggers a shareholder approval requirement under an applicable law or listing standard.</w:t>
      </w:r>
      <w:bookmarkStart w:id="1658" w:name="eolPage58"/>
      <w:bookmarkEnd w:id="1658"/>
      <w:r>
        <w:rPr>
          <w:rFonts w:ascii="Arial;Helvetica;sans-serif" w:hAnsi="Arial;Helvetica;sans-serif"/>
          <w:sz w:val="20"/>
        </w:rPr>
        <w:t xml:space="preserve"> </w:t>
      </w:r>
    </w:p>
    <w:p>
      <w:pPr>
        <w:pStyle w:val="TextBody"/>
        <w:bidi w:val="0"/>
        <w:spacing w:before="0" w:after="0"/>
        <w:ind w:left="720" w:right="72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0"/>
        <w:ind w:left="720" w:right="720" w:hanging="0"/>
        <w:jc w:val="left"/>
        <w:rPr/>
      </w:pPr>
      <w:r>
        <w:rPr/>
        <w:t>​</w:t>
      </w:r>
    </w:p>
    <w:p>
      <w:pPr>
        <w:pStyle w:val="TextBody"/>
        <w:bidi w:val="0"/>
        <w:spacing w:before="0" w:after="0"/>
        <w:ind w:left="720" w:right="72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bookmarkStart w:id="1659" w:name="avt-20260627xex10d13a.htm"/>
      <w:bookmarkStart w:id="1660" w:name="ksavt20260627xex10d13a"/>
      <w:bookmarkEnd w:id="1659"/>
      <w:bookmarkEnd w:id="1660"/>
      <w:r>
        <w:rPr/>
        <w:t>​</w:t>
      </w:r>
      <w:r>
        <w:br w:type="page"/>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10.13(a)</w:t>
      </w:r>
    </w:p>
    <w:p>
      <w:pPr>
        <w:pStyle w:val="TextBody"/>
        <w:bidi w:val="0"/>
        <w:spacing w:lineRule="auto" w:line="285" w:before="0" w:after="0"/>
        <w:ind w:left="0" w:right="0" w:hanging="0"/>
        <w:jc w:val="center"/>
        <w:rPr>
          <w:rFonts w:ascii="12" w:hAnsi="12"/>
          <w:b/>
          <w:sz w:val="24"/>
        </w:rPr>
      </w:pPr>
      <w:r>
        <w:rPr>
          <w:rFonts w:ascii="12" w:hAnsi="12"/>
          <w:b/>
          <w:sz w:val="24"/>
        </w:rPr>
        <w:t>AVNET, INC.</w:t>
      </w:r>
    </w:p>
    <w:p>
      <w:pPr>
        <w:pStyle w:val="TextBody"/>
        <w:bidi w:val="0"/>
        <w:spacing w:lineRule="auto" w:line="285" w:before="0" w:after="0"/>
        <w:ind w:left="0" w:right="0" w:hanging="0"/>
        <w:jc w:val="center"/>
        <w:rPr>
          <w:rFonts w:ascii="12" w:hAnsi="12"/>
          <w:b/>
          <w:sz w:val="24"/>
        </w:rPr>
      </w:pPr>
      <w:r>
        <w:rPr>
          <w:rFonts w:ascii="12" w:hAnsi="12"/>
          <w:b/>
          <w:sz w:val="24"/>
        </w:rPr>
        <w:t xml:space="preserve">STANDARD TERMS AND CONDITIONS </w:t>
      </w:r>
    </w:p>
    <w:p>
      <w:pPr>
        <w:pStyle w:val="TextBody"/>
        <w:bidi w:val="0"/>
        <w:spacing w:lineRule="auto" w:line="285" w:before="0" w:after="0"/>
        <w:ind w:left="0" w:right="0" w:hanging="0"/>
        <w:jc w:val="center"/>
        <w:rPr>
          <w:rFonts w:ascii="Times New Roman;Times;serif" w:hAnsi="Times New Roman;Times;serif"/>
          <w:sz w:val="24"/>
        </w:rPr>
      </w:pPr>
      <w:r>
        <w:rPr>
          <w:rFonts w:ascii="12" w:hAnsi="12"/>
          <w:b/>
          <w:sz w:val="24"/>
        </w:rPr>
        <w:t xml:space="preserve">FOR </w:t>
      </w:r>
      <w:r>
        <w:rPr>
          <w:rFonts w:ascii="12" w:hAnsi="12"/>
          <w:b/>
          <w:caps/>
          <w:sz w:val="24"/>
        </w:rPr>
        <w:t xml:space="preserve">RESTRICTED </w:t>
      </w:r>
      <w:r>
        <w:rPr>
          <w:rFonts w:ascii="12" w:hAnsi="12"/>
          <w:b/>
          <w:sz w:val="24"/>
        </w:rPr>
        <w:t>STOCK UNITS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Grant Date: (</w:t>
      </w:r>
      <w:r>
        <w:rPr>
          <w:rFonts w:ascii="Times New Roman;Times;serif" w:hAnsi="Times New Roman;Times;serif"/>
          <w:b/>
          <w:sz w:val="24"/>
        </w:rPr>
        <w:t xml:space="preserve">Grant Date)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Grantee: </w:t>
      </w:r>
      <w:r>
        <w:rPr>
          <w:rFonts w:ascii="Times New Roman;Times;serif" w:hAnsi="Times New Roman;Times;serif"/>
          <w:b/>
          <w:sz w:val="24"/>
        </w:rPr>
        <w:t>(Participant Name)</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Restricted Stock Units Granted: </w:t>
      </w:r>
      <w:r>
        <w:rPr>
          <w:rFonts w:ascii="Times New Roman;Times;serif" w:hAnsi="Times New Roman;Times;serif"/>
          <w:b/>
          <w:sz w:val="24"/>
        </w:rPr>
        <w:t xml:space="preserve">(Quantity Granted) </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These Standard Terms and Conditions </w:t>
      </w:r>
      <w:r>
        <w:rPr>
          <w:rFonts w:ascii="12" w:hAnsi="12"/>
          <w:sz w:val="24"/>
        </w:rPr>
        <w:t xml:space="preserve">for Restricted Stock Units (“Standard Terms and Conditions”) </w:t>
      </w:r>
      <w:r>
        <w:rPr>
          <w:rFonts w:ascii="Times New Roman;Times;serif" w:hAnsi="Times New Roman;Times;serif"/>
          <w:sz w:val="24"/>
        </w:rPr>
        <w:t xml:space="preserve">apply to the grant (“Award”) of restricted stock units (“Restricted Stock Units”) made as of </w:t>
      </w:r>
      <w:r>
        <w:rPr>
          <w:rFonts w:ascii="Times New Roman;Times;serif" w:hAnsi="Times New Roman;Times;serif"/>
          <w:b/>
          <w:sz w:val="24"/>
        </w:rPr>
        <w:t xml:space="preserve">(Grant Date) </w:t>
      </w:r>
      <w:r>
        <w:rPr>
          <w:rFonts w:ascii="Times New Roman;Times;serif" w:hAnsi="Times New Roman;Times;serif"/>
          <w:sz w:val="24"/>
        </w:rPr>
        <w:t xml:space="preserve">(“Grant Date”) between Avnet, Inc. (“Avnet” or “Company”) and </w:t>
      </w:r>
      <w:r>
        <w:rPr>
          <w:rFonts w:ascii="Times New Roman;Times;serif" w:hAnsi="Times New Roman;Times;serif"/>
          <w:b/>
          <w:sz w:val="24"/>
        </w:rPr>
        <w:t xml:space="preserve">(Participant Name) </w:t>
      </w:r>
      <w:r>
        <w:rPr>
          <w:rFonts w:ascii="Times New Roman;Times;serif" w:hAnsi="Times New Roman;Times;serif"/>
          <w:sz w:val="24"/>
        </w:rPr>
        <w:t xml:space="preserve">(“Participant”) pursuant to the </w:t>
      </w:r>
      <w:r>
        <w:rPr>
          <w:rFonts w:ascii="12" w:hAnsi="12"/>
          <w:sz w:val="24"/>
        </w:rPr>
        <w:t>Avnet, Inc. 2025 Stock Compensation and Incentive Plan.</w:t>
      </w:r>
      <w:r>
        <w:rPr>
          <w:rFonts w:ascii="Times New Roman;Times;serif" w:hAnsi="Times New Roman;Times;serif"/>
          <w:sz w:val="24"/>
        </w:rPr>
        <w:t xml:space="preserve"> </w:t>
      </w:r>
      <w:r>
        <w:rPr>
          <w:rFonts w:ascii="12" w:hAnsi="12"/>
          <w:sz w:val="24"/>
        </w:rPr>
        <w:t>These Standard Terms and Conditions apply to any restricted stock units granted under the Plan that are identified as incentive or restricted stock units.</w:t>
      </w:r>
    </w:p>
    <w:tbl>
      <w:tblPr>
        <w:tblW w:w="4855" w:type="dxa"/>
        <w:jc w:val="left"/>
        <w:tblInd w:w="0" w:type="dxa"/>
        <w:tblLayout w:type="fixed"/>
        <w:tblCellMar>
          <w:top w:w="0" w:type="dxa"/>
          <w:left w:w="0" w:type="dxa"/>
          <w:bottom w:w="0" w:type="dxa"/>
          <w:right w:w="0" w:type="dxa"/>
        </w:tblCellMar>
      </w:tblPr>
      <w:tblGrid>
        <w:gridCol w:w="200"/>
        <w:gridCol w:w="465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465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TERMS OF RESTRICTED STOCK UNITS</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Provided that the Participant has accepted these Standard Terms and Conditions on or before (Accept by Date), the Company has granted to the Participant Restricted Stock Units covering (Quantity Granted) shares of Avnet’s common stock (“Stock”), subject to the conditions set forth in these Standard Terms and Conditions and the Plan. For purposes of these Standard Terms and Conditions and the award letter, the term “Company” refers to Avnet and its Subsidiaries.</w:t>
      </w:r>
    </w:p>
    <w:tbl>
      <w:tblPr>
        <w:tblW w:w="3910" w:type="dxa"/>
        <w:jc w:val="left"/>
        <w:tblInd w:w="0" w:type="dxa"/>
        <w:tblLayout w:type="fixed"/>
        <w:tblCellMar>
          <w:top w:w="0" w:type="dxa"/>
          <w:left w:w="0" w:type="dxa"/>
          <w:bottom w:w="0" w:type="dxa"/>
          <w:right w:w="0" w:type="dxa"/>
        </w:tblCellMar>
      </w:tblPr>
      <w:tblGrid>
        <w:gridCol w:w="200"/>
        <w:gridCol w:w="371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VESTING AND PERFORMANCE</w:t>
            </w:r>
          </w:p>
        </w:tc>
      </w:tr>
    </w:tbl>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The Restricted Stock Units shall vest in accordance with the vesting schedule set forth in the “Distribution Schedule” tab of the Participant’s Fidelity account at www.NetBenefits.Fidelity.com, and are subject to the provisions of these Standard Terms and Conditions. Upon vesting, one share of Stock shall be issuable for each Restricted Stock Unit that vests. Thereafter, the Company shall transfer such Stock to the Participant. Such transfer shall occur during the Participant’s tax year in which vesting occurs, as soon as practicable after the satisfaction of all required tax withholding obligations, securities law registration and other requirements, and applicable stock exchange listing. </w:t>
      </w:r>
    </w:p>
    <w:p>
      <w:pPr>
        <w:pStyle w:val="TextBody"/>
        <w:bidi w:val="0"/>
        <w:spacing w:lineRule="auto" w:line="285" w:before="240" w:after="240"/>
        <w:ind w:left="720" w:right="0" w:hanging="0"/>
        <w:jc w:val="left"/>
        <w:rPr>
          <w:rFonts w:ascii="Times New Roman;Times;serif" w:hAnsi="Times New Roman;Times;serif"/>
          <w:sz w:val="24"/>
        </w:rPr>
      </w:pPr>
      <w:r>
        <w:rPr>
          <w:rFonts w:ascii="Times New Roman;Times;serif" w:hAnsi="Times New Roman;Times;serif"/>
          <w:sz w:val="24"/>
        </w:rPr>
        <w:t>The Participant shall not acquire or have any rights as a shareholder of Avnet by virtue of these Standard Terms and Conditions (or the Award evidenced hereby) until the Stock issuable pursuant to this Award are actually issued and delivered to the Participant in accordance with the terms of the Plan and these Standard Terms and Conditions.</w:t>
      </w:r>
    </w:p>
    <w:tbl>
      <w:tblPr>
        <w:tblW w:w="5845" w:type="dxa"/>
        <w:jc w:val="left"/>
        <w:tblInd w:w="0" w:type="dxa"/>
        <w:tblLayout w:type="fixed"/>
        <w:tblCellMar>
          <w:top w:w="0" w:type="dxa"/>
          <w:left w:w="0" w:type="dxa"/>
          <w:bottom w:w="0" w:type="dxa"/>
          <w:right w:w="0" w:type="dxa"/>
        </w:tblCellMar>
      </w:tblPr>
      <w:tblGrid>
        <w:gridCol w:w="200"/>
        <w:gridCol w:w="564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56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TERMINATION OF EMPLOYMENT OR SERVICE</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4"/>
        </w:rPr>
        <w:t>Except as provided below with respect to death or Retirement (as such term is defined below),</w:t>
      </w:r>
      <w:r>
        <w:rPr>
          <w:rFonts w:ascii="Times New Roman;Times;serif" w:hAnsi="Times New Roman;Times;serif"/>
          <w:sz w:val="22"/>
        </w:rPr>
        <w:t xml:space="preserve"> or as otherwise provided in a Participant’s Change of Control Agreement (if any), </w:t>
      </w:r>
      <w:r>
        <w:rPr>
          <w:rFonts w:ascii="Times New Roman;Times;serif" w:hAnsi="Times New Roman;Times;serif"/>
          <w:sz w:val="24"/>
        </w:rPr>
        <w:t>if the Participant ceases to be employed by, or ceases providing services to, the Company for any reason before the Restricted Stock Units have vested pursuant to Paragraph 2, the Participant shall immediately forfeit all of the Restricted Stock Units without consideration therefor. This Section 3 shall apply to a Participant who has not provided services to the Company for twelve consecutive months due to long-term disability leave.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200"/>
        <w:gridCol w:w="95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DEATH </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If the Participant’s employment with the Company terminates by reason of the Participant’s death, the Restricted Stock Units shall become immediately and fully vested and payable, and one share of Stock shall be issued for each Restricted Stock Unit on a date determined by the Company, which date shall be no later than 90 days after the Participant’s death.</w:t>
      </w:r>
    </w:p>
    <w:tbl>
      <w:tblPr>
        <w:tblW w:w="1900" w:type="dxa"/>
        <w:jc w:val="left"/>
        <w:tblInd w:w="0" w:type="dxa"/>
        <w:tblLayout w:type="fixed"/>
        <w:tblCellMar>
          <w:top w:w="0" w:type="dxa"/>
          <w:left w:w="0" w:type="dxa"/>
          <w:bottom w:w="0" w:type="dxa"/>
          <w:right w:w="0" w:type="dxa"/>
        </w:tblCellMar>
      </w:tblPr>
      <w:tblGrid>
        <w:gridCol w:w="200"/>
        <w:gridCol w:w="170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w:t>
            </w:r>
          </w:p>
        </w:tc>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RETIREMENT</w:t>
            </w:r>
          </w:p>
        </w:tc>
      </w:tr>
    </w:tbl>
    <w:p>
      <w:pPr>
        <w:pStyle w:val="TextBody"/>
        <w:bidi w:val="0"/>
        <w:spacing w:lineRule="auto" w:line="285" w:before="0" w:after="240"/>
        <w:ind w:left="720" w:right="0" w:hanging="0"/>
        <w:jc w:val="left"/>
        <w:rPr>
          <w:rFonts w:ascii="Times New Roman;Times;serif" w:hAnsi="Times New Roman;Times;serif"/>
          <w:b w:val="false"/>
          <w:sz w:val="24"/>
        </w:rPr>
      </w:pPr>
      <w:r>
        <w:rPr>
          <w:rFonts w:ascii="Times New Roman;Times;serif" w:hAnsi="Times New Roman;Times;serif"/>
          <w:b w:val="false"/>
          <w:sz w:val="24"/>
        </w:rPr>
        <w:t xml:space="preserve">If the Participant’s employment or service with the Company terminates by reason of Retirement on or after the one-year anniversary of the Grant Date and before the Award has become fully vested, the Restricted Stock Unit shall continue to vest in accordance with the schedule prescribed by Paragraph 2 (subject to acceleration in the event of death pursuant to Paragraph 4). One share of Stock shall be delivered with respect to each vested Restricted Stock Unit at the time prescribed by Paragraph 2 or Paragraph 4, as applicable.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 </w:t>
      </w:r>
    </w:p>
    <w:tbl>
      <w:tblPr>
        <w:tblW w:w="1045" w:type="dxa"/>
        <w:jc w:val="left"/>
        <w:tblInd w:w="0" w:type="dxa"/>
        <w:tblLayout w:type="fixed"/>
        <w:tblCellMar>
          <w:top w:w="0" w:type="dxa"/>
          <w:left w:w="0" w:type="dxa"/>
          <w:bottom w:w="0" w:type="dxa"/>
          <w:right w:w="0" w:type="dxa"/>
        </w:tblCellMar>
      </w:tblPr>
      <w:tblGrid>
        <w:gridCol w:w="200"/>
        <w:gridCol w:w="84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TAXES</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The Participant acknowledges that Restricted Stock Units and the delivery of Stock following vesting of the Restricted Stock Units are subject to income and employment tax withholding obligations and that, in some cases, withholding obligations will arise before Stock is deliverable. The Participant shall make arrangements satisfactory to the Company for satisfying such withholding obligations. For Participants residing in the United States, Canada, Austria, Belgium, Ireland, Germany, Spain and the United Kingdom, the Company will issue “net shares,” meaning that Stock will be withheld to cover estimated withholding tax liability. Participants residing in other countries are subject to the laws of the appropriate tax jurisdiction. No provision of the Plan, the award letter, or these Standard Terms and Conditions shall be construed to transfer to the Company or any of its affiliates any responsibility of the Participant to pay any income, employment, excise, or other taxes attributable to a Restricted Stock Unit. </w:t>
      </w:r>
    </w:p>
    <w:tbl>
      <w:tblPr>
        <w:tblW w:w="6385" w:type="dxa"/>
        <w:jc w:val="left"/>
        <w:tblInd w:w="0" w:type="dxa"/>
        <w:tblLayout w:type="fixed"/>
        <w:tblCellMar>
          <w:top w:w="0" w:type="dxa"/>
          <w:left w:w="0" w:type="dxa"/>
          <w:bottom w:w="0" w:type="dxa"/>
          <w:right w:w="0" w:type="dxa"/>
        </w:tblCellMar>
      </w:tblPr>
      <w:tblGrid>
        <w:gridCol w:w="200"/>
        <w:gridCol w:w="618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w:t>
            </w:r>
          </w:p>
        </w:tc>
        <w:tc>
          <w:tcPr>
            <w:tcW w:w="61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PLAN; DEFINED TERMS; ENTIRE AGREEMENT</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award letter, these Standard Terms and Conditions, and the Plan constitute the entire understanding between the Participant and the Company regarding the Restricted Stock Units. Any prior agreements, commitments, or negotiations concerning the Restricted Stock Units are superseded.</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tbl>
      <w:tblPr>
        <w:tblW w:w="3670" w:type="dxa"/>
        <w:jc w:val="left"/>
        <w:tblInd w:w="0" w:type="dxa"/>
        <w:tblLayout w:type="fixed"/>
        <w:tblCellMar>
          <w:top w:w="0" w:type="dxa"/>
          <w:left w:w="0" w:type="dxa"/>
          <w:bottom w:w="0" w:type="dxa"/>
          <w:right w:w="0" w:type="dxa"/>
        </w:tblCellMar>
      </w:tblPr>
      <w:tblGrid>
        <w:gridCol w:w="200"/>
        <w:gridCol w:w="347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w:t>
            </w:r>
          </w:p>
        </w:tc>
        <w:tc>
          <w:tcPr>
            <w:tcW w:w="34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RESTRICTIONS ON RESALES</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Company may impose such restrictions, conditions, and limitations as it determines appropriate as to the timing and manner of any resales by the Participant or other subsequent transfers by the Participant of any Stock issued pursuant to the Restricted Stock Units, including (a) restrictions under an insider trading policy, (b) restrictions designed to delay and/or coordinate the timing and manner of sales by the Participant and other option holders, (c) requiring acknowledgment and acceptance of these Standard Terms and Conditions, and (d) restrictions as to the use of a specified brokerage firm for such resales or other transfers.</w:t>
      </w:r>
    </w:p>
    <w:tbl>
      <w:tblPr>
        <w:tblW w:w="1915" w:type="dxa"/>
        <w:jc w:val="left"/>
        <w:tblInd w:w="0" w:type="dxa"/>
        <w:tblLayout w:type="fixed"/>
        <w:tblCellMar>
          <w:top w:w="0" w:type="dxa"/>
          <w:left w:w="0" w:type="dxa"/>
          <w:bottom w:w="0" w:type="dxa"/>
          <w:right w:w="0" w:type="dxa"/>
        </w:tblCellMar>
      </w:tblPr>
      <w:tblGrid>
        <w:gridCol w:w="200"/>
        <w:gridCol w:w="171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409A</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These Standard Terms and Conditions shall be interpreted consistent with the intent to comply with, or be exempt from, the requirements of Section 409A of the Internal Revenue Code of 1986, as amended (“Code”), such that there are no adverse tax consequences, interest, or penalties as a result of any amount paid or payable as a result of the Award of the Restricted Stock Units. Any ambiguity or inconsistency in the provisions of these Standard Terms and Conditions shall be resolved consistent with such intent.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If, as of the Participant’s “separation from service” within the meaning of Section 409A(a)(2)(A)(i) of the Code, as determined by the Company, the Participant is a “specified employee” (as determined by the Company in accordance with its guidelines established pursuant to Treas. Reg. § 1.409A-1(i)), any amount payable to the Participant upon such separation from service shall be subject to the six (6) month delay required by Section 409A(a)(2)(B)(i) of the Code; provided however, that such six (6) month delay shall not be required with respect to any payment for which the payment event is not such separation from service or with respect to any payment that is not subject to Section 409A by reason of the “short-term deferral” rule described in Treas. Reg. § 1.409A-1(b)(4) or otherwise.</w:t>
      </w:r>
    </w:p>
    <w:tbl>
      <w:tblPr>
        <w:tblW w:w="2395" w:type="dxa"/>
        <w:jc w:val="left"/>
        <w:tblInd w:w="0" w:type="dxa"/>
        <w:tblLayout w:type="fixed"/>
        <w:tblCellMar>
          <w:top w:w="0" w:type="dxa"/>
          <w:left w:w="0" w:type="dxa"/>
          <w:bottom w:w="0" w:type="dxa"/>
          <w:right w:w="0" w:type="dxa"/>
        </w:tblCellMar>
      </w:tblPr>
      <w:tblGrid>
        <w:gridCol w:w="320"/>
        <w:gridCol w:w="207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10.</w:t>
            </w:r>
          </w:p>
        </w:tc>
        <w:tc>
          <w:tcPr>
            <w:tcW w:w="20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 ASSIGNMENT</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Restricted Stock Units granted under the Plan may not be sold, transferred, pledged, assigned, exchanged, encumbered, or otherwise alienated or hypothecated until the Restricted Stock Units have vested and the corresponding Stock have been issued, except to the limited extent permitted by the Plan and approved by the Administrator in its sole discretion.</w:t>
      </w:r>
    </w:p>
    <w:tbl>
      <w:tblPr>
        <w:tblW w:w="1555" w:type="dxa"/>
        <w:jc w:val="left"/>
        <w:tblInd w:w="0" w:type="dxa"/>
        <w:tblLayout w:type="fixed"/>
        <w:tblCellMar>
          <w:top w:w="0" w:type="dxa"/>
          <w:left w:w="0" w:type="dxa"/>
          <w:bottom w:w="0" w:type="dxa"/>
          <w:right w:w="0" w:type="dxa"/>
        </w:tblCellMar>
      </w:tblPr>
      <w:tblGrid>
        <w:gridCol w:w="320"/>
        <w:gridCol w:w="123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11.</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GENERAL</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headings preceding the text of the sections hereof are inserted solely for convenience of reference, and shall not constitute a part of these Standard Terms and Conditions, nor shall they affect its meaning, construction, or effect.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These Standard Terms and Conditions shall inure to the benefit of and be binding upon the parties hereto and their respective permitted heirs, beneficiaries, successors, and assigns.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Participant acknowledges that a copy of the Plan, the Plan prospectus, and Avnet’s most recent annual report to its shareholders has been delivered or made available to the Participant.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Nothing in the Plan, the award letter,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Neither this Award nor any Stock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Plan, the award letter, and these Standard Terms and Conditions shall be governed, construed, interpreted, and administered solely in accordance with the laws of the state of New York, without regard to principles of conflicts of law.</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award letter, and these Standard Terms and Conditions; all such determinations shall be binding upon the Participant.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61" w:name="avt-20260627xex10d13b.htm"/>
      <w:bookmarkStart w:id="1662" w:name="ksavt20260627xex10d13b"/>
      <w:bookmarkEnd w:id="1661"/>
      <w:bookmarkEnd w:id="1662"/>
      <w:r>
        <w:rPr>
          <w:rFonts w:ascii="Times New Roman;Times;serif" w:hAnsi="Times New Roman;Times;serif"/>
          <w:b/>
          <w:sz w:val="24"/>
        </w:rPr>
        <w:t>Exhibit 10.13(b)</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AVNET, INC.</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2025 STOCK COMPENSATION AND INCENTIVE PLAN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GRANT OF</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PERFORMANCE SHARE UNITS</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Avnet, Inc. (“Avnet”) hereby grants to the holder listed below (“Participant”) an award of performance share units (“PSUs”) pursuant to the </w:t>
      </w:r>
      <w:r>
        <w:rPr>
          <w:rFonts w:ascii="12" w:hAnsi="12"/>
          <w:sz w:val="24"/>
        </w:rPr>
        <w:t>Avnet, Inc. 2025 Stock Compensation and Incentive Plan</w:t>
      </w:r>
      <w:r>
        <w:rPr>
          <w:rFonts w:ascii="Times New Roman;Times;serif" w:hAnsi="Times New Roman;Times;serif"/>
          <w:sz w:val="24"/>
        </w:rPr>
        <w:t xml:space="preserve"> (“Award”). The Award shall entitle the Participant to earn a number of shares of Avnet’s common stock ranging from 0% - 200% of the Award’s Target Number of PSUs set forth below, based on the attainment of performance goals and subject to the satisfaction of continued employment requirements, each as described in the attached Standard Terms and Conditions for Performance Share Units (“Standard Terms and Conditions”). </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1. Participant: </w:t>
      </w:r>
      <w:r>
        <w:rPr>
          <w:rFonts w:ascii="Times New Roman;Times;serif" w:hAnsi="Times New Roman;Times;serif"/>
          <w:b/>
          <w:sz w:val="24"/>
        </w:rPr>
        <w:t>(Participant Name)</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2. Grant Date: </w:t>
      </w:r>
      <w:r>
        <w:rPr>
          <w:rFonts w:ascii="Times New Roman;Times;serif" w:hAnsi="Times New Roman;Times;serif"/>
          <w:b/>
          <w:sz w:val="24"/>
        </w:rPr>
        <w:t xml:space="preserve">(Grant Date) </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3. Award’s Target Number of PSUs: </w:t>
      </w:r>
      <w:r>
        <w:rPr>
          <w:rFonts w:ascii="Times New Roman;Times;serif" w:hAnsi="Times New Roman;Times;serif"/>
          <w:b/>
          <w:sz w:val="24"/>
        </w:rPr>
        <w:t xml:space="preserve">(Quantity Granted) at Target </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4. Performance Periods and Metrics: </w:t>
      </w:r>
      <w:bookmarkStart w:id="1663" w:name="_Hlk114140714"/>
      <w:bookmarkEnd w:id="1663"/>
      <w:r>
        <w:rPr>
          <w:rFonts w:ascii="Times New Roman;Times;serif" w:hAnsi="Times New Roman;Times;serif"/>
          <w:sz w:val="24"/>
        </w:rPr>
        <w:t xml:space="preserve">The Award is divided into three tranches, each with a target number of PSUs and a separate performance period as follows: </w:t>
      </w:r>
    </w:p>
    <w:p>
      <w:pPr>
        <w:pStyle w:val="TextBody"/>
        <w:bidi w:val="0"/>
        <w:spacing w:lineRule="auto" w:line="285" w:before="0" w:after="0"/>
        <w:ind w:left="0" w:right="0" w:hanging="0"/>
        <w:jc w:val="left"/>
        <w:rPr/>
      </w:pPr>
      <w:r>
        <w:rPr/>
        <w:t>​</w:t>
      </w:r>
    </w:p>
    <w:tbl>
      <w:tblPr>
        <w:tblW w:w="6108" w:type="dxa"/>
        <w:jc w:val="left"/>
        <w:tblInd w:w="0" w:type="dxa"/>
        <w:tblLayout w:type="fixed"/>
        <w:tblCellMar>
          <w:top w:w="28" w:type="dxa"/>
          <w:left w:w="103" w:type="dxa"/>
          <w:bottom w:w="28" w:type="dxa"/>
          <w:right w:w="103" w:type="dxa"/>
        </w:tblCellMar>
      </w:tblPr>
      <w:tblGrid>
        <w:gridCol w:w="1666"/>
        <w:gridCol w:w="2161"/>
        <w:gridCol w:w="2281"/>
      </w:tblGrid>
      <w:tr>
        <w:trPr/>
        <w:tc>
          <w:tcPr>
            <w:tcW w:w="166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Tranche:</w:t>
            </w:r>
          </w:p>
        </w:tc>
        <w:tc>
          <w:tcPr>
            <w:tcW w:w="216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Target No. of PSUs:</w:t>
            </w:r>
          </w:p>
        </w:tc>
        <w:tc>
          <w:tcPr>
            <w:tcW w:w="228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Performance Period:</w:t>
            </w:r>
          </w:p>
        </w:tc>
      </w:tr>
      <w:tr>
        <w:trPr/>
        <w:tc>
          <w:tcPr>
            <w:tcW w:w="16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First Tranche</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(VestQty1)</w:t>
            </w:r>
          </w:p>
        </w:tc>
        <w:tc>
          <w:tcPr>
            <w:tcW w:w="2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Fiscal Year xxxx</w:t>
            </w:r>
          </w:p>
        </w:tc>
      </w:tr>
      <w:tr>
        <w:trPr/>
        <w:tc>
          <w:tcPr>
            <w:tcW w:w="16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Second Tranche</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(VestQty2)</w:t>
            </w:r>
          </w:p>
        </w:tc>
        <w:tc>
          <w:tcPr>
            <w:tcW w:w="2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Fiscal Year xxxx</w:t>
            </w:r>
          </w:p>
        </w:tc>
      </w:tr>
      <w:tr>
        <w:trPr/>
        <w:tc>
          <w:tcPr>
            <w:tcW w:w="16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Third Tranche</w:t>
            </w:r>
          </w:p>
        </w:tc>
        <w:tc>
          <w:tcPr>
            <w:tcW w:w="21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(VestQty3)</w:t>
            </w:r>
          </w:p>
        </w:tc>
        <w:tc>
          <w:tcPr>
            <w:tcW w:w="22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Fiscal Year xxxx</w:t>
            </w:r>
          </w:p>
        </w:tc>
      </w:tr>
    </w:tbl>
    <w:p>
      <w:pPr>
        <w:pStyle w:val="TextBody"/>
        <w:bidi w:val="0"/>
        <w:spacing w:lineRule="auto" w:line="285" w:before="240" w:after="0"/>
        <w:ind w:left="0" w:right="0" w:hanging="0"/>
        <w:jc w:val="both"/>
        <w:rPr>
          <w:rFonts w:ascii="Times New Roman;Times;serif" w:hAnsi="Times New Roman;Times;serif"/>
          <w:sz w:val="24"/>
        </w:rPr>
      </w:pPr>
      <w:r>
        <w:rPr>
          <w:rFonts w:ascii="Times New Roman;Times;serif" w:hAnsi="Times New Roman;Times;serif"/>
          <w:sz w:val="24"/>
        </w:rPr>
        <w:t xml:space="preserve">PSUs earned under each tranche of the Award will be based on Avnet’s achievement of the following performance metrics for the applicable performance period: (i) Absolute Adjusted EPS Growth (weighted 50%) and (ii) Absolute Adjusted Return on Invested Capital (ROIC) Achievement (weighted 50%) in accordance with the goals set forth in Section 2 of the attached Standard Terms and Conditions. </w:t>
      </w:r>
    </w:p>
    <w:p>
      <w:pPr>
        <w:pStyle w:val="TextBody"/>
        <w:bidi w:val="0"/>
        <w:spacing w:lineRule="auto" w:line="285" w:before="240" w:after="0"/>
        <w:ind w:left="0" w:right="0" w:hanging="0"/>
        <w:jc w:val="both"/>
        <w:rPr>
          <w:rFonts w:ascii="Times New Roman;Times;serif" w:hAnsi="Times New Roman;Times;serif"/>
          <w:sz w:val="24"/>
        </w:rPr>
      </w:pPr>
      <w:r>
        <w:rPr>
          <w:rFonts w:ascii="Times New Roman;Times;serif" w:hAnsi="Times New Roman;Times;serif"/>
          <w:sz w:val="24"/>
        </w:rPr>
        <w:t>5. Relative TSR Modifier: The number of PSUs earned under each tranche of the Award will be adjusted within a range of plus 20% to minus 20% based on Avnet’s Relative TSR performance for the applicable performance period (“Relative TSR Modifier”), not to exceed the maximum number of PSUs noted below.</w:t>
      </w:r>
    </w:p>
    <w:p>
      <w:pPr>
        <w:pStyle w:val="TextBody"/>
        <w:bidi w:val="0"/>
        <w:spacing w:lineRule="auto" w:line="285" w:before="240" w:after="0"/>
        <w:ind w:left="0" w:right="0" w:hanging="0"/>
        <w:jc w:val="both"/>
        <w:rPr>
          <w:rFonts w:ascii="Times New Roman;Times;serif" w:hAnsi="Times New Roman;Times;serif"/>
          <w:sz w:val="24"/>
        </w:rPr>
      </w:pPr>
      <w:r>
        <w:rPr>
          <w:rFonts w:ascii="Times New Roman;Times;serif" w:hAnsi="Times New Roman;Times;serif"/>
          <w:sz w:val="24"/>
        </w:rPr>
        <w:t>6. Maximum Number of PSUs: After applying the Relative TSR Modifier, 200% of the Target Number of PSUs for each tranche.</w:t>
      </w:r>
    </w:p>
    <w:p>
      <w:pPr>
        <w:pStyle w:val="TextBody"/>
        <w:bidi w:val="0"/>
        <w:spacing w:lineRule="auto" w:line="285" w:before="240" w:after="0"/>
        <w:ind w:left="0" w:right="0" w:hanging="0"/>
        <w:jc w:val="both"/>
        <w:rPr>
          <w:rFonts w:ascii="Times New Roman;Times;serif" w:hAnsi="Times New Roman;Times;serif"/>
          <w:sz w:val="24"/>
        </w:rPr>
      </w:pPr>
      <w:r>
        <w:rPr>
          <w:rFonts w:ascii="Times New Roman;Times;serif" w:hAnsi="Times New Roman;Times;serif"/>
          <w:sz w:val="24"/>
        </w:rPr>
        <w:t xml:space="preserve">7. Award Period: The Award Period is from xxxx to xxxx, and PSUs earned, if any, during each tranche will vest after the end of the Award Period on the date of certification of the performance results of the third tranche by the Compensation and Leadership Committee of Avnet’s Board of Directors.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12" w:hAnsi="12"/>
          <w:b/>
          <w:sz w:val="22"/>
        </w:rPr>
      </w:pPr>
      <w:r>
        <w:rPr>
          <w:rFonts w:ascii="12" w:hAnsi="12"/>
          <w:b/>
          <w:sz w:val="22"/>
        </w:rPr>
        <w:t>AVNET, INC.</w:t>
      </w:r>
    </w:p>
    <w:p>
      <w:pPr>
        <w:pStyle w:val="TextBody"/>
        <w:bidi w:val="0"/>
        <w:spacing w:lineRule="auto" w:line="285" w:before="0" w:after="240"/>
        <w:ind w:left="0" w:right="0" w:hanging="0"/>
        <w:jc w:val="center"/>
        <w:rPr>
          <w:rFonts w:ascii="12" w:hAnsi="12"/>
          <w:b/>
          <w:sz w:val="22"/>
        </w:rPr>
      </w:pPr>
      <w:r>
        <w:rPr>
          <w:rFonts w:ascii="12" w:hAnsi="12"/>
          <w:b/>
          <w:sz w:val="22"/>
        </w:rPr>
        <w:t>2025 STOCK COMPENSATION AND INCENTIVE PLAN</w:t>
      </w:r>
    </w:p>
    <w:p>
      <w:pPr>
        <w:pStyle w:val="TextBody"/>
        <w:bidi w:val="0"/>
        <w:spacing w:lineRule="auto" w:line="285" w:before="0" w:after="0"/>
        <w:ind w:left="0" w:right="0" w:hanging="0"/>
        <w:jc w:val="center"/>
        <w:rPr>
          <w:rFonts w:ascii="12" w:hAnsi="12"/>
          <w:b/>
          <w:sz w:val="22"/>
        </w:rPr>
      </w:pPr>
      <w:r>
        <w:rPr>
          <w:rFonts w:ascii="12" w:hAnsi="12"/>
          <w:b/>
          <w:sz w:val="22"/>
        </w:rPr>
        <w:t>STANDARD TERMS AND CONDITIONS FOR</w:t>
      </w:r>
    </w:p>
    <w:p>
      <w:pPr>
        <w:pStyle w:val="TextBody"/>
        <w:bidi w:val="0"/>
        <w:spacing w:lineRule="auto" w:line="285" w:before="0" w:after="240"/>
        <w:ind w:left="0" w:right="0" w:hanging="0"/>
        <w:jc w:val="center"/>
        <w:rPr>
          <w:rFonts w:ascii="12" w:hAnsi="12"/>
          <w:b/>
          <w:sz w:val="22"/>
        </w:rPr>
      </w:pPr>
      <w:r>
        <w:rPr>
          <w:rFonts w:ascii="12" w:hAnsi="12"/>
          <w:b/>
          <w:sz w:val="22"/>
        </w:rPr>
        <w:t>PERFORMANCE SHARE UNIT AWARDS</w:t>
      </w:r>
    </w:p>
    <w:p>
      <w:pPr>
        <w:pStyle w:val="TextBody"/>
        <w:bidi w:val="0"/>
        <w:spacing w:lineRule="auto" w:line="285" w:before="0" w:after="0"/>
        <w:ind w:left="0" w:right="0" w:hanging="0"/>
        <w:jc w:val="center"/>
        <w:rPr>
          <w:rFonts w:ascii="12" w:hAnsi="12"/>
          <w:b/>
          <w:sz w:val="22"/>
        </w:rPr>
      </w:pPr>
      <w:r>
        <w:rPr>
          <w:rFonts w:ascii="12" w:hAnsi="12"/>
          <w:b/>
          <w:sz w:val="22"/>
        </w:rPr>
        <w:t xml:space="preserve">AWARD PERIOD: FISCAL xxxx - FISCAL xxxx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These Standard Terms and Conditions for Performance Share Unit awards (“Standard Terms and Conditions”) apply to any performance share unit (“PSU”) award (“PSU Award”) granted under the Avnet, Inc. 2025 Stock Compensation and Incentive Plan (the “Plan”) for the award period of Fiscal xxxx through Fiscal xxxx (“Award Period”) that are identified as performance share units, performance stock units or PSUs, or an action of the Administrator that refers to these Standard Terms and Conditions. </w:t>
      </w:r>
    </w:p>
    <w:tbl>
      <w:tblPr>
        <w:tblW w:w="2935" w:type="dxa"/>
        <w:jc w:val="left"/>
        <w:tblInd w:w="0" w:type="dxa"/>
        <w:tblLayout w:type="fixed"/>
        <w:tblCellMar>
          <w:top w:w="0" w:type="dxa"/>
          <w:left w:w="0" w:type="dxa"/>
          <w:bottom w:w="0" w:type="dxa"/>
          <w:right w:w="0" w:type="dxa"/>
        </w:tblCellMar>
      </w:tblPr>
      <w:tblGrid>
        <w:gridCol w:w="200"/>
        <w:gridCol w:w="2735"/>
      </w:tblGrid>
      <w:tr>
        <w:trPr/>
        <w:tc>
          <w:tcPr>
            <w:tcW w:w="200" w:type="dxa"/>
            <w:tcBorders/>
            <w:vAlign w:val="center"/>
          </w:tcPr>
          <w:p>
            <w:pPr>
              <w:pStyle w:val="TableContents"/>
              <w:bidi w:val="0"/>
              <w:spacing w:lineRule="auto" w:line="285" w:before="240" w:after="240"/>
              <w:jc w:val="both"/>
              <w:rPr>
                <w:rFonts w:ascii="Times New Roman;Times;serif" w:hAnsi="Times New Roman;Times;serif"/>
                <w:b/>
                <w:sz w:val="22"/>
              </w:rPr>
            </w:pPr>
            <w:r>
              <w:rPr>
                <w:rFonts w:ascii="Times New Roman;Times;serif" w:hAnsi="Times New Roman;Times;serif"/>
                <w:b/>
                <w:sz w:val="22"/>
              </w:rPr>
              <w:t>1.</w:t>
            </w:r>
          </w:p>
        </w:tc>
        <w:tc>
          <w:tcPr>
            <w:tcW w:w="2735" w:type="dxa"/>
            <w:tcBorders/>
            <w:vAlign w:val="center"/>
          </w:tcPr>
          <w:p>
            <w:pPr>
              <w:pStyle w:val="TableContents"/>
              <w:bidi w:val="0"/>
              <w:spacing w:lineRule="auto" w:line="285" w:before="240" w:after="240"/>
              <w:jc w:val="both"/>
              <w:rPr>
                <w:rFonts w:ascii="Times New Roman;Times;serif" w:hAnsi="Times New Roman;Times;serif"/>
                <w:b/>
                <w:sz w:val="22"/>
              </w:rPr>
            </w:pPr>
            <w:r>
              <w:rPr>
                <w:rFonts w:ascii="Times New Roman;Times;serif" w:hAnsi="Times New Roman;Times;serif"/>
                <w:b/>
                <w:sz w:val="22"/>
              </w:rPr>
              <w:t>TERMS OF PSU AWARDS</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Provided that the Participant has accepted these Standard Terms and Conditions on or before (Accept by Date), Avnet, Inc. (“Avnet” or “Company”) has granted to the Participant a PSU Award as set forth in the Grant of Performance Share Units Letter (“Grant Letter”), subject to the conditions set forth in these Standard Terms and Conditions and the Plan (“Award”). For purposes of these Standard Terms and Conditions, the term “Company” refers to Avnet, Inc. and its subsidiaries.</w:t>
      </w:r>
    </w:p>
    <w:tbl>
      <w:tblPr>
        <w:tblW w:w="5755" w:type="dxa"/>
        <w:jc w:val="left"/>
        <w:tblInd w:w="0" w:type="dxa"/>
        <w:tblLayout w:type="fixed"/>
        <w:tblCellMar>
          <w:top w:w="0" w:type="dxa"/>
          <w:left w:w="0" w:type="dxa"/>
          <w:bottom w:w="0" w:type="dxa"/>
          <w:right w:w="0" w:type="dxa"/>
        </w:tblCellMar>
      </w:tblPr>
      <w:tblGrid>
        <w:gridCol w:w="200"/>
        <w:gridCol w:w="5555"/>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w:t>
            </w:r>
          </w:p>
        </w:tc>
        <w:tc>
          <w:tcPr>
            <w:tcW w:w="55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EARNING, VESTING, AND PERFORMANCE GOALS</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Award is divided into three tranches (each a “Tranche”), each with a Target Number of PSUs and a discrete performance period (“Performance Period”) as set forth in the Grant Letter. The number of PSUs that will be earned under each Tranche shall be calculated at the end of each applicable Performance Period based on Avnet’s achievement during the Performance Period of the performance goals (noted below) under the following metrics: (i) Absolute Adjusted Earnings Per Share (EPS) Growth, weighted 50% of Award; and (ii) Absolute Adjusted Return on Invested Capital Achievement, weighted 50% of Award, both adjusted based on Avnet’s Relative Total Shareholder Return (“TSR”) performance during the Performance Period. The maximum number of PSUs that can be earned under each Tranche, after adjustment due to the Relative TSR modifier, is 200% of the Target Number of PSUs for the applicable Tranche.</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PSUs earned under each Tranche shall collectively vest after the end of the Award Period, which is xxxx, on the date of certification of results of the third tranche by the Compensation and Leadership Committee of Avnet’s Board of Directors (“the Committee”). Except as set forth elsewhere in these Standard Terms and Conditions, the vesting of the earned PSUs is subject to the Participant remaining continuously employed by, or in the service of, the Company from the Grant Date through the last day of the Award Period. </w:t>
      </w:r>
    </w:p>
    <w:p>
      <w:pPr>
        <w:pStyle w:val="TextBody"/>
        <w:bidi w:val="0"/>
        <w:spacing w:lineRule="auto" w:line="285" w:before="0" w:after="240"/>
        <w:ind w:left="720" w:right="0" w:hanging="0"/>
        <w:jc w:val="both"/>
        <w:rPr>
          <w:rFonts w:ascii="Times New Roman;Times;serif" w:hAnsi="Times New Roman;Times;serif"/>
          <w:sz w:val="22"/>
        </w:rPr>
      </w:pPr>
      <w:r>
        <w:rPr>
          <w:rFonts w:ascii="Times New Roman;Times;serif" w:hAnsi="Times New Roman;Times;serif"/>
          <w:sz w:val="22"/>
        </w:rPr>
        <w:t>For purposes hereof:</w:t>
      </w:r>
    </w:p>
    <w:p>
      <w:pPr>
        <w:pStyle w:val="TextBody"/>
        <w:bidi w:val="0"/>
        <w:spacing w:lineRule="auto" w:line="285" w:before="0" w:after="240"/>
        <w:ind w:left="720" w:right="0" w:hanging="0"/>
        <w:jc w:val="left"/>
        <w:rPr/>
      </w:pPr>
      <w:r>
        <w:rPr/>
        <w:t>●“</w:t>
      </w:r>
      <w:r>
        <w:rPr>
          <w:rFonts w:ascii="Times New Roman;Times;serif" w:hAnsi="Times New Roman;Times;serif"/>
          <w:b/>
          <w:sz w:val="22"/>
        </w:rPr>
        <w:t>Absolute Adjusted EPS Growth</w:t>
      </w:r>
      <w:r>
        <w:rPr>
          <w:rFonts w:ascii="Times New Roman;Times;serif" w:hAnsi="Times New Roman;Times;serif"/>
          <w:sz w:val="24"/>
        </w:rPr>
        <w:t xml:space="preserve"> </w:t>
      </w:r>
      <w:r>
        <w:rPr>
          <w:rFonts w:ascii="Times New Roman;Times;serif" w:hAnsi="Times New Roman;Times;serif"/>
          <w:sz w:val="22"/>
        </w:rPr>
        <w:t>means Avnet’s adjusted EPS growth achievement. The target for the first tranche for fiscal year xxxx is xx%. The target for the second tranche for fiscal year xxxx will be communicated in August xxxx after approval by the Committee and the target for the third tranche for fiscal year xxxx will be communicated in August xxxx after the Committee’s approval.</w:t>
      </w:r>
    </w:p>
    <w:p>
      <w:pPr>
        <w:pStyle w:val="TextBody"/>
        <w:bidi w:val="0"/>
        <w:spacing w:lineRule="auto" w:line="285" w:before="0" w:after="240"/>
        <w:ind w:left="720" w:right="0" w:hanging="0"/>
        <w:jc w:val="left"/>
        <w:rPr/>
      </w:pPr>
      <w:r>
        <w:rPr/>
        <w:t>●“</w:t>
      </w:r>
      <w:r>
        <w:rPr>
          <w:rFonts w:ascii="Times New Roman;Times;serif" w:hAnsi="Times New Roman;Times;serif"/>
          <w:b/>
          <w:sz w:val="22"/>
        </w:rPr>
        <w:t>Absolute</w:t>
      </w:r>
      <w:r>
        <w:rPr>
          <w:rFonts w:ascii="Times New Roman;Times;serif" w:hAnsi="Times New Roman;Times;serif"/>
          <w:sz w:val="24"/>
        </w:rPr>
        <w:t xml:space="preserve"> </w:t>
      </w:r>
      <w:r>
        <w:rPr>
          <w:rFonts w:ascii="Times New Roman;Times;serif" w:hAnsi="Times New Roman;Times;serif"/>
          <w:b/>
          <w:sz w:val="22"/>
        </w:rPr>
        <w:t xml:space="preserve">Adjusted Return on Invested Capital (ROIC) </w:t>
      </w:r>
      <w:r>
        <w:rPr>
          <w:rFonts w:ascii="Times New Roman;Times;serif" w:hAnsi="Times New Roman;Times;serif"/>
          <w:sz w:val="22"/>
        </w:rPr>
        <w:t>means Avnet achieving a target ROIC. The target for the first tranche for fiscal year xxxx is x%. The target for the second tranche for fiscal year xxxx will be communicated in August xxxx after approval by the Committee and the target for the third tranche for fiscal year xxxx will be communicated in August xxxx after the Committee’s approval.</w:t>
      </w:r>
    </w:p>
    <w:p>
      <w:pPr>
        <w:pStyle w:val="HorizontalLine"/>
        <w:pBdr>
          <w:bottom w:val="double" w:sz="2" w:space="0" w:color="808080"/>
        </w:pBdr>
        <w:bidi w:val="0"/>
        <w:spacing w:before="0" w:after="283"/>
        <w:jc w:val="left"/>
        <w:rPr/>
      </w:pPr>
      <w:r>
        <w:rPr/>
      </w:r>
    </w:p>
    <w:p>
      <w:pPr>
        <w:pStyle w:val="TextBody"/>
        <w:bidi w:val="0"/>
        <w:spacing w:lineRule="auto" w:line="285"/>
        <w:ind w:left="720" w:right="0" w:hanging="0"/>
        <w:jc w:val="both"/>
        <w:rPr/>
      </w:pPr>
      <w:r>
        <w:rPr/>
        <w:t>●“</w:t>
      </w:r>
      <w:r>
        <w:rPr>
          <w:rFonts w:ascii="Times New Roman;Times;serif" w:hAnsi="Times New Roman;Times;serif"/>
          <w:b/>
          <w:sz w:val="22"/>
        </w:rPr>
        <w:t>Adjusted ROIC”</w:t>
      </w:r>
      <w:r>
        <w:rPr>
          <w:rFonts w:ascii="Times New Roman;Times;serif" w:hAnsi="Times New Roman;Times;serif"/>
          <w:sz w:val="24"/>
        </w:rPr>
        <w:t xml:space="preserve"> </w:t>
      </w:r>
      <w:r>
        <w:rPr>
          <w:rFonts w:ascii="Times New Roman;Times;serif" w:hAnsi="Times New Roman;Times;serif"/>
          <w:sz w:val="22"/>
        </w:rPr>
        <w:t xml:space="preserve">means the amount calculated using the following formula: </w:t>
      </w:r>
    </w:p>
    <w:p>
      <w:pPr>
        <w:pStyle w:val="TextBody"/>
        <w:bidi w:val="0"/>
        <w:spacing w:lineRule="auto" w:line="285" w:before="0" w:after="0"/>
        <w:ind w:left="1080" w:right="0" w:hanging="0"/>
        <w:jc w:val="center"/>
        <w:rPr>
          <w:rFonts w:ascii="Times New Roman;Times;serif" w:hAnsi="Times New Roman;Times;serif"/>
          <w:sz w:val="22"/>
          <w:u w:val="single"/>
        </w:rPr>
      </w:pPr>
      <w:r>
        <w:rPr>
          <w:rFonts w:ascii="Times New Roman;Times;serif" w:hAnsi="Times New Roman;Times;serif"/>
          <w:sz w:val="22"/>
          <w:u w:val="single"/>
        </w:rPr>
        <w:t>Adjusted Operating Income - adjusted effective tax rate for a fiscal year</w:t>
      </w:r>
    </w:p>
    <w:p>
      <w:pPr>
        <w:pStyle w:val="TextBody"/>
        <w:bidi w:val="0"/>
        <w:spacing w:lineRule="auto" w:line="285" w:before="0" w:after="240"/>
        <w:ind w:left="720" w:right="0" w:hanging="0"/>
        <w:jc w:val="center"/>
        <w:rPr>
          <w:rFonts w:ascii="Times New Roman;Times;serif" w:hAnsi="Times New Roman;Times;serif"/>
          <w:sz w:val="22"/>
        </w:rPr>
      </w:pPr>
      <w:r>
        <w:rPr>
          <w:rFonts w:ascii="Times New Roman;Times;serif" w:hAnsi="Times New Roman;Times;serif"/>
          <w:sz w:val="22"/>
        </w:rPr>
        <w:t>Average Total Shareholder Equity + average debt - average cash and cash equivalents for a fiscal year</w:t>
      </w:r>
    </w:p>
    <w:p>
      <w:pPr>
        <w:pStyle w:val="TextBody"/>
        <w:bidi w:val="0"/>
        <w:spacing w:lineRule="auto" w:line="285" w:before="0" w:after="240"/>
        <w:ind w:left="720" w:right="0" w:hanging="0"/>
        <w:jc w:val="both"/>
        <w:rPr/>
      </w:pPr>
      <w:r>
        <w:rPr/>
        <w:t>●“</w:t>
      </w:r>
      <w:r>
        <w:rPr>
          <w:rFonts w:ascii="Times New Roman;Times;serif" w:hAnsi="Times New Roman;Times;serif"/>
          <w:b/>
          <w:sz w:val="22"/>
        </w:rPr>
        <w:t>Relative TSR”</w:t>
      </w:r>
      <w:r>
        <w:rPr>
          <w:rFonts w:ascii="Times New Roman;Times;serif" w:hAnsi="Times New Roman;Times;serif"/>
          <w:sz w:val="24"/>
        </w:rPr>
        <w:t xml:space="preserve"> </w:t>
      </w:r>
      <w:r>
        <w:rPr>
          <w:rFonts w:ascii="Times New Roman;Times;serif" w:hAnsi="Times New Roman;Times;serif"/>
          <w:sz w:val="22"/>
        </w:rPr>
        <w:t>means the TSR ranking of Avnet compared to that of each company in the Peer Group for a fiscal year.</w:t>
      </w:r>
    </w:p>
    <w:p>
      <w:pPr>
        <w:pStyle w:val="TextBody"/>
        <w:bidi w:val="0"/>
        <w:spacing w:lineRule="auto" w:line="285" w:before="0" w:after="240"/>
        <w:ind w:left="720" w:right="0" w:hanging="0"/>
        <w:jc w:val="both"/>
        <w:rPr/>
      </w:pPr>
      <w:r>
        <w:rPr/>
        <w:t>●</w:t>
      </w:r>
      <w:bookmarkStart w:id="1664" w:name="_Hlk114152826"/>
      <w:bookmarkEnd w:id="1664"/>
      <w:r>
        <w:rPr/>
        <w:t>“</w:t>
      </w:r>
      <w:r>
        <w:rPr>
          <w:rFonts w:ascii="Times New Roman;Times;serif" w:hAnsi="Times New Roman;Times;serif"/>
          <w:b/>
          <w:sz w:val="22"/>
        </w:rPr>
        <w:t>Peer Group”</w:t>
      </w:r>
      <w:r>
        <w:rPr>
          <w:rFonts w:ascii="Times New Roman;Times;serif" w:hAnsi="Times New Roman;Times;serif"/>
          <w:sz w:val="24"/>
        </w:rPr>
        <w:t xml:space="preserve"> </w:t>
      </w:r>
      <w:r>
        <w:rPr>
          <w:rFonts w:ascii="Times New Roman;Times;serif" w:hAnsi="Times New Roman;Times;serif"/>
          <w:sz w:val="22"/>
        </w:rPr>
        <w:t>means the following companies: xxxxxxxx  In the event any of the companies listed in the Peer Group cease to be publicly traded during the relevant Performance Period, the Company reserves the right to replace that company or reduce the size of the Peer Group</w:t>
      </w:r>
      <w:r>
        <w:rPr>
          <w:rFonts w:ascii="Times New Roman;Times;serif" w:hAnsi="Times New Roman;Times;serif"/>
          <w:sz w:val="24"/>
        </w:rPr>
        <w:t>.</w:t>
      </w:r>
    </w:p>
    <w:p>
      <w:pPr>
        <w:pStyle w:val="TextBody"/>
        <w:bidi w:val="0"/>
        <w:spacing w:lineRule="auto" w:line="285"/>
        <w:ind w:left="720" w:right="0" w:hanging="0"/>
        <w:jc w:val="left"/>
        <w:rPr/>
      </w:pPr>
      <w:r>
        <w:rPr/>
        <w:t>●“</w:t>
      </w:r>
      <w:r>
        <w:rPr>
          <w:rFonts w:ascii="Times New Roman;Times;serif" w:hAnsi="Times New Roman;Times;serif"/>
          <w:b/>
          <w:sz w:val="22"/>
        </w:rPr>
        <w:t>Total Shareholder Return” or “TSR”</w:t>
      </w:r>
      <w:r>
        <w:rPr>
          <w:rFonts w:ascii="Times New Roman;Times;serif" w:hAnsi="Times New Roman;Times;serif"/>
          <w:sz w:val="24"/>
        </w:rPr>
        <w:t xml:space="preserve"> </w:t>
      </w:r>
      <w:r>
        <w:rPr>
          <w:rFonts w:ascii="Times New Roman;Times;serif" w:hAnsi="Times New Roman;Times;serif"/>
          <w:sz w:val="22"/>
        </w:rPr>
        <w:t>means the percentage calculated using the following formula:</w:t>
      </w:r>
    </w:p>
    <w:p>
      <w:pPr>
        <w:pStyle w:val="TextBody"/>
        <w:bidi w:val="0"/>
        <w:spacing w:lineRule="auto" w:line="285" w:before="0" w:after="0"/>
        <w:ind w:left="1080" w:right="0" w:hanging="0"/>
        <w:jc w:val="center"/>
        <w:rPr>
          <w:rFonts w:ascii="Times New Roman;Times;serif" w:hAnsi="Times New Roman;Times;serif"/>
          <w:sz w:val="22"/>
          <w:u w:val="single"/>
        </w:rPr>
      </w:pPr>
      <w:r>
        <w:rPr>
          <w:rFonts w:ascii="Times New Roman;Times;serif" w:hAnsi="Times New Roman;Times;serif"/>
          <w:sz w:val="22"/>
          <w:u w:val="single"/>
        </w:rPr>
        <w:t>Average stock price at end of period – average stock price at start of period + dividends</w:t>
      </w:r>
    </w:p>
    <w:p>
      <w:pPr>
        <w:pStyle w:val="TextBody"/>
        <w:pBdr/>
        <w:bidi w:val="0"/>
        <w:spacing w:lineRule="auto" w:line="285" w:before="0" w:after="240"/>
        <w:ind w:left="720" w:right="0" w:hanging="360"/>
        <w:jc w:val="center"/>
        <w:rPr>
          <w:rFonts w:ascii="Times New Roman;Times;serif" w:hAnsi="Times New Roman;Times;serif"/>
          <w:sz w:val="22"/>
        </w:rPr>
      </w:pPr>
      <w:r>
        <w:rPr>
          <w:rFonts w:ascii="Times New Roman;Times;serif" w:hAnsi="Times New Roman;Times;serif"/>
          <w:sz w:val="22"/>
        </w:rPr>
        <w:t>Average stock price at start of period</w:t>
      </w:r>
    </w:p>
    <w:p>
      <w:pPr>
        <w:pStyle w:val="TextBody"/>
        <w:bidi w:val="0"/>
        <w:spacing w:lineRule="auto" w:line="285" w:before="0" w:after="240"/>
        <w:ind w:left="1080" w:right="0" w:hanging="0"/>
        <w:jc w:val="left"/>
        <w:rPr>
          <w:rFonts w:ascii="Times New Roman;Times;serif" w:hAnsi="Times New Roman;Times;serif"/>
          <w:sz w:val="22"/>
        </w:rPr>
      </w:pPr>
      <w:r>
        <w:rPr>
          <w:rFonts w:ascii="Times New Roman;Times;serif" w:hAnsi="Times New Roman;Times;serif"/>
          <w:sz w:val="22"/>
        </w:rPr>
        <w:t xml:space="preserve">A company’s average stock price at the start of the relevant period shall equal its 30-trading day average immediately before and including the start day, and a company’s average stock price at the end of the relevant period shall equal its 30-trading day average immediately before and including the end day of the applicable period. </w:t>
      </w:r>
    </w:p>
    <w:p>
      <w:pPr>
        <w:pStyle w:val="TextBody"/>
        <w:bidi w:val="0"/>
        <w:spacing w:lineRule="auto" w:line="285" w:before="0" w:after="240"/>
        <w:ind w:left="720" w:right="0" w:hanging="0"/>
        <w:jc w:val="both"/>
        <w:rPr>
          <w:rFonts w:ascii="Times New Roman;Times;serif" w:hAnsi="Times New Roman;Times;serif"/>
          <w:sz w:val="22"/>
          <w:u w:val="single"/>
        </w:rPr>
      </w:pPr>
      <w:r>
        <w:rPr>
          <w:rFonts w:ascii="Times New Roman;Times;serif" w:hAnsi="Times New Roman;Times;serif"/>
          <w:sz w:val="22"/>
          <w:u w:val="single"/>
        </w:rPr>
        <w:t xml:space="preserve">Performance Goals: </w:t>
      </w:r>
    </w:p>
    <w:tbl>
      <w:tblPr>
        <w:tblW w:w="7068" w:type="dxa"/>
        <w:jc w:val="left"/>
        <w:tblInd w:w="0" w:type="dxa"/>
        <w:tblLayout w:type="fixed"/>
        <w:tblCellMar>
          <w:top w:w="0" w:type="dxa"/>
          <w:left w:w="0" w:type="dxa"/>
          <w:bottom w:w="0" w:type="dxa"/>
          <w:right w:w="0" w:type="dxa"/>
        </w:tblCellMar>
      </w:tblPr>
      <w:tblGrid>
        <w:gridCol w:w="23"/>
        <w:gridCol w:w="230"/>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85" w:before="0" w:after="240"/>
              <w:jc w:val="both"/>
              <w:rPr>
                <w:rFonts w:ascii="Times New Roman;Times;serif" w:hAnsi="Times New Roman;Times;serif"/>
                <w:sz w:val="22"/>
              </w:rPr>
            </w:pPr>
            <w:r>
              <w:rPr>
                <w:rFonts w:ascii="Times New Roman;Times;serif" w:hAnsi="Times New Roman;Times;serif"/>
                <w:sz w:val="22"/>
              </w:rPr>
              <w:t>(i)</w:t>
            </w:r>
          </w:p>
        </w:tc>
        <w:tc>
          <w:tcPr>
            <w:tcW w:w="6815" w:type="dxa"/>
            <w:tcBorders/>
            <w:vAlign w:val="center"/>
          </w:tcPr>
          <w:p>
            <w:pPr>
              <w:pStyle w:val="TableContents"/>
              <w:bidi w:val="0"/>
              <w:spacing w:lineRule="auto" w:line="285" w:before="0" w:after="240"/>
              <w:jc w:val="both"/>
              <w:rPr>
                <w:rFonts w:ascii="Times New Roman;Times;serif" w:hAnsi="Times New Roman;Times;serif"/>
                <w:sz w:val="24"/>
              </w:rPr>
            </w:pPr>
            <w:r>
              <w:rPr>
                <w:rFonts w:ascii="Times New Roman;Times;serif" w:hAnsi="Times New Roman;Times;serif"/>
                <w:sz w:val="22"/>
                <w:u w:val="single"/>
              </w:rPr>
              <w:t>Absolute Adjusted EPS Growth:</w:t>
            </w:r>
            <w:r>
              <w:rPr>
                <w:rFonts w:ascii="Times New Roman;Times;serif" w:hAnsi="Times New Roman;Times;serif"/>
                <w:sz w:val="24"/>
              </w:rPr>
              <w:t xml:space="preserve">  </w:t>
            </w:r>
            <w:r>
              <w:rPr>
                <w:rFonts w:ascii="Times New Roman;Times;serif" w:hAnsi="Times New Roman;Times;serif"/>
                <w:sz w:val="22"/>
              </w:rPr>
              <w:t>for the first tranche for fiscal year xxxx</w:t>
            </w:r>
          </w:p>
        </w:tc>
      </w:tr>
    </w:tbl>
    <w:tbl>
      <w:tblPr>
        <w:tblW w:w="4610" w:type="dxa"/>
        <w:jc w:val="center"/>
        <w:tblInd w:w="0" w:type="dxa"/>
        <w:tblLayout w:type="fixed"/>
        <w:tblCellMar>
          <w:top w:w="0" w:type="dxa"/>
          <w:left w:w="0" w:type="dxa"/>
          <w:bottom w:w="0" w:type="dxa"/>
          <w:right w:w="0" w:type="dxa"/>
        </w:tblCellMar>
      </w:tblPr>
      <w:tblGrid>
        <w:gridCol w:w="2221"/>
        <w:gridCol w:w="526"/>
        <w:gridCol w:w="526"/>
        <w:gridCol w:w="646"/>
        <w:gridCol w:w="691"/>
      </w:tblGrid>
      <w:tr>
        <w:trPr/>
        <w:tc>
          <w:tcPr>
            <w:tcW w:w="2221" w:type="dxa"/>
            <w:tcBorders/>
            <w:vAlign w:val="center"/>
          </w:tcPr>
          <w:p>
            <w:pPr>
              <w:pStyle w:val="TableContents"/>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 xml:space="preserve">Adjusted EPS Growth </w:t>
            </w:r>
          </w:p>
        </w:tc>
        <w:tc>
          <w:tcPr>
            <w:tcW w:w="52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&lt;x%</w:t>
            </w:r>
          </w:p>
        </w:tc>
        <w:tc>
          <w:tcPr>
            <w:tcW w:w="52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x%</w:t>
            </w:r>
          </w:p>
        </w:tc>
        <w:tc>
          <w:tcPr>
            <w:tcW w:w="64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xx%</w:t>
            </w:r>
          </w:p>
        </w:tc>
        <w:tc>
          <w:tcPr>
            <w:tcW w:w="69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xx%</w:t>
            </w:r>
          </w:p>
        </w:tc>
      </w:tr>
      <w:tr>
        <w:trPr/>
        <w:tc>
          <w:tcPr>
            <w:tcW w:w="2221" w:type="dxa"/>
            <w:tcBorders/>
            <w:vAlign w:val="center"/>
          </w:tcPr>
          <w:p>
            <w:pPr>
              <w:pStyle w:val="TableContents"/>
              <w:pBdr/>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Shares Earned</w:t>
            </w:r>
          </w:p>
        </w:tc>
        <w:tc>
          <w:tcPr>
            <w:tcW w:w="52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0%</w:t>
            </w:r>
          </w:p>
        </w:tc>
        <w:tc>
          <w:tcPr>
            <w:tcW w:w="52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25%</w:t>
            </w:r>
          </w:p>
        </w:tc>
        <w:tc>
          <w:tcPr>
            <w:tcW w:w="64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100%</w:t>
            </w:r>
          </w:p>
        </w:tc>
        <w:tc>
          <w:tcPr>
            <w:tcW w:w="69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200%</w:t>
            </w:r>
          </w:p>
        </w:tc>
      </w:tr>
    </w:tbl>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 xml:space="preserve">If Avnet’s Absolute Adjusted EPS Growth is between two achievement levels set forth in the table above, the shares earned shall be determined by linear interpolation. </w:t>
      </w:r>
    </w:p>
    <w:p>
      <w:pPr>
        <w:pStyle w:val="TextBody"/>
        <w:bidi w:val="0"/>
        <w:spacing w:lineRule="auto" w:line="285" w:before="0" w:after="240"/>
        <w:ind w:left="1440" w:right="0" w:hanging="0"/>
        <w:jc w:val="both"/>
        <w:rPr>
          <w:rFonts w:ascii="Times New Roman;Times;serif" w:hAnsi="Times New Roman;Times;serif"/>
          <w:sz w:val="22"/>
        </w:rPr>
      </w:pPr>
      <w:r>
        <w:rPr>
          <w:rFonts w:ascii="Times New Roman;Times;serif" w:hAnsi="Times New Roman;Times;serif"/>
          <w:sz w:val="22"/>
        </w:rPr>
        <w:t>The targets for fiscal year xxxx will be provided in August xxxx and targets for fiscal year xxxx will be provided in August xxxx as separate annexures to the agreement.</w:t>
      </w:r>
    </w:p>
    <w:tbl>
      <w:tblPr>
        <w:tblW w:w="7773" w:type="dxa"/>
        <w:jc w:val="left"/>
        <w:tblInd w:w="0" w:type="dxa"/>
        <w:tblLayout w:type="fixed"/>
        <w:tblCellMar>
          <w:top w:w="0" w:type="dxa"/>
          <w:left w:w="0" w:type="dxa"/>
          <w:bottom w:w="0" w:type="dxa"/>
          <w:right w:w="0" w:type="dxa"/>
        </w:tblCellMar>
      </w:tblPr>
      <w:tblGrid>
        <w:gridCol w:w="23"/>
        <w:gridCol w:w="35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lineRule="auto" w:line="285" w:before="0" w:after="240"/>
              <w:jc w:val="both"/>
              <w:rPr>
                <w:rFonts w:ascii="Times New Roman;Times;serif" w:hAnsi="Times New Roman;Times;serif"/>
                <w:sz w:val="22"/>
              </w:rPr>
            </w:pPr>
            <w:r>
              <w:rPr>
                <w:rFonts w:ascii="Times New Roman;Times;serif" w:hAnsi="Times New Roman;Times;serif"/>
                <w:sz w:val="22"/>
              </w:rPr>
              <w:t xml:space="preserve">(ii) </w:t>
            </w:r>
          </w:p>
        </w:tc>
        <w:tc>
          <w:tcPr>
            <w:tcW w:w="7400" w:type="dxa"/>
            <w:tcBorders/>
            <w:vAlign w:val="center"/>
          </w:tcPr>
          <w:p>
            <w:pPr>
              <w:pStyle w:val="TableContents"/>
              <w:bidi w:val="0"/>
              <w:spacing w:lineRule="auto" w:line="285" w:before="0" w:after="240"/>
              <w:jc w:val="both"/>
              <w:rPr>
                <w:rFonts w:ascii="Times New Roman;Times;serif" w:hAnsi="Times New Roman;Times;serif"/>
                <w:sz w:val="24"/>
              </w:rPr>
            </w:pPr>
            <w:r>
              <w:rPr>
                <w:rFonts w:ascii="Times New Roman;Times;serif" w:hAnsi="Times New Roman;Times;serif"/>
                <w:sz w:val="22"/>
                <w:u w:val="single"/>
              </w:rPr>
              <w:t>Absolute Adjusted ROIC Performance</w:t>
            </w:r>
            <w:r>
              <w:rPr>
                <w:rFonts w:ascii="Times New Roman;Times;serif" w:hAnsi="Times New Roman;Times;serif"/>
                <w:sz w:val="22"/>
              </w:rPr>
              <w:t>: for the first tranche for fiscal year xxxx</w:t>
            </w:r>
          </w:p>
        </w:tc>
      </w:tr>
    </w:tbl>
    <w:tbl>
      <w:tblPr>
        <w:tblW w:w="5615" w:type="dxa"/>
        <w:jc w:val="center"/>
        <w:tblInd w:w="0" w:type="dxa"/>
        <w:tblLayout w:type="fixed"/>
        <w:tblCellMar>
          <w:top w:w="0" w:type="dxa"/>
          <w:left w:w="0" w:type="dxa"/>
          <w:bottom w:w="0" w:type="dxa"/>
          <w:right w:w="0" w:type="dxa"/>
        </w:tblCellMar>
      </w:tblPr>
      <w:tblGrid>
        <w:gridCol w:w="2866"/>
        <w:gridCol w:w="766"/>
        <w:gridCol w:w="586"/>
        <w:gridCol w:w="646"/>
        <w:gridCol w:w="751"/>
      </w:tblGrid>
      <w:tr>
        <w:trPr/>
        <w:tc>
          <w:tcPr>
            <w:tcW w:w="2866" w:type="dxa"/>
            <w:tcBorders/>
            <w:vAlign w:val="center"/>
          </w:tcPr>
          <w:p>
            <w:pPr>
              <w:pStyle w:val="TableContents"/>
              <w:pBdr/>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 xml:space="preserve">Adjusted ROIC Performance </w:t>
            </w:r>
          </w:p>
        </w:tc>
        <w:tc>
          <w:tcPr>
            <w:tcW w:w="76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&lt; x.x%</w:t>
            </w:r>
          </w:p>
        </w:tc>
        <w:tc>
          <w:tcPr>
            <w:tcW w:w="586" w:type="dxa"/>
            <w:tcBorders/>
            <w:vAlign w:val="center"/>
          </w:tcPr>
          <w:p>
            <w:pPr>
              <w:pStyle w:val="TableContents"/>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x.x%</w:t>
            </w:r>
          </w:p>
        </w:tc>
        <w:tc>
          <w:tcPr>
            <w:tcW w:w="64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x.x%</w:t>
            </w:r>
          </w:p>
        </w:tc>
        <w:tc>
          <w:tcPr>
            <w:tcW w:w="75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xx.x%</w:t>
            </w:r>
          </w:p>
        </w:tc>
      </w:tr>
      <w:tr>
        <w:trPr/>
        <w:tc>
          <w:tcPr>
            <w:tcW w:w="2866" w:type="dxa"/>
            <w:tcBorders/>
            <w:vAlign w:val="center"/>
          </w:tcPr>
          <w:p>
            <w:pPr>
              <w:pStyle w:val="TableContents"/>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Shares Earned</w:t>
            </w:r>
          </w:p>
        </w:tc>
        <w:tc>
          <w:tcPr>
            <w:tcW w:w="76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0%</w:t>
            </w:r>
          </w:p>
        </w:tc>
        <w:tc>
          <w:tcPr>
            <w:tcW w:w="58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25%</w:t>
            </w:r>
          </w:p>
        </w:tc>
        <w:tc>
          <w:tcPr>
            <w:tcW w:w="64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100%</w:t>
            </w:r>
          </w:p>
        </w:tc>
        <w:tc>
          <w:tcPr>
            <w:tcW w:w="75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200%</w:t>
            </w:r>
          </w:p>
        </w:tc>
      </w:tr>
    </w:tbl>
    <w:p>
      <w:pPr>
        <w:pStyle w:val="TextBody"/>
        <w:bidi w:val="0"/>
        <w:spacing w:lineRule="auto" w:line="285" w:before="0" w:after="240"/>
        <w:ind w:left="1440" w:right="0" w:hanging="0"/>
        <w:jc w:val="left"/>
        <w:rPr>
          <w:rFonts w:ascii="Times New Roman;Times;serif" w:hAnsi="Times New Roman;Times;serif"/>
          <w:sz w:val="22"/>
        </w:rPr>
      </w:pPr>
      <w:r>
        <w:rPr>
          <w:rFonts w:ascii="Times New Roman;Times;serif" w:hAnsi="Times New Roman;Times;serif"/>
          <w:sz w:val="22"/>
        </w:rPr>
        <w:t>If Avnet’s Absolute Adjusted ROIC performance is between two achievement levels set forth in the table above, the shares earned shall be determined by linear interpolation.</w:t>
      </w:r>
    </w:p>
    <w:p>
      <w:pPr>
        <w:pStyle w:val="TextBody"/>
        <w:bidi w:val="0"/>
        <w:spacing w:lineRule="auto" w:line="285" w:before="0" w:after="240"/>
        <w:ind w:left="1440" w:right="0" w:hanging="0"/>
        <w:jc w:val="left"/>
        <w:rPr>
          <w:rFonts w:ascii="Times New Roman;Times;serif" w:hAnsi="Times New Roman;Times;serif"/>
          <w:sz w:val="22"/>
        </w:rPr>
      </w:pPr>
      <w:r>
        <w:rPr>
          <w:rFonts w:ascii="Times New Roman;Times;serif" w:hAnsi="Times New Roman;Times;serif"/>
          <w:sz w:val="22"/>
        </w:rPr>
        <w:t>The targets for fiscal year xxxx will be provided in August xxxx and targets for fiscal year xxxx will be provided in August xxxx as separate annexures to the agreement.</w:t>
      </w:r>
    </w:p>
    <w:p>
      <w:pPr>
        <w:pStyle w:val="TextBody"/>
        <w:bidi w:val="0"/>
        <w:spacing w:lineRule="auto" w:line="285" w:before="0" w:after="24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0"/>
        <w:gridCol w:w="9882"/>
      </w:tblGrid>
      <w:tr>
        <w:trPr/>
        <w:tc>
          <w:tcPr>
            <w:tcW w:w="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lineRule="auto" w:line="285" w:before="0" w:after="240"/>
              <w:jc w:val="both"/>
              <w:rPr>
                <w:rFonts w:ascii="Times New Roman;Times;serif" w:hAnsi="Times New Roman;Times;serif"/>
                <w:sz w:val="22"/>
              </w:rPr>
            </w:pPr>
            <w:r>
              <w:rPr>
                <w:rFonts w:ascii="Times New Roman;Times;serif" w:hAnsi="Times New Roman;Times;serif"/>
                <w:sz w:val="22"/>
              </w:rPr>
              <w:t>(iii)</w:t>
            </w:r>
          </w:p>
        </w:tc>
        <w:tc>
          <w:tcPr>
            <w:tcW w:w="9882" w:type="dxa"/>
            <w:tcBorders/>
            <w:vAlign w:val="center"/>
          </w:tcPr>
          <w:p>
            <w:pPr>
              <w:pStyle w:val="TableContents"/>
              <w:bidi w:val="0"/>
              <w:spacing w:lineRule="auto" w:line="285" w:before="0" w:after="240"/>
              <w:jc w:val="both"/>
              <w:rPr>
                <w:rFonts w:ascii="Times New Roman;Times;serif" w:hAnsi="Times New Roman;Times;serif"/>
                <w:sz w:val="24"/>
              </w:rPr>
            </w:pPr>
            <w:r>
              <w:rPr>
                <w:rFonts w:ascii="Times New Roman;Times;serif" w:hAnsi="Times New Roman;Times;serif"/>
                <w:sz w:val="22"/>
                <w:u w:val="single"/>
              </w:rPr>
              <w:t>Relative</w:t>
            </w:r>
            <w:r>
              <w:rPr>
                <w:rFonts w:ascii="Times New Roman;Times;serif" w:hAnsi="Times New Roman;Times;serif"/>
                <w:sz w:val="24"/>
              </w:rPr>
              <w:t xml:space="preserve"> </w:t>
            </w:r>
            <w:r>
              <w:rPr>
                <w:rFonts w:ascii="Times New Roman;Times;serif" w:hAnsi="Times New Roman;Times;serif"/>
                <w:sz w:val="22"/>
                <w:u w:val="single"/>
              </w:rPr>
              <w:t>TSR Modifier</w:t>
            </w:r>
            <w:r>
              <w:rPr>
                <w:rFonts w:ascii="Times New Roman;Times;serif" w:hAnsi="Times New Roman;Times;serif"/>
                <w:sz w:val="22"/>
              </w:rPr>
              <w:t>:  The PSUs earned under both performance metrics shall be modified by the Relative TSR Modifier (described below) for the relevant Performance Period.  The Relative TSR Modifier shall be a factor, ranging from 0.8 to 1.2, according to the following matrix:</w:t>
            </w:r>
          </w:p>
        </w:tc>
      </w:tr>
    </w:tbl>
    <w:p>
      <w:pPr>
        <w:pStyle w:val="HorizontalLine"/>
        <w:pBdr>
          <w:bottom w:val="double" w:sz="2" w:space="0" w:color="808080"/>
        </w:pBdr>
        <w:bidi w:val="0"/>
        <w:spacing w:before="0" w:after="283"/>
        <w:jc w:val="left"/>
        <w:rPr/>
      </w:pPr>
      <w:r>
        <w:rPr/>
      </w:r>
    </w:p>
    <w:tbl>
      <w:tblPr>
        <w:tblW w:w="3544" w:type="dxa"/>
        <w:jc w:val="center"/>
        <w:tblInd w:w="0" w:type="dxa"/>
        <w:tblLayout w:type="fixed"/>
        <w:tblCellMar>
          <w:top w:w="0" w:type="dxa"/>
          <w:left w:w="0" w:type="dxa"/>
          <w:bottom w:w="0" w:type="dxa"/>
          <w:right w:w="0" w:type="dxa"/>
        </w:tblCellMar>
      </w:tblPr>
      <w:tblGrid>
        <w:gridCol w:w="2281"/>
        <w:gridCol w:w="406"/>
        <w:gridCol w:w="406"/>
        <w:gridCol w:w="451"/>
      </w:tblGrid>
      <w:tr>
        <w:trPr/>
        <w:tc>
          <w:tcPr>
            <w:tcW w:w="2281" w:type="dxa"/>
            <w:tcBorders/>
            <w:vAlign w:val="center"/>
          </w:tcPr>
          <w:p>
            <w:pPr>
              <w:pStyle w:val="TableContents"/>
              <w:pBdr/>
              <w:bidi w:val="0"/>
              <w:spacing w:lineRule="auto" w:line="285" w:before="0" w:after="240"/>
              <w:ind w:left="0" w:right="0" w:hanging="0"/>
              <w:jc w:val="left"/>
              <w:rPr>
                <w:rFonts w:ascii="Times New Roman;Times;serif" w:hAnsi="Times New Roman;Times;serif"/>
                <w:sz w:val="22"/>
              </w:rPr>
            </w:pPr>
            <w:r>
              <w:rPr>
                <w:rFonts w:ascii="Times New Roman;Times;serif" w:hAnsi="Times New Roman;Times;serif"/>
                <w:sz w:val="22"/>
              </w:rPr>
              <w:t xml:space="preserve">Relative TSR </w:t>
              <w:br/>
              <w:t>(Rank)</w:t>
            </w:r>
          </w:p>
        </w:tc>
        <w:tc>
          <w:tcPr>
            <w:tcW w:w="40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5th</w:t>
            </w:r>
          </w:p>
        </w:tc>
        <w:tc>
          <w:tcPr>
            <w:tcW w:w="406" w:type="dxa"/>
            <w:tcBorders/>
            <w:vAlign w:val="center"/>
          </w:tcPr>
          <w:p>
            <w:pPr>
              <w:pStyle w:val="TableContents"/>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17"/>
              </w:rPr>
              <w:t>rd</w:t>
            </w:r>
          </w:p>
        </w:tc>
        <w:tc>
          <w:tcPr>
            <w:tcW w:w="45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1st</w:t>
            </w:r>
          </w:p>
        </w:tc>
      </w:tr>
      <w:tr>
        <w:trPr/>
        <w:tc>
          <w:tcPr>
            <w:tcW w:w="2281" w:type="dxa"/>
            <w:tcBorders/>
            <w:vAlign w:val="center"/>
          </w:tcPr>
          <w:p>
            <w:pPr>
              <w:pStyle w:val="TableContents"/>
              <w:bidi w:val="0"/>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 xml:space="preserve">Relative TSR Modifier </w:t>
            </w:r>
          </w:p>
        </w:tc>
        <w:tc>
          <w:tcPr>
            <w:tcW w:w="40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0.8</w:t>
            </w:r>
          </w:p>
        </w:tc>
        <w:tc>
          <w:tcPr>
            <w:tcW w:w="406"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1.0</w:t>
            </w:r>
          </w:p>
        </w:tc>
        <w:tc>
          <w:tcPr>
            <w:tcW w:w="451" w:type="dxa"/>
            <w:tcBorders/>
            <w:vAlign w:val="center"/>
          </w:tcPr>
          <w:p>
            <w:pPr>
              <w:pStyle w:val="TableContents"/>
              <w:bidi w:val="0"/>
              <w:spacing w:lineRule="auto" w:line="285" w:before="0" w:after="240"/>
              <w:ind w:left="0" w:right="0" w:hanging="0"/>
              <w:jc w:val="center"/>
              <w:rPr>
                <w:rFonts w:ascii="Times New Roman;Times;serif" w:hAnsi="Times New Roman;Times;serif"/>
                <w:sz w:val="22"/>
              </w:rPr>
            </w:pPr>
            <w:r>
              <w:rPr>
                <w:rFonts w:ascii="Times New Roman;Times;serif" w:hAnsi="Times New Roman;Times;serif"/>
                <w:sz w:val="22"/>
              </w:rPr>
              <w:t>1.2</w:t>
            </w:r>
          </w:p>
        </w:tc>
      </w:tr>
    </w:tbl>
    <w:p>
      <w:pPr>
        <w:pStyle w:val="TextBody"/>
        <w:bidi w:val="0"/>
        <w:spacing w:lineRule="auto" w:line="285" w:before="0" w:after="240"/>
        <w:ind w:left="1440" w:right="0" w:hanging="0"/>
        <w:jc w:val="left"/>
        <w:rPr>
          <w:rFonts w:ascii="Times New Roman;Times;serif" w:hAnsi="Times New Roman;Times;serif"/>
          <w:sz w:val="22"/>
        </w:rPr>
      </w:pPr>
      <w:r>
        <w:rPr>
          <w:rFonts w:ascii="Times New Roman;Times;serif" w:hAnsi="Times New Roman;Times;serif"/>
          <w:sz w:val="22"/>
        </w:rPr>
        <w:t xml:space="preserve">If Avnet’s Relative TSR Modifier percentile rank is between two achievement levels set forth in the table above, the Relative TSR Modifier shall be determined by linear interpolation. </w:t>
      </w:r>
    </w:p>
    <w:tbl>
      <w:tblPr>
        <w:tblW w:w="10205" w:type="dxa"/>
        <w:jc w:val="left"/>
        <w:tblInd w:w="0" w:type="dxa"/>
        <w:tblLayout w:type="fixed"/>
        <w:tblCellMar>
          <w:top w:w="0" w:type="dxa"/>
          <w:left w:w="0" w:type="dxa"/>
          <w:bottom w:w="0" w:type="dxa"/>
          <w:right w:w="0" w:type="dxa"/>
        </w:tblCellMar>
      </w:tblPr>
      <w:tblGrid>
        <w:gridCol w:w="23"/>
        <w:gridCol w:w="309"/>
        <w:gridCol w:w="9873"/>
      </w:tblGrid>
      <w:tr>
        <w:trPr/>
        <w:tc>
          <w:tcPr>
            <w:tcW w:w="2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lineRule="auto" w:line="285" w:before="0" w:after="240"/>
              <w:jc w:val="left"/>
              <w:rPr>
                <w:rFonts w:ascii="Times New Roman;Times;serif" w:hAnsi="Times New Roman;Times;serif"/>
                <w:sz w:val="22"/>
              </w:rPr>
            </w:pPr>
            <w:r>
              <w:rPr>
                <w:rFonts w:ascii="Times New Roman;Times;serif" w:hAnsi="Times New Roman;Times;serif"/>
                <w:sz w:val="22"/>
              </w:rPr>
              <w:t>(iv)</w:t>
            </w:r>
          </w:p>
        </w:tc>
        <w:tc>
          <w:tcPr>
            <w:tcW w:w="9873" w:type="dxa"/>
            <w:tcBorders/>
            <w:vAlign w:val="center"/>
          </w:tcPr>
          <w:p>
            <w:pPr>
              <w:pStyle w:val="TableContents"/>
              <w:bidi w:val="0"/>
              <w:spacing w:lineRule="auto" w:line="285" w:before="0" w:after="240"/>
              <w:jc w:val="left"/>
              <w:rPr>
                <w:rFonts w:ascii="Times New Roman;Times;serif" w:hAnsi="Times New Roman;Times;serif"/>
                <w:sz w:val="24"/>
              </w:rPr>
            </w:pPr>
            <w:r>
              <w:rPr>
                <w:rFonts w:ascii="Times New Roman;Times;serif" w:hAnsi="Times New Roman;Times;serif"/>
                <w:sz w:val="22"/>
                <w:u w:val="single"/>
              </w:rPr>
              <w:t>Administrator’s Determination</w:t>
            </w:r>
            <w:r>
              <w:rPr>
                <w:rFonts w:ascii="Times New Roman;Times;serif" w:hAnsi="Times New Roman;Times;serif"/>
                <w:sz w:val="22"/>
              </w:rPr>
              <w:t xml:space="preserve">. The Administrator shall determine the number of PSUs earned under each Tranche based on the performance metrics and vested at the end of the Award Period in its sole discretion. </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Except as expressly provided otherwise in Sections 4 and 5 herein below, any PSUs that do not vest in accordance with the foregoing shall be forfeited without consideration.</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u w:val="single"/>
        </w:rPr>
        <w:t>Payout</w:t>
      </w:r>
      <w:r>
        <w:rPr>
          <w:rFonts w:ascii="Times New Roman;Times;serif" w:hAnsi="Times New Roman;Times;serif"/>
          <w:sz w:val="22"/>
        </w:rPr>
        <w:t>. Following the vesting of earned PSUs at the end of the Award Period, one share of Avnet’s common stock (“Stock”) shall be issuable for each PSU that vests (the “PSU Shares”). Thereafter, Avnet shall transfer such PSU Shares to the Participant. Such transfer shall occur as soon as practicable after the end of the Award Period and satisfaction of all required tax withholding obligations, securities law registration, and other requirements, and applicable stock exchange listing, and in any event no later than December 31st of the calendar year in which the Award Period ends. For the avoidance of doubt, no vesting will occur until all three Performance Periods have been completed.</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No fractional shares shall be issued with respect to vesting of PSUs. </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Participant shall not acquire or have any rights as a shareholder of Avnet by virtue of these Standard Terms and Conditions or the Award evidenced hereby until the PSU Shares issuable pursuant to this Award are actually issued and delivered to the Participant in accordance with the terms of the Plan and these Standard Terms and Conditions.</w:t>
      </w:r>
    </w:p>
    <w:tbl>
      <w:tblPr>
        <w:tblW w:w="5470" w:type="dxa"/>
        <w:jc w:val="left"/>
        <w:tblInd w:w="0" w:type="dxa"/>
        <w:tblLayout w:type="fixed"/>
        <w:tblCellMar>
          <w:top w:w="0" w:type="dxa"/>
          <w:left w:w="0" w:type="dxa"/>
          <w:bottom w:w="0" w:type="dxa"/>
          <w:right w:w="0" w:type="dxa"/>
        </w:tblCellMar>
      </w:tblPr>
      <w:tblGrid>
        <w:gridCol w:w="200"/>
        <w:gridCol w:w="5270"/>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w:t>
            </w:r>
          </w:p>
        </w:tc>
        <w:tc>
          <w:tcPr>
            <w:tcW w:w="52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TERMINATION OF EMPLOYMENT OR SERVICE</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Except as provided below with respect to death, disability, or Retirement (as defined below), or as otherwise provided in a Participant’s Change of Control Agreement (if any), if the Participant ceases to be employed by or in the service of the Company for any reason before the end of the Award Period, the Participant shall immediately forfeit all of the earned PSUs without consideration.</w:t>
      </w:r>
    </w:p>
    <w:tbl>
      <w:tblPr>
        <w:tblW w:w="4840" w:type="dxa"/>
        <w:jc w:val="left"/>
        <w:tblInd w:w="0" w:type="dxa"/>
        <w:tblLayout w:type="fixed"/>
        <w:tblCellMar>
          <w:top w:w="0" w:type="dxa"/>
          <w:left w:w="0" w:type="dxa"/>
          <w:bottom w:w="0" w:type="dxa"/>
          <w:right w:w="0" w:type="dxa"/>
        </w:tblCellMar>
      </w:tblPr>
      <w:tblGrid>
        <w:gridCol w:w="200"/>
        <w:gridCol w:w="4640"/>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3.</w:t>
            </w:r>
          </w:p>
        </w:tc>
        <w:tc>
          <w:tcPr>
            <w:tcW w:w="464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DEATH OR DISABILITY OF PARTICIPANT</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If the Participant’s employment with or service to the Company terminates or ceases by reason of the Participant’s death or disability (as determined by the Administrator in its sole discretion), the number of PSUs that will vest will equal the PSUs earned under each Tranche for which the applicable Performance Period has ended plus a pro-rata share of the PSUs earned under the Tranche for which the applicable Performance Period has begun but has not yet ended as of the date of death or disability. The pro-rata share will equal the number of PSUs that would have been earned under such Tranche had the Participant remained continuously employed by, or provided services to, the Company through the end of the Tranche’s Performance Period (based on Avnet’s performance through the end of the Performance Period), multiplied by a fraction, the numerator of which is the number of months in the Performance Period that have been completed as of the date of death or disability, and the denominator of which is 12. </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 xml:space="preserve">If a Participant on long-term disability leave does not provide services to the Company for 12 consecutive months, the vesting described in this Section 4 shall apply as if such Participant terminated employment on the first anniversary of such long-term disability leave; provided that if the Participant qualifies for Retirement (as described in Section 5 below) before the end of such 12 consecutive month period, vesting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shall be determined in accordance with Section 5 below. The number of PSU Shares payable and the timing of the transfer of such PSU Shares shall be determined in accordance with Section 2 above without regard to the service requirement set forth therein. All non-vested PSUs shall be forfeited. </w:t>
      </w:r>
    </w:p>
    <w:tbl>
      <w:tblPr>
        <w:tblW w:w="1765" w:type="dxa"/>
        <w:jc w:val="left"/>
        <w:tblInd w:w="0" w:type="dxa"/>
        <w:tblLayout w:type="fixed"/>
        <w:tblCellMar>
          <w:top w:w="0" w:type="dxa"/>
          <w:left w:w="0" w:type="dxa"/>
          <w:bottom w:w="0" w:type="dxa"/>
          <w:right w:w="0" w:type="dxa"/>
        </w:tblCellMar>
      </w:tblPr>
      <w:tblGrid>
        <w:gridCol w:w="200"/>
        <w:gridCol w:w="1565"/>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4.</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RETIREMENT</w:t>
            </w:r>
          </w:p>
        </w:tc>
      </w:tr>
    </w:tbl>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 xml:space="preserve">If the Participant’s employment or service with the Company terminates by reason of Retirement (as defined herein) on or after the one-year anniversary of the Grant Date but before the end of the Award Period, the number of PSUs that will vest will equal the number of PSUs that would have become vested had the Participant remained continuously employed by the Company through the end of the Award Period.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  The number of PSU Shares payable and the timing of the transfer of such PSU Shares shall be determined in accordance with Section 2 above without regard to the service requirement set forth therein.  All non-vested PSUs shall be forfeited. </w:t>
      </w:r>
    </w:p>
    <w:tbl>
      <w:tblPr>
        <w:tblW w:w="970" w:type="dxa"/>
        <w:jc w:val="left"/>
        <w:tblInd w:w="0" w:type="dxa"/>
        <w:tblLayout w:type="fixed"/>
        <w:tblCellMar>
          <w:top w:w="0" w:type="dxa"/>
          <w:left w:w="0" w:type="dxa"/>
          <w:bottom w:w="0" w:type="dxa"/>
          <w:right w:w="0" w:type="dxa"/>
        </w:tblCellMar>
      </w:tblPr>
      <w:tblGrid>
        <w:gridCol w:w="200"/>
        <w:gridCol w:w="770"/>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w:t>
            </w:r>
          </w:p>
        </w:tc>
        <w:tc>
          <w:tcPr>
            <w:tcW w:w="7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TAXES</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The Participant acknowledges that the delivery of PSU Shares will generally give rise to a withholding tax obligation, and that the issuance of PSU Shares hereunder is conditioned on timely satisfying such withholding obligation. The Participant shall make arrangements satisfactory to the Company for satisfying such withholding obligations. For Participants residing in the United States, Canada, Austria, Belgium, Ireland, Germany, Spain and the United Kingdom, the Company will issue “net shares,” meaning that PSU Shares will be withheld to cover the estimated withholding tax liability. Participants residing in other countries are subject to the laws of the appropriate tax jurisdiction. </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These Standard Terms and Conditions shall be interpreted consistently with the intent to comply with, or be exempt from, the requirements of Section 409A of the Internal Revenue Code of 1986, as amended, such that there are no adverse tax consequences, interest, or penalties as a result of any amount paid or payable as a result of the Award. Any ambiguity or inconsistency in the provisions of these Standard Terms and Conditions shall be resolved consistent with such intent. </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 xml:space="preserve">No provision of the Plan, the Grant Letter, or these Standard Terms and Conditions shall be construed to transfer to the Company or any of its affiliates any responsibility of the Participant to pay any income, employment, excise, or other taxes attributable to a PSU Share. </w:t>
      </w:r>
    </w:p>
    <w:tbl>
      <w:tblPr>
        <w:tblW w:w="5935" w:type="dxa"/>
        <w:jc w:val="left"/>
        <w:tblInd w:w="0" w:type="dxa"/>
        <w:tblLayout w:type="fixed"/>
        <w:tblCellMar>
          <w:top w:w="0" w:type="dxa"/>
          <w:left w:w="0" w:type="dxa"/>
          <w:bottom w:w="0" w:type="dxa"/>
          <w:right w:w="0" w:type="dxa"/>
        </w:tblCellMar>
      </w:tblPr>
      <w:tblGrid>
        <w:gridCol w:w="200"/>
        <w:gridCol w:w="5735"/>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6.</w:t>
            </w:r>
          </w:p>
        </w:tc>
        <w:tc>
          <w:tcPr>
            <w:tcW w:w="57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THE PLAN; DEFINED TERMS; ENTIRE AGREEMENT</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In addition to these Standard Terms and Conditions, the Award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Grant Letter, these Standard Terms and Conditions, and the Plan constitute the entire understanding between the Participant and the Company regarding the Award. Any prior agreements, commitments, or negotiations concerning the Award are superseded.</w:t>
      </w:r>
    </w:p>
    <w:tbl>
      <w:tblPr>
        <w:tblW w:w="3415" w:type="dxa"/>
        <w:jc w:val="left"/>
        <w:tblInd w:w="0" w:type="dxa"/>
        <w:tblLayout w:type="fixed"/>
        <w:tblCellMar>
          <w:top w:w="0" w:type="dxa"/>
          <w:left w:w="0" w:type="dxa"/>
          <w:bottom w:w="0" w:type="dxa"/>
          <w:right w:w="0" w:type="dxa"/>
        </w:tblCellMar>
      </w:tblPr>
      <w:tblGrid>
        <w:gridCol w:w="200"/>
        <w:gridCol w:w="3215"/>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7.</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RESTRICTIONS ON RESALES</w:t>
            </w:r>
          </w:p>
        </w:tc>
      </w:tr>
    </w:tbl>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 xml:space="preserve">The Company may impose such restrictions, conditions, and limitations as it determines appropriate as to the timing and manner of any resales by the Participant or other subsequent transfers by the Participant of any PSU Shares, including (a) restrictions under an insider trading policy, (b) restrictions designed to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delay and/or coordinate the timing and manner of sales by the Participant and other holders of awards granted under the Plan, (c) requiring acknowledgment and acceptance of these Standard Terms and Conditions, and (d) restrictions as to the use of a specified brokerage firm for such resales or other transfers.</w:t>
      </w:r>
    </w:p>
    <w:tbl>
      <w:tblPr>
        <w:tblW w:w="2140" w:type="dxa"/>
        <w:jc w:val="left"/>
        <w:tblInd w:w="0" w:type="dxa"/>
        <w:tblLayout w:type="fixed"/>
        <w:tblCellMar>
          <w:top w:w="0" w:type="dxa"/>
          <w:left w:w="0" w:type="dxa"/>
          <w:bottom w:w="0" w:type="dxa"/>
          <w:right w:w="0" w:type="dxa"/>
        </w:tblCellMar>
      </w:tblPr>
      <w:tblGrid>
        <w:gridCol w:w="200"/>
        <w:gridCol w:w="1940"/>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8.</w:t>
            </w:r>
          </w:p>
        </w:tc>
        <w:tc>
          <w:tcPr>
            <w:tcW w:w="194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NO ASSIGNMENT</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PSUs granted under the Plan may not be sold, transferred, pledged, assigned, exchanged, encumbered, or otherwise alienated or hypothecated until after the PSUs have vested and the corresponding PSU Shares have been issued, except to the limited extent, if at all, permitted by the Plan and approved by the Administrator in its sole discretion.</w:t>
      </w:r>
    </w:p>
    <w:tbl>
      <w:tblPr>
        <w:tblW w:w="1345" w:type="dxa"/>
        <w:jc w:val="left"/>
        <w:tblInd w:w="0" w:type="dxa"/>
        <w:tblLayout w:type="fixed"/>
        <w:tblCellMar>
          <w:top w:w="0" w:type="dxa"/>
          <w:left w:w="0" w:type="dxa"/>
          <w:bottom w:w="0" w:type="dxa"/>
          <w:right w:w="0" w:type="dxa"/>
        </w:tblCellMar>
      </w:tblPr>
      <w:tblGrid>
        <w:gridCol w:w="200"/>
        <w:gridCol w:w="1145"/>
      </w:tblGrid>
      <w:tr>
        <w:trPr/>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9.</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GENERAL</w:t>
            </w:r>
          </w:p>
        </w:tc>
      </w:tr>
    </w:tbl>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headings preceding the text of the sections hereof are inserted solely for convenience of reference, and shall not constitute a part of these Standard Terms and Conditions, nor shall they affect its meaning, construction, or effect.</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These Standard Terms and Conditions shall inure to the benefit of and be binding upon the parties hereto and their respective permitted heirs, beneficiaries, successors, and assigns.</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Participant acknowledges that a copy of the Plan, the Plan prospectus, and Avnet’s most recent annual report to its shareholders has been delivered to the Participant.</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Participant further acknowledges that the Award is subject to the Company’s Incentive-Based Compensation Recoupment Policy, also known as a clawback policy, as may be amended from time to time. This includes disgorgement or repayment to the extent required or permitted by such policy.</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Nothing in the Grant Letter, the Plan,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Neither this Award nor any PSU Shares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The Plan, the Grant Letter, and these Standard Terms and Conditions shall be governed, construed, interpreted, and administered solely in accordance with the laws of the state of New York, without regard to principles of conflicts of law.</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 xml:space="preserve">All questions arising under the Plan, the Grant Letter, and these Standard Terms and Conditions shall be decided by the Administrator in its total and absolute discretion. It is expressly understood that the Administrator is authorized to administer, construe, and make all determinations necessary or appropriate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720" w:right="0" w:hanging="0"/>
        <w:jc w:val="left"/>
        <w:rPr>
          <w:rFonts w:ascii="Times New Roman;Times;serif" w:hAnsi="Times New Roman;Times;serif"/>
          <w:sz w:val="22"/>
        </w:rPr>
      </w:pPr>
      <w:r>
        <w:rPr>
          <w:rFonts w:ascii="Times New Roman;Times;serif" w:hAnsi="Times New Roman;Times;serif"/>
          <w:sz w:val="22"/>
        </w:rPr>
        <w:t>to the administration of the Plan and these Standard Terms and Conditions; all such determinations shall be binding upon the Participant.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65" w:name="avt-20260627xex10d13c.htm"/>
      <w:bookmarkStart w:id="1666" w:name="ksavt20260627xex10d13c"/>
      <w:bookmarkEnd w:id="1665"/>
      <w:bookmarkEnd w:id="1666"/>
      <w:r>
        <w:rPr>
          <w:rFonts w:ascii="Times New Roman;Times;serif" w:hAnsi="Times New Roman;Times;serif"/>
          <w:b/>
          <w:sz w:val="24"/>
        </w:rPr>
        <w:t>Exhibit 10.13 (c)</w:t>
      </w:r>
      <w:r>
        <w:br w:type="page"/>
      </w:r>
    </w:p>
    <w:p>
      <w:pPr>
        <w:pStyle w:val="TextBody"/>
        <w:bidi w:val="0"/>
        <w:spacing w:lineRule="auto" w:line="285" w:before="0" w:after="0"/>
        <w:ind w:left="0" w:right="0" w:hanging="0"/>
        <w:jc w:val="right"/>
        <w:rPr/>
      </w:pPr>
      <w:bookmarkStart w:id="1667" w:name="OLE_LINK1"/>
      <w:bookmarkEnd w:id="1667"/>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AVNET, INC.</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STANDARD TERMS AND CONDITIONS FOR</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NONQUALIFIED STOCK OPTIONS</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Grant Date: (</w:t>
      </w:r>
      <w:r>
        <w:rPr>
          <w:rFonts w:ascii="Times New Roman;Times;serif" w:hAnsi="Times New Roman;Times;serif"/>
          <w:b/>
          <w:sz w:val="24"/>
        </w:rPr>
        <w:t xml:space="preserve">Grant Date)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Grantee: </w:t>
      </w:r>
      <w:r>
        <w:rPr>
          <w:rFonts w:ascii="Times New Roman;Times;serif" w:hAnsi="Times New Roman;Times;serif"/>
          <w:b/>
          <w:sz w:val="24"/>
        </w:rPr>
        <w:t xml:space="preserve">(Participant Name)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Nonqualified Stock Options Granted: </w:t>
      </w:r>
      <w:r>
        <w:rPr>
          <w:rFonts w:ascii="Times New Roman;Times;serif" w:hAnsi="Times New Roman;Times;serif"/>
          <w:b/>
          <w:sz w:val="24"/>
        </w:rPr>
        <w:t xml:space="preserve">(Number of Awards Granted)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Purchase Price per Share: </w:t>
      </w:r>
      <w:r>
        <w:rPr>
          <w:rFonts w:ascii="Times New Roman;Times;serif" w:hAnsi="Times New Roman;Times;serif"/>
          <w:b/>
          <w:sz w:val="24"/>
        </w:rPr>
        <w:t>(Grant Price)</w:t>
      </w:r>
    </w:p>
    <w:p>
      <w:pPr>
        <w:pStyle w:val="TextBody"/>
        <w:bidi w:val="0"/>
        <w:spacing w:lineRule="auto" w:line="285" w:before="240" w:after="0"/>
        <w:ind w:left="0" w:right="0" w:hanging="0"/>
        <w:jc w:val="left"/>
        <w:rPr>
          <w:rFonts w:ascii="Times New Roman;Times;serif" w:hAnsi="Times New Roman;Times;serif"/>
          <w:sz w:val="24"/>
        </w:rPr>
      </w:pPr>
      <w:r>
        <w:rPr>
          <w:rFonts w:ascii="Times New Roman;Times;serif" w:hAnsi="Times New Roman;Times;serif"/>
          <w:sz w:val="24"/>
        </w:rPr>
        <w:t xml:space="preserve">These Standard Terms and Conditions for Nonqualified Stock Options (“Standard Terms and Conditions”) apply to the grant made as of </w:t>
      </w:r>
      <w:r>
        <w:rPr>
          <w:rFonts w:ascii="Times New Roman;Times;serif" w:hAnsi="Times New Roman;Times;serif"/>
          <w:b/>
          <w:sz w:val="24"/>
        </w:rPr>
        <w:t xml:space="preserve">(Grant Date) </w:t>
      </w:r>
      <w:r>
        <w:rPr>
          <w:rFonts w:ascii="Times New Roman;Times;serif" w:hAnsi="Times New Roman;Times;serif"/>
          <w:sz w:val="24"/>
        </w:rPr>
        <w:t xml:space="preserve">(“Grant Date”) between Avnet, Inc. (“Avnet” or “Company”) and </w:t>
      </w:r>
      <w:r>
        <w:rPr>
          <w:rFonts w:ascii="Times New Roman;Times;serif" w:hAnsi="Times New Roman;Times;serif"/>
          <w:b/>
          <w:sz w:val="24"/>
        </w:rPr>
        <w:t xml:space="preserve">(Participant Name) </w:t>
      </w:r>
      <w:r>
        <w:rPr>
          <w:rFonts w:ascii="Times New Roman;Times;serif" w:hAnsi="Times New Roman;Times;serif"/>
          <w:sz w:val="24"/>
        </w:rPr>
        <w:t xml:space="preserve">(“Participant”) pursuant to the </w:t>
      </w:r>
      <w:r>
        <w:rPr>
          <w:rFonts w:ascii="12" w:hAnsi="12"/>
          <w:sz w:val="24"/>
        </w:rPr>
        <w:t>Avnet, Inc. 2025 Stock Compensation and Incentive Plan</w:t>
      </w:r>
      <w:r>
        <w:rPr>
          <w:rFonts w:ascii="Times New Roman;Times;serif" w:hAnsi="Times New Roman;Times;serif"/>
          <w:sz w:val="24"/>
        </w:rPr>
        <w:t xml:space="preserve">. These Standard Terms and Conditions apply to any nonqualified stock options granted under the Plan. </w:t>
      </w:r>
    </w:p>
    <w:tbl>
      <w:tblPr>
        <w:tblW w:w="2485" w:type="dxa"/>
        <w:jc w:val="left"/>
        <w:tblInd w:w="0" w:type="dxa"/>
        <w:tblLayout w:type="fixed"/>
        <w:tblCellMar>
          <w:top w:w="0" w:type="dxa"/>
          <w:left w:w="0" w:type="dxa"/>
          <w:bottom w:w="0" w:type="dxa"/>
          <w:right w:w="0" w:type="dxa"/>
        </w:tblCellMar>
      </w:tblPr>
      <w:tblGrid>
        <w:gridCol w:w="200"/>
        <w:gridCol w:w="228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TERMS OF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Provided that the Participant has accepted these Standard Terms and Conditions on or before (</w:t>
      </w:r>
      <w:r>
        <w:rPr>
          <w:rFonts w:ascii="Times New Roman;Times;serif" w:hAnsi="Times New Roman;Times;serif"/>
          <w:b/>
          <w:sz w:val="24"/>
        </w:rPr>
        <w:t>Acceptance Date</w:t>
      </w:r>
      <w:r>
        <w:rPr>
          <w:rFonts w:ascii="Times New Roman;Times;serif" w:hAnsi="Times New Roman;Times;serif"/>
          <w:sz w:val="24"/>
        </w:rPr>
        <w:t>), the Company has granted to the Participant a nonqualified stock option (“Option”) to purchase up to (</w:t>
      </w:r>
      <w:r>
        <w:rPr>
          <w:rFonts w:ascii="Times New Roman;Times;serif" w:hAnsi="Times New Roman;Times;serif"/>
          <w:b/>
          <w:sz w:val="24"/>
        </w:rPr>
        <w:t>Number of Awards Granted</w:t>
      </w:r>
      <w:r>
        <w:rPr>
          <w:rFonts w:ascii="Times New Roman;Times;serif" w:hAnsi="Times New Roman;Times;serif"/>
          <w:sz w:val="24"/>
        </w:rPr>
        <w:t>) shares of Avnet’s common stock (“Stock”), at the purchase price per share listed above (“Exercise Price”) and upon the other terms and subject to the conditions set forth in these Standard Terms and Conditions and the Plan. For purposes of these Standard Terms and Conditions, the term “Company” refers to Avnet and its Subsidiaries.</w:t>
      </w:r>
    </w:p>
    <w:tbl>
      <w:tblPr>
        <w:tblW w:w="4120" w:type="dxa"/>
        <w:jc w:val="left"/>
        <w:tblInd w:w="0" w:type="dxa"/>
        <w:tblLayout w:type="fixed"/>
        <w:tblCellMar>
          <w:top w:w="0" w:type="dxa"/>
          <w:left w:w="0" w:type="dxa"/>
          <w:bottom w:w="0" w:type="dxa"/>
          <w:right w:w="0" w:type="dxa"/>
        </w:tblCellMar>
      </w:tblPr>
      <w:tblGrid>
        <w:gridCol w:w="200"/>
        <w:gridCol w:w="392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NON-QUALIFIED STOCK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Option is not intended to be an incentive stock option under Section 422 of the Internal Revenue Code of 1986, as amended (“Code”).</w:t>
      </w:r>
    </w:p>
    <w:tbl>
      <w:tblPr>
        <w:tblW w:w="2875" w:type="dxa"/>
        <w:jc w:val="left"/>
        <w:tblInd w:w="0" w:type="dxa"/>
        <w:tblLayout w:type="fixed"/>
        <w:tblCellMar>
          <w:top w:w="0" w:type="dxa"/>
          <w:left w:w="0" w:type="dxa"/>
          <w:bottom w:w="0" w:type="dxa"/>
          <w:right w:w="0" w:type="dxa"/>
        </w:tblCellMar>
      </w:tblPr>
      <w:tblGrid>
        <w:gridCol w:w="200"/>
        <w:gridCol w:w="267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EXERCISE OF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The Option shall not be exercisable as of the Grant Date. After the Grant Date, the Option shall be exercisable only to the extent that it becomes vested in accordance with the vesting schedule set forth in the “Distribution Schedule” tab of the Participant’s Fidelity account at www.NetBenefits.Fidelity.com, and subject to the provisions of these Standard Terms and Conditions and the Plan. If the Participant’s employment with the Company terminates, the Option shall cease to be exercisable, except to the extent set forth in Section 4, below.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The vesting period and/or exercisability of an Option may be adjusted by the Administrator to reflect the decreased level of employment during any period in which the Participant is on an approved leave of absence or is employed on a less than full time basis, provided that the Administrator may take into consideration any accounting consequences to the Company.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To exercise the Option (or any part thereof), the Participant shall provide notice to the Company, in a form approved by the Company, specifying the number of whole shares of Stock Participant wishes to purchase, and shall pay the Exercise Price for such Stock.</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The Exercise Price and/or any required tax withholding may be paid in cash or by certified or cashiers’ check, by “cashless” exercise methods such as direct share withholding, or by such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other method (including transfer of Stock previously owned by the Participant, or broker-assisted Regulation T simultaneous exercise and sale), as the Administrator permits in its sole discretion. Fractional shares of Stock may not be exercised.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Stock will be issued as soon as practical after exercise; provided, however, that the Company shall not be obligated to deliver the Stock if (a) the Participant has not satisfied all applicable tax withholding obligations, (b) the Stock is not properly registered or not subject to an applicable exemption therefrom, (c) the Stock is not listed on the stock exchanges on which the Stock is otherwise listed, or (d) the Company determines that the exercisability of the Option or the delivery of Stock hereunder would violate any federal or state securities or other applicable laws. The Option may be rescinded if necessary to ensure compliance with federal, state or other applicable laws. The Participant shall not acquire or have any rights as a shareholder of Avnet until Stock issuable upon exercise of the Option are actually issued and delivered to the Participant in accordance herewith.</w:t>
      </w:r>
    </w:p>
    <w:tbl>
      <w:tblPr>
        <w:tblW w:w="3175" w:type="dxa"/>
        <w:jc w:val="left"/>
        <w:tblInd w:w="0" w:type="dxa"/>
        <w:tblLayout w:type="fixed"/>
        <w:tblCellMar>
          <w:top w:w="0" w:type="dxa"/>
          <w:left w:w="0" w:type="dxa"/>
          <w:bottom w:w="0" w:type="dxa"/>
          <w:right w:w="0" w:type="dxa"/>
        </w:tblCellMar>
      </w:tblPr>
      <w:tblGrid>
        <w:gridCol w:w="200"/>
        <w:gridCol w:w="297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29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EXPIRATION OF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Except as provided in this Section 4, the Option shall expire and cease to be exercisable as of (Expiration Date) (“Expiration Date”).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A.If the Participant’s employment or service with the Company terminates for any reason other than death, disabil</w:t>
        <w:softHyphen/>
        <w:t xml:space="preserve">ity, or Retirement (as defined below), the Option shall immediately expire and cease to be exercisable.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B.If the Participant’s employment or service with the Company terminates by reason of Retirement (as defined below) on or after the one-year anniversary of the Grant Date and before the Option has become fully vested, the Option shall continue to vest as set forth in these Standard Terms and Conditions and, subject to the special rules that apply in the event of death (as set forth in Paragraph D below), shall remain exercisable until the earlier of (i) the fifth anniversary of the termination event or (ii) the Expiration Date (unless such Option shall sooner be surrendered for termination or expire).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C.If the Participant’s employment with or service to the Company terminates or ceases by reason of disability (as determined by the Administrator in its sole discretion), the Option shall remain exercisable only to the extent vested as of such cessation of employment or service and shall cease to be exercisable upon the earlier of (i) three months after the date of the termination event or (ii) the Expiration Date (unless such Option shall sooner be surrendered for termination or expire). Unless the provisions of Section 4.B apply, the provisions of this Section 4.C shall apply to a Participant who has not provided services to the Company for twelve consecutive months due to long-term disability leave.</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D.If the Participant’s employment or service with the Company terminates by reason of death or the Participant dies within five years after Retirement from the Company (as </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defined above), the Option shall be exercisable only to the extent vested as of the date of death and shall cease to be exercisable upon the earliest of (i) the first anniversary of the Participant’s death, (ii) the Expiration Date, or (iii) the fifth anniversary of the Participant’s termination date, as set forth in Paragraph B above. </w:t>
      </w:r>
    </w:p>
    <w:tbl>
      <w:tblPr>
        <w:tblW w:w="4960" w:type="dxa"/>
        <w:jc w:val="left"/>
        <w:tblInd w:w="0" w:type="dxa"/>
        <w:tblLayout w:type="fixed"/>
        <w:tblCellMar>
          <w:top w:w="0" w:type="dxa"/>
          <w:left w:w="0" w:type="dxa"/>
          <w:bottom w:w="0" w:type="dxa"/>
          <w:right w:w="0" w:type="dxa"/>
        </w:tblCellMar>
      </w:tblPr>
      <w:tblGrid>
        <w:gridCol w:w="200"/>
        <w:gridCol w:w="476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w:t>
            </w:r>
          </w:p>
        </w:tc>
        <w:tc>
          <w:tcPr>
            <w:tcW w:w="47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RESTRICTIONS ON RESALES OF STOCK</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Company may impose such restrictions, conditions, and limitations as it determines appropriate as to the timing and manner of any resales by the Participant or other subsequent transfers by the Participant of any Stock issued as a result of the exercise of the Option, including (a) restrictions under an insider trading policy, (b) restrictions designed to delay and/or coordinate the timing and manner of sales by the Participant and other option holders, (c) requiring acknowledgment and acceptance of these Standard Terms and Conditions, and (d) restrictions as to the use of a specified brokerage firm for such resales or other transfers.</w:t>
      </w:r>
    </w:p>
    <w:tbl>
      <w:tblPr>
        <w:tblW w:w="1045" w:type="dxa"/>
        <w:jc w:val="left"/>
        <w:tblInd w:w="0" w:type="dxa"/>
        <w:tblLayout w:type="fixed"/>
        <w:tblCellMar>
          <w:top w:w="0" w:type="dxa"/>
          <w:left w:w="0" w:type="dxa"/>
          <w:bottom w:w="0" w:type="dxa"/>
          <w:right w:w="0" w:type="dxa"/>
        </w:tblCellMar>
      </w:tblPr>
      <w:tblGrid>
        <w:gridCol w:w="200"/>
        <w:gridCol w:w="84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TAXES</w:t>
            </w:r>
          </w:p>
        </w:tc>
      </w:tr>
    </w:tbl>
    <w:p>
      <w:pPr>
        <w:pStyle w:val="TextBody"/>
        <w:bidi w:val="0"/>
        <w:spacing w:lineRule="auto" w:line="285" w:before="0" w:after="240"/>
        <w:ind w:left="720" w:right="0" w:hanging="0"/>
        <w:jc w:val="left"/>
        <w:rPr>
          <w:rFonts w:ascii="Times New Roman;Times;serif" w:hAnsi="Times New Roman;Times;serif"/>
          <w:sz w:val="24"/>
        </w:rPr>
      </w:pPr>
      <w:r>
        <w:rPr>
          <w:rFonts w:ascii="12" w:hAnsi="12"/>
          <w:sz w:val="24"/>
        </w:rPr>
        <w:t xml:space="preserve">The Participant acknowledges that the delivery of Stock following exercise of the Option will generally give rise to a withholding tax obligation, and that the issuance of Stock hereunder is conditioned on timely satisfying such withholding obligation. </w:t>
      </w:r>
      <w:r>
        <w:rPr>
          <w:rFonts w:ascii="Times New Roman;Times;serif" w:hAnsi="Times New Roman;Times;serif"/>
          <w:sz w:val="24"/>
        </w:rPr>
        <w:t>The Participant shall make arrangements satisfactory to the Company for satisfying such withholding obligations. The Administrator, in its sole discretion, may allow the Participant to satisfy all or part of such tax obligation through withholding of Stock otherwise issuable to the Participant; the Participant transferring to the Company non-restricted Stock previously owned by the Participant; and/or allowing the Participant to engage in a broker-assisted Regulation T simultaneous exercise and sale. No provision of the Plan or these Standard Terms and Conditions shall be construed to transfer to the Company or any of its affiliates any responsibility of the Participant to pay any income, employment, excise, or other taxes attributable to the grant or exercise of the Option or the disposition of the underlying Stock.</w:t>
      </w:r>
    </w:p>
    <w:tbl>
      <w:tblPr>
        <w:tblW w:w="4600" w:type="dxa"/>
        <w:jc w:val="left"/>
        <w:tblInd w:w="0" w:type="dxa"/>
        <w:tblLayout w:type="fixed"/>
        <w:tblCellMar>
          <w:top w:w="0" w:type="dxa"/>
          <w:left w:w="0" w:type="dxa"/>
          <w:bottom w:w="0" w:type="dxa"/>
          <w:right w:w="0" w:type="dxa"/>
        </w:tblCellMar>
      </w:tblPr>
      <w:tblGrid>
        <w:gridCol w:w="200"/>
        <w:gridCol w:w="440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w:t>
            </w:r>
          </w:p>
        </w:tc>
        <w:tc>
          <w:tcPr>
            <w:tcW w:w="440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NON-TRANSFERABILITY OF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Except to the extent permitted by Section 4.D and this Section 7, the Option shall be exercisable during the Participant’s lifetime only by the Participant. The Option may not be sold, transferred, pledged, assigned, exchanged, encumbered, or otherwise alienated or hypothecated, except (i) by testamentary disposition by the Participant or the laws of descent and distribution, or (ii) to the extent otherwise permitted by the Plan, if (and only if) approved by the Administrator in its sole discretion.</w:t>
      </w:r>
    </w:p>
    <w:tbl>
      <w:tblPr>
        <w:tblW w:w="6385" w:type="dxa"/>
        <w:jc w:val="left"/>
        <w:tblInd w:w="0" w:type="dxa"/>
        <w:tblLayout w:type="fixed"/>
        <w:tblCellMar>
          <w:top w:w="0" w:type="dxa"/>
          <w:left w:w="0" w:type="dxa"/>
          <w:bottom w:w="0" w:type="dxa"/>
          <w:right w:w="0" w:type="dxa"/>
        </w:tblCellMar>
      </w:tblPr>
      <w:tblGrid>
        <w:gridCol w:w="200"/>
        <w:gridCol w:w="618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w:t>
            </w:r>
          </w:p>
        </w:tc>
        <w:tc>
          <w:tcPr>
            <w:tcW w:w="61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PLAN; DEFINED TERMS; ENTIRE AGREEMENT</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In addition to these Standard Terms and Conditions, the Option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These Standard Terms and Conditions and the Plan constitute the entire understanding between the Participant and the Company regarding the Option. Any prior agreements, commitments, or negotiations concerning the Option are superseded.</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pPr>
      <w:r>
        <w:rPr/>
        <w:t>​</w:t>
      </w:r>
    </w:p>
    <w:tbl>
      <w:tblPr>
        <w:tblW w:w="7255" w:type="dxa"/>
        <w:jc w:val="left"/>
        <w:tblInd w:w="0" w:type="dxa"/>
        <w:tblLayout w:type="fixed"/>
        <w:tblCellMar>
          <w:top w:w="0" w:type="dxa"/>
          <w:left w:w="0" w:type="dxa"/>
          <w:bottom w:w="0" w:type="dxa"/>
          <w:right w:w="0" w:type="dxa"/>
        </w:tblCellMar>
      </w:tblPr>
      <w:tblGrid>
        <w:gridCol w:w="200"/>
        <w:gridCol w:w="705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705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LIMITATION OF INTEREST IN STOCK SUBJECT TO OPTION</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Neither the Participant (individually or as a member of a group) nor any beneficiary or other person claiming under or through the Participant shall have any right, title, interest, or privilege in or to any Stock allocated or reserved for the purpose of the Plan or subject to these Standard Terms and Conditions, except as to such Stock, if any, that have been issued to such person upon exercise of the Option or any part of it. Nothing in the Plan,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Option does not confer upon the Participant any right to future awards or participation in any equity compensation program.</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Neither the award of this Option nor any Stock issuable pursuant thereto shall be included in compensation for purposes of determining the amount payable to or on behalf of the Participant under any pension, savings, retirement, life insurance, or other employee or director benefits arrangement of the Company, unless otherwise determined by the plan sponsor.</w:t>
      </w:r>
    </w:p>
    <w:tbl>
      <w:tblPr>
        <w:tblW w:w="1555" w:type="dxa"/>
        <w:jc w:val="left"/>
        <w:tblInd w:w="0" w:type="dxa"/>
        <w:tblLayout w:type="fixed"/>
        <w:tblCellMar>
          <w:top w:w="0" w:type="dxa"/>
          <w:left w:w="0" w:type="dxa"/>
          <w:bottom w:w="0" w:type="dxa"/>
          <w:right w:w="0" w:type="dxa"/>
        </w:tblCellMar>
      </w:tblPr>
      <w:tblGrid>
        <w:gridCol w:w="320"/>
        <w:gridCol w:w="123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10.</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GENERAL</w:t>
            </w:r>
          </w:p>
        </w:tc>
      </w:tr>
    </w:tbl>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headings preceding the text of the sections hereof are inserted solely for convenience of reference, and shall not constitute a part of these Standard Terms and Conditions, nor shall they affect its meaning, construction, or effect.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These Standard Terms and Conditions shall inure to the benefit of and be binding upon the parties hereto and their respective permitted heirs, beneficiaries, successors, and assigns.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The Participant acknowledges that a copy of the Plan, the Plan prospectus, and Avnet’s most recent annual report to its shareholders has been delivered to the Participant. </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Plan and these Standard Terms and Conditions shall be governed, construed, interpreted, and administered solely in accordance with the laws of the state of New York, without regard to principles of conflicts of law.</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All questions arising under the Plan and these Standard Terms and Conditions shall be decided by the Administrator in its total and absolute discretion. </w:t>
      </w:r>
      <w:r>
        <w:rPr>
          <w:rFonts w:ascii="12" w:hAnsi="12"/>
          <w:sz w:val="24"/>
        </w:rPr>
        <w:t>It is expressly understood that the Administrator is authorized to administer, construe, and make all determinations necessary or appropriate to the administration of the Plan and these Standard Terms and Conditions; all such determinations shall be binding upon the Participant.</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668" w:name="avt-20260627xex10d20.htm"/>
      <w:bookmarkStart w:id="1669" w:name="ksavt20260627xex10d20"/>
      <w:bookmarkEnd w:id="1668"/>
      <w:bookmarkEnd w:id="1669"/>
      <w:r>
        <w:rPr>
          <w:rFonts w:ascii="Times New Roman;Times;serif" w:hAnsi="Times New Roman;Times;serif"/>
          <w:b/>
          <w:sz w:val="24"/>
        </w:rPr>
        <w:t>Exhibit 10.20</w:t>
      </w:r>
      <w:r>
        <w:br w:type="page"/>
      </w:r>
    </w:p>
    <w:p>
      <w:pPr>
        <w:pStyle w:val="TextBody"/>
        <w:pBdr>
          <w:top w:val="single" w:sz="24" w:space="1" w:color="000000"/>
        </w:pBdr>
        <w:bidi w:val="0"/>
        <w:spacing w:before="0" w:after="0"/>
        <w:ind w:left="0" w:right="0" w:hanging="0"/>
        <w:jc w:val="right"/>
        <w:rPr>
          <w:bdr w:val="single" w:sz="8" w:space="1" w:color="000000"/>
        </w:rPr>
      </w:pPr>
      <w:bookmarkStart w:id="1670" w:name="_Hlk107701196"/>
      <w:bookmarkEnd w:id="1670"/>
      <w:r>
        <w:rPr>
          <w:bdr w:val="single" w:sz="8" w:space="1" w:color="000000"/>
        </w:rPr>
        <w:t>​</w:t>
      </w:r>
    </w:p>
    <w:p>
      <w:pPr>
        <w:pStyle w:val="TextBody"/>
        <w:pBd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Published CUSIP Numbers:</w:t>
      </w:r>
    </w:p>
    <w:p>
      <w:pPr>
        <w:pStyle w:val="TextBody"/>
        <w:pBdr/>
        <w:bidi w:val="0"/>
        <w:spacing w:before="0" w:after="0"/>
        <w:ind w:left="0" w:right="0" w:hanging="0"/>
        <w:jc w:val="right"/>
        <w:rPr>
          <w:rFonts w:ascii="Times New Roman;Times;serif" w:hAnsi="Times New Roman;Times;serif"/>
          <w:sz w:val="22"/>
        </w:rPr>
      </w:pPr>
      <w:r>
        <w:rPr>
          <w:rFonts w:ascii="Times New Roman;Times;serif" w:hAnsi="Times New Roman;Times;serif"/>
          <w:sz w:val="22"/>
        </w:rPr>
        <w:t xml:space="preserve">Deal: 053809AQ2 </w:t>
      </w:r>
    </w:p>
    <w:p>
      <w:pPr>
        <w:pStyle w:val="TextBody"/>
        <w:pBdr/>
        <w:bidi w:val="0"/>
        <w:spacing w:before="0" w:after="360"/>
        <w:ind w:left="0" w:right="0" w:hanging="0"/>
        <w:jc w:val="right"/>
        <w:rPr>
          <w:rFonts w:ascii="Times New Roman;Times;serif" w:hAnsi="Times New Roman;Times;serif"/>
          <w:sz w:val="22"/>
        </w:rPr>
      </w:pPr>
      <w:r>
        <w:rPr>
          <w:rFonts w:ascii="Times New Roman;Times;serif" w:hAnsi="Times New Roman;Times;serif"/>
          <w:sz w:val="22"/>
        </w:rPr>
        <w:t>Term Loan: 053809AR0</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Dated as of August 12, 2026,</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AVNET, INC.</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as Borrower </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b/>
          <w:sz w:val="22"/>
        </w:rPr>
        <w:t xml:space="preserve">BANK OF AMERICA, N.A., </w:t>
        <w:br/>
      </w:r>
      <w:r>
        <w:rPr>
          <w:rFonts w:ascii="Times New Roman;Times;serif" w:hAnsi="Times New Roman;Times;serif"/>
          <w:sz w:val="22"/>
        </w:rPr>
        <w:t>as Administrative Agent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 xml:space="preserve">and </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COMMERZBANK AG, NEW YORK BRANCH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DBS BANK LTD.</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as Syndication Agents </w:t>
      </w:r>
    </w:p>
    <w:p>
      <w:pPr>
        <w:pStyle w:val="TextBody"/>
        <w:bidi w:val="0"/>
        <w:spacing w:before="120" w:after="283"/>
        <w:ind w:left="0" w:right="0" w:hanging="0"/>
        <w:jc w:val="center"/>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The Other Lenders Party Hereto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BofA SECURITIES, INC.</w:t>
      </w:r>
      <w:r>
        <w:rPr>
          <w:rFonts w:ascii="Times New Roman;Times;serif" w:hAnsi="Times New Roman;Times;serif"/>
          <w:caps/>
          <w:sz w:val="22"/>
        </w:rPr>
        <w:t xml:space="preserve">, </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COMMERZBANK AG, NEW YORK BRANCH</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DBS BANK LTD.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Joint Lead Arrangers and Joint Bookrunners</w:t>
      </w:r>
    </w:p>
    <w:p>
      <w:pPr>
        <w:pStyle w:val="TextBody"/>
        <w:pBdr>
          <w:bottom w:val="single" w:sz="8" w:space="1" w:color="000000"/>
        </w:pBdr>
        <w:bidi w:val="0"/>
        <w:spacing w:before="0" w:after="0"/>
        <w:ind w:left="0" w:right="0" w:hanging="0"/>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right"/>
        <w:rPr>
          <w:rFonts w:ascii="Times New Roman;Times;serif" w:hAnsi="Times New Roman;Times;serif"/>
          <w:b/>
          <w:sz w:val="24"/>
        </w:rPr>
      </w:pPr>
      <w:bookmarkStart w:id="1671" w:name="mpTableOfContents"/>
      <w:bookmarkStart w:id="1672" w:name="_tocHeader_dfa18e9e0e9a47b3a7c21597f5155"/>
      <w:bookmarkEnd w:id="1671"/>
      <w:bookmarkEnd w:id="1672"/>
      <w:r>
        <w:rPr>
          <w:rFonts w:ascii="Times New Roman;Times;serif" w:hAnsi="Times New Roman;Times;serif"/>
          <w:b/>
          <w:sz w:val="24"/>
        </w:rPr>
        <w:t>Page</w: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I.</w:t>
        <w:br/>
        <w:t>DEFINITIONS AND ACCOUNTING TERMS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1.01Defined Terms</w:t>
      </w:r>
      <w:r>
        <w:rPr>
          <w:rFonts w:ascii="Times New Roman;Times;serif" w:hAnsi="Times New Roman;Times;serif"/>
          <w:b w:val="false"/>
          <w:i w:val="false"/>
          <w:caps w:val="false"/>
          <w:smallCaps w:val="false"/>
          <w:sz w:val="22"/>
          <w:shd w:fill="FFFFFF" w:val="clear"/>
        </w:rPr>
        <w:t>1</w:t>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895"/>
                <wp:effectExtent l="0" t="0" r="0" b="0"/>
                <wp:wrapNone/>
                <wp:docPr id="478" name="Frame4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1.02Other Interpretive Provisions</w:t>
      </w:r>
      <w:r>
        <w:rPr>
          <w:rFonts w:ascii="Times New Roman;Times;serif" w:hAnsi="Times New Roman;Times;serif"/>
          <w:b w:val="false"/>
          <w:i w:val="false"/>
          <w:caps w:val="false"/>
          <w:smallCaps w:val="false"/>
          <w:sz w:val="22"/>
          <w:shd w:fill="FFFFFF" w:val="clear"/>
        </w:rPr>
        <w:t>22</w:t>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895"/>
                <wp:effectExtent l="0" t="0" r="0" b="0"/>
                <wp:wrapNone/>
                <wp:docPr id="479" name="Frame4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1.03Accounting Terms</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895"/>
                <wp:effectExtent l="0" t="0" r="0" b="0"/>
                <wp:wrapNone/>
                <wp:docPr id="480" name="Frame4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1.04[Reserved]</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895"/>
                <wp:effectExtent l="0" t="0" r="0" b="0"/>
                <wp:wrapNone/>
                <wp:docPr id="481" name="Frame4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1.05[Reserved]</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895"/>
                <wp:effectExtent l="0" t="0" r="0" b="0"/>
                <wp:wrapNone/>
                <wp:docPr id="482" name="Frame4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1.06[Reserved]</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895"/>
                <wp:effectExtent l="0" t="0" r="0" b="0"/>
                <wp:wrapNone/>
                <wp:docPr id="483" name="Frame4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1.07Times of Day</w:t>
      </w:r>
      <w:r>
        <w:rPr>
          <w:rFonts w:ascii="Times New Roman;Times;serif" w:hAnsi="Times New Roman;Times;serif"/>
          <w:b w:val="false"/>
          <w:i w:val="false"/>
          <w:caps w:val="false"/>
          <w:smallCaps w:val="false"/>
          <w:sz w:val="22"/>
          <w:shd w:fill="FFFFFF" w:val="clear"/>
        </w:rPr>
        <w:t>23</w:t>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895"/>
                <wp:effectExtent l="0" t="0" r="0" b="0"/>
                <wp:wrapNone/>
                <wp:docPr id="484" name="Frame4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2.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1.08[Reserved]</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895"/>
                <wp:effectExtent l="0" t="0" r="0" b="0"/>
                <wp:wrapNone/>
                <wp:docPr id="485" name="Frame4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1.09Rounding</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895"/>
                <wp:effectExtent l="0" t="0" r="0" b="0"/>
                <wp:wrapNone/>
                <wp:docPr id="486" name="Frame4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1.10Interest Rates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895"/>
                <wp:effectExtent l="0" t="0" r="0" b="0"/>
                <wp:wrapNone/>
                <wp:docPr id="487" name="Frame4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1.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II.</w:t>
        <w:br/>
        <w:t>THE COMMITMENTS AND CREDIT EXTENSIONS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2.01Loans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895"/>
                <wp:effectExtent l="0" t="0" r="0" b="0"/>
                <wp:wrapNone/>
                <wp:docPr id="488" name="Frame4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2.02Borrowings, Conversions and Continuations of Loans</w:t>
      </w:r>
      <w:r>
        <w:rPr>
          <w:rFonts w:ascii="Times New Roman;Times;serif" w:hAnsi="Times New Roman;Times;serif"/>
          <w:b w:val="false"/>
          <w:i w:val="false"/>
          <w:caps w:val="false"/>
          <w:smallCaps w:val="false"/>
          <w:sz w:val="22"/>
          <w:shd w:fill="FFFFFF" w:val="clear"/>
        </w:rPr>
        <w:t>24</w:t>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895"/>
                <wp:effectExtent l="0" t="0" r="0" b="0"/>
                <wp:wrapNone/>
                <wp:docPr id="489" name="Frame4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2.03[Reserved]</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895"/>
                <wp:effectExtent l="0" t="0" r="0" b="0"/>
                <wp:wrapNone/>
                <wp:docPr id="490" name="Frame4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2.04[Reserved]</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895"/>
                <wp:effectExtent l="0" t="0" r="0" b="0"/>
                <wp:wrapNone/>
                <wp:docPr id="491" name="Frame4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2.05Prepayments</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895"/>
                <wp:effectExtent l="0" t="0" r="0" b="0"/>
                <wp:wrapNone/>
                <wp:docPr id="492" name="Frame4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8.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2.06Termination or Reduction of Commitments</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895"/>
                <wp:effectExtent l="0" t="0" r="0" b="0"/>
                <wp:wrapNone/>
                <wp:docPr id="493" name="Frame4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2.07Repayment of Loans</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895"/>
                <wp:effectExtent l="0" t="0" r="0" b="0"/>
                <wp:wrapNone/>
                <wp:docPr id="494" name="Frame4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2.08Interest</w:t>
      </w:r>
      <w:r>
        <w:rPr>
          <w:rFonts w:ascii="Times New Roman;Times;serif" w:hAnsi="Times New Roman;Times;serif"/>
          <w:b w:val="false"/>
          <w:i w:val="false"/>
          <w:caps w:val="false"/>
          <w:smallCaps w:val="false"/>
          <w:sz w:val="22"/>
          <w:shd w:fill="FFFFFF" w:val="clear"/>
        </w:rPr>
        <w:t>26</w:t>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895"/>
                <wp:effectExtent l="0" t="0" r="0" b="0"/>
                <wp:wrapNone/>
                <wp:docPr id="495" name="Frame4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2.09Fees</w:t>
      </w:r>
      <w:r>
        <w:rPr>
          <w:rFonts w:ascii="Times New Roman;Times;serif" w:hAnsi="Times New Roman;Times;serif"/>
          <w:b w:val="false"/>
          <w:i w:val="false"/>
          <w:caps w:val="false"/>
          <w:smallCaps w:val="false"/>
          <w:sz w:val="22"/>
          <w:shd w:fill="FFFFFF" w:val="clear"/>
        </w:rPr>
        <w:t>27</w:t>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895"/>
                <wp:effectExtent l="0" t="0" r="0" b="0"/>
                <wp:wrapNone/>
                <wp:docPr id="496" name="Frame4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2.10Computation of Interest and Fees</w:t>
      </w:r>
      <w:r>
        <w:rPr>
          <w:rFonts w:ascii="Times New Roman;Times;serif" w:hAnsi="Times New Roman;Times;serif"/>
          <w:b w:val="false"/>
          <w:i w:val="false"/>
          <w:caps w:val="false"/>
          <w:smallCaps w:val="false"/>
          <w:sz w:val="22"/>
          <w:shd w:fill="FFFFFF" w:val="clear"/>
        </w:rPr>
        <w:t>27</w:t>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895"/>
                <wp:effectExtent l="0" t="0" r="0" b="0"/>
                <wp:wrapNone/>
                <wp:docPr id="497" name="Frame4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2.11Evidence of Debt</w:t>
      </w:r>
      <w:r>
        <w:rPr>
          <w:rFonts w:ascii="Times New Roman;Times;serif" w:hAnsi="Times New Roman;Times;serif"/>
          <w:b w:val="false"/>
          <w:i w:val="false"/>
          <w:caps w:val="false"/>
          <w:smallCaps w:val="false"/>
          <w:sz w:val="22"/>
          <w:shd w:fill="FFFFFF" w:val="clear"/>
        </w:rPr>
        <w:t>27</w:t>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895"/>
                <wp:effectExtent l="0" t="0" r="0" b="0"/>
                <wp:wrapNone/>
                <wp:docPr id="498" name="Frame4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2.12Payments Generally; Administrative Agent’s Clawback</w:t>
      </w:r>
      <w:r>
        <w:rPr>
          <w:rFonts w:ascii="Times New Roman;Times;serif" w:hAnsi="Times New Roman;Times;serif"/>
          <w:b w:val="false"/>
          <w:i w:val="false"/>
          <w:caps w:val="false"/>
          <w:smallCaps w:val="false"/>
          <w:sz w:val="22"/>
          <w:shd w:fill="FFFFFF" w:val="clear"/>
        </w:rPr>
        <w:t>27</w:t>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895"/>
                <wp:effectExtent l="0" t="0" r="0" b="0"/>
                <wp:wrapNone/>
                <wp:docPr id="499" name="Frame4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2.13Sharing of Payments by Lenders</w:t>
      </w:r>
      <w:r>
        <w:rPr>
          <w:rFonts w:ascii="Times New Roman;Times;serif" w:hAnsi="Times New Roman;Times;serif"/>
          <w:b w:val="false"/>
          <w:i w:val="false"/>
          <w:caps w:val="false"/>
          <w:smallCaps w:val="false"/>
          <w:sz w:val="22"/>
          <w:shd w:fill="FFFFFF" w:val="clear"/>
        </w:rPr>
        <w:t>29</w:t>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895"/>
                <wp:effectExtent l="0" t="0" r="0" b="0"/>
                <wp:wrapNone/>
                <wp:docPr id="500" name="Frame4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2.14[Reserved]</w:t>
      </w:r>
      <w:r>
        <w:rPr>
          <w:rFonts w:ascii="Times New Roman;Times;serif" w:hAnsi="Times New Roman;Times;serif"/>
          <w:b w:val="false"/>
          <w:i w:val="false"/>
          <w:caps w:val="false"/>
          <w:smallCaps w:val="false"/>
          <w:sz w:val="22"/>
          <w:shd w:fill="FFFFFF" w:val="clear"/>
        </w:rPr>
        <w:t>29</w:t>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895"/>
                <wp:effectExtent l="0" t="0" r="0" b="0"/>
                <wp:wrapNone/>
                <wp:docPr id="501" name="Frame5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2.15[Reserved]</w:t>
      </w:r>
      <w:r>
        <w:rPr>
          <w:rFonts w:ascii="Times New Roman;Times;serif" w:hAnsi="Times New Roman;Times;serif"/>
          <w:b w:val="false"/>
          <w:i w:val="false"/>
          <w:caps w:val="false"/>
          <w:smallCaps w:val="false"/>
          <w:sz w:val="22"/>
          <w:shd w:fill="FFFFFF" w:val="clear"/>
        </w:rPr>
        <w:t>29</w:t>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895"/>
                <wp:effectExtent l="0" t="0" r="0" b="0"/>
                <wp:wrapNone/>
                <wp:docPr id="502" name="Frame5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2.16[Reserved]</w:t>
      </w:r>
      <w:r>
        <w:rPr>
          <w:rFonts w:ascii="Times New Roman;Times;serif" w:hAnsi="Times New Roman;Times;serif"/>
          <w:b w:val="false"/>
          <w:i w:val="false"/>
          <w:caps w:val="false"/>
          <w:smallCaps w:val="false"/>
          <w:sz w:val="22"/>
          <w:shd w:fill="FFFFFF" w:val="clear"/>
        </w:rPr>
        <w:t>29</w:t>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895"/>
                <wp:effectExtent l="0" t="0" r="0" b="0"/>
                <wp:wrapNone/>
                <wp:docPr id="503" name="Frame5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2.17Defaulting Lenders</w:t>
      </w:r>
      <w:r>
        <w:rPr>
          <w:rFonts w:ascii="Times New Roman;Times;serif" w:hAnsi="Times New Roman;Times;serif"/>
          <w:b w:val="false"/>
          <w:i w:val="false"/>
          <w:caps w:val="false"/>
          <w:smallCaps w:val="false"/>
          <w:sz w:val="22"/>
          <w:shd w:fill="FFFFFF" w:val="clear"/>
        </w:rPr>
        <w:t>30</w:t>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895"/>
                <wp:effectExtent l="0" t="0" r="0" b="0"/>
                <wp:wrapNone/>
                <wp:docPr id="504" name="Frame5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6.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III.</w:t>
        <w:br/>
        <w:t>TAXES, YIELD PROTECTION AND ILLEGALITY</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3.01Taxes</w:t>
      </w:r>
      <w:r>
        <w:rPr>
          <w:rFonts w:ascii="Times New Roman;Times;serif" w:hAnsi="Times New Roman;Times;serif"/>
          <w:b w:val="false"/>
          <w:i w:val="false"/>
          <w:caps w:val="false"/>
          <w:smallCaps w:val="false"/>
          <w:sz w:val="22"/>
          <w:shd w:fill="FFFFFF" w:val="clear"/>
        </w:rPr>
        <w:t>31</w:t>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895"/>
                <wp:effectExtent l="0" t="0" r="0" b="0"/>
                <wp:wrapNone/>
                <wp:docPr id="505" name="Frame5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3.02Illegality</w:t>
      </w:r>
      <w:r>
        <w:rPr>
          <w:rFonts w:ascii="Times New Roman;Times;serif" w:hAnsi="Times New Roman;Times;serif"/>
          <w:b w:val="false"/>
          <w:i w:val="false"/>
          <w:caps w:val="false"/>
          <w:smallCaps w:val="false"/>
          <w:sz w:val="22"/>
          <w:shd w:fill="FFFFFF" w:val="clear"/>
        </w:rPr>
        <w:t>35</w:t>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895"/>
                <wp:effectExtent l="0" t="0" r="0" b="0"/>
                <wp:wrapNone/>
                <wp:docPr id="506" name="Frame5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3.03Inability to Determine Rates</w:t>
      </w:r>
      <w:r>
        <w:rPr>
          <w:rFonts w:ascii="Times New Roman;Times;serif" w:hAnsi="Times New Roman;Times;serif"/>
          <w:b w:val="false"/>
          <w:i w:val="false"/>
          <w:caps w:val="false"/>
          <w:smallCaps w:val="false"/>
          <w:sz w:val="22"/>
          <w:shd w:fill="FFFFFF" w:val="clear"/>
        </w:rPr>
        <w:t>36</w:t>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895"/>
                <wp:effectExtent l="0" t="0" r="0" b="0"/>
                <wp:wrapNone/>
                <wp:docPr id="507" name="Frame5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3.04Increased Costs</w:t>
      </w:r>
      <w:r>
        <w:rPr>
          <w:rFonts w:ascii="Times New Roman;Times;serif" w:hAnsi="Times New Roman;Times;serif"/>
          <w:b w:val="false"/>
          <w:i w:val="false"/>
          <w:caps w:val="false"/>
          <w:smallCaps w:val="false"/>
          <w:sz w:val="22"/>
          <w:shd w:fill="FFFFFF" w:val="clear"/>
        </w:rPr>
        <w:t>38</w:t>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895"/>
                <wp:effectExtent l="0" t="0" r="0" b="0"/>
                <wp:wrapNone/>
                <wp:docPr id="508" name="Frame5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3.05Compensation for Losses</w:t>
      </w:r>
      <w:r>
        <w:rPr>
          <w:rFonts w:ascii="Times New Roman;Times;serif" w:hAnsi="Times New Roman;Times;serif"/>
          <w:b w:val="false"/>
          <w:i w:val="false"/>
          <w:caps w:val="false"/>
          <w:smallCaps w:val="false"/>
          <w:sz w:val="22"/>
          <w:shd w:fill="FFFFFF" w:val="clear"/>
        </w:rPr>
        <w:t>39</w:t>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895"/>
                <wp:effectExtent l="0" t="0" r="0" b="0"/>
                <wp:wrapNone/>
                <wp:docPr id="509" name="Frame5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3.06Mitigation Obligations; Replacement of Lenders</w:t>
      </w:r>
      <w:r>
        <w:rPr>
          <w:rFonts w:ascii="Times New Roman;Times;serif" w:hAnsi="Times New Roman;Times;serif"/>
          <w:b w:val="false"/>
          <w:i w:val="false"/>
          <w:caps w:val="false"/>
          <w:smallCaps w:val="false"/>
          <w:sz w:val="22"/>
          <w:shd w:fill="FFFFFF" w:val="clear"/>
        </w:rPr>
        <w:t>40</w:t>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895"/>
                <wp:effectExtent l="0" t="0" r="0" b="0"/>
                <wp:wrapNone/>
                <wp:docPr id="510" name="Frame5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3.07Survival</w:t>
      </w:r>
      <w:r>
        <w:rPr>
          <w:rFonts w:ascii="Times New Roman;Times;serif" w:hAnsi="Times New Roman;Times;serif"/>
          <w:b w:val="false"/>
          <w:i w:val="false"/>
          <w:caps w:val="false"/>
          <w:smallCaps w:val="false"/>
          <w:sz w:val="22"/>
          <w:shd w:fill="FFFFFF" w:val="clear"/>
        </w:rPr>
        <w:t>40</w:t>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895"/>
                <wp:effectExtent l="0" t="0" r="0" b="0"/>
                <wp:wrapNone/>
                <wp:docPr id="511" name="Frame5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444" w:type="dxa"/>
        <w:jc w:val="left"/>
        <w:tblInd w:w="0" w:type="dxa"/>
        <w:tblLayout w:type="fixed"/>
        <w:tblCellMar>
          <w:top w:w="0" w:type="dxa"/>
          <w:left w:w="0" w:type="dxa"/>
          <w:bottom w:w="0" w:type="dxa"/>
          <w:right w:w="0" w:type="dxa"/>
        </w:tblCellMar>
      </w:tblPr>
      <w:tblGrid>
        <w:gridCol w:w="124"/>
        <w:gridCol w:w="16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ARTICLE IV.</w:t>
        <w:br/>
        <w:t>CONDITIONS PRECEDENT TO EFFECTIVENESS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4.01Conditions of Effectiveness</w:t>
      </w:r>
      <w:r>
        <w:rPr>
          <w:rFonts w:ascii="Times New Roman;Times;serif" w:hAnsi="Times New Roman;Times;serif"/>
          <w:b w:val="false"/>
          <w:i w:val="false"/>
          <w:caps w:val="false"/>
          <w:smallCaps w:val="false"/>
          <w:sz w:val="22"/>
          <w:shd w:fill="FFFFFF" w:val="clear"/>
        </w:rPr>
        <w:t>40</w:t>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895"/>
                <wp:effectExtent l="0" t="0" r="0" b="0"/>
                <wp:wrapNone/>
                <wp:docPr id="512" name="Frame5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V.</w:t>
        <w:br/>
        <w:t>REPRESENTATIONS AND WARRANTIES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5.01Existence, Qualification and Power; Compliance with Laws</w:t>
      </w:r>
      <w:r>
        <w:rPr>
          <w:rFonts w:ascii="Times New Roman;Times;serif" w:hAnsi="Times New Roman;Times;serif"/>
          <w:b w:val="false"/>
          <w:i w:val="false"/>
          <w:caps w:val="false"/>
          <w:smallCaps w:val="false"/>
          <w:sz w:val="22"/>
          <w:shd w:fill="FFFFFF" w:val="clear"/>
        </w:rPr>
        <w:t>42</w:t>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895"/>
                <wp:effectExtent l="0" t="0" r="0" b="0"/>
                <wp:wrapNone/>
                <wp:docPr id="513" name="Frame5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5.02Authorization; No Contravention</w:t>
      </w:r>
      <w:r>
        <w:rPr>
          <w:rFonts w:ascii="Times New Roman;Times;serif" w:hAnsi="Times New Roman;Times;serif"/>
          <w:b w:val="false"/>
          <w:i w:val="false"/>
          <w:caps w:val="false"/>
          <w:smallCaps w:val="false"/>
          <w:sz w:val="22"/>
          <w:shd w:fill="FFFFFF" w:val="clear"/>
        </w:rPr>
        <w:t>42</w:t>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895"/>
                <wp:effectExtent l="0" t="0" r="0" b="0"/>
                <wp:wrapNone/>
                <wp:docPr id="514" name="Frame5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5.03Governmental Authorization; Other Consents</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895"/>
                <wp:effectExtent l="0" t="0" r="0" b="0"/>
                <wp:wrapNone/>
                <wp:docPr id="515" name="Frame5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5.04Binding Effect</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895"/>
                <wp:effectExtent l="0" t="0" r="0" b="0"/>
                <wp:wrapNone/>
                <wp:docPr id="516" name="Frame5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5.05Financial Statements; No Material Adverse Effect</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895"/>
                <wp:effectExtent l="0" t="0" r="0" b="0"/>
                <wp:wrapNone/>
                <wp:docPr id="517" name="Frame5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5.06Litigation</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895"/>
                <wp:effectExtent l="0" t="0" r="0" b="0"/>
                <wp:wrapNone/>
                <wp:docPr id="518" name="Frame5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5.07No Default</w:t>
      </w:r>
      <w:r>
        <w:rPr>
          <w:rFonts w:ascii="Times New Roman;Times;serif" w:hAnsi="Times New Roman;Times;serif"/>
          <w:b w:val="false"/>
          <w:i w:val="false"/>
          <w:caps w:val="false"/>
          <w:smallCaps w:val="false"/>
          <w:sz w:val="22"/>
          <w:shd w:fill="FFFFFF" w:val="clear"/>
        </w:rPr>
        <w:t>43</w: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895"/>
                <wp:effectExtent l="0" t="0" r="0" b="0"/>
                <wp:wrapNone/>
                <wp:docPr id="519" name="Frame5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5.08Ownership of Property; Liens</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895"/>
                <wp:effectExtent l="0" t="0" r="0" b="0"/>
                <wp:wrapNone/>
                <wp:docPr id="520" name="Frame5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5.09Environmental Compliance</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895"/>
                <wp:effectExtent l="0" t="0" r="0" b="0"/>
                <wp:wrapNone/>
                <wp:docPr id="521" name="Frame5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5.10Taxes</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895"/>
                <wp:effectExtent l="0" t="0" r="0" b="0"/>
                <wp:wrapNone/>
                <wp:docPr id="522" name="Frame5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5.11ERISA Compliance</w:t>
      </w:r>
      <w:r>
        <w:rPr>
          <w:rFonts w:ascii="Times New Roman;Times;serif" w:hAnsi="Times New Roman;Times;serif"/>
          <w:b w:val="false"/>
          <w:i w:val="false"/>
          <w:caps w:val="false"/>
          <w:smallCaps w:val="false"/>
          <w:sz w:val="22"/>
          <w:shd w:fill="FFFFFF" w:val="clear"/>
        </w:rPr>
        <w:t>44</w:t>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895"/>
                <wp:effectExtent l="0" t="0" r="0" b="0"/>
                <wp:wrapNone/>
                <wp:docPr id="523" name="Frame5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9.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5.12Subsidiaries; Equity Interests</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895"/>
                <wp:effectExtent l="0" t="0" r="0" b="0"/>
                <wp:wrapNone/>
                <wp:docPr id="524" name="Frame5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5.13Margin Regulations; Investment Company Act</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895"/>
                <wp:effectExtent l="0" t="0" r="0" b="0"/>
                <wp:wrapNone/>
                <wp:docPr id="525" name="Frame5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5.14Disclosure</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895"/>
                <wp:effectExtent l="0" t="0" r="0" b="0"/>
                <wp:wrapNone/>
                <wp:docPr id="526" name="Frame5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5.15Compliance with Laws</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895"/>
                <wp:effectExtent l="0" t="0" r="0" b="0"/>
                <wp:wrapNone/>
                <wp:docPr id="527" name="Frame5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5.16Intellectual Property; Licenses, Etc</w:t>
      </w:r>
      <w:r>
        <w:rPr>
          <w:rFonts w:ascii="Times New Roman;Times;serif" w:hAnsi="Times New Roman;Times;serif"/>
          <w:b w:val="false"/>
          <w:i w:val="false"/>
          <w:caps w:val="false"/>
          <w:smallCaps w:val="false"/>
          <w:sz w:val="22"/>
          <w:shd w:fill="FFFFFF" w:val="clear"/>
        </w:rPr>
        <w:t>45</w:t>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895"/>
                <wp:effectExtent l="0" t="0" r="0" b="0"/>
                <wp:wrapNone/>
                <wp:docPr id="528" name="Frame5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5.17Solvency</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895"/>
                <wp:effectExtent l="0" t="0" r="0" b="0"/>
                <wp:wrapNone/>
                <wp:docPr id="529" name="Frame5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5.18Taxpayer Identification Number; Other Identifying Information</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895"/>
                <wp:effectExtent l="0" t="0" r="0" b="0"/>
                <wp:wrapNone/>
                <wp:docPr id="530" name="Frame5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1.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5.19[Reserved].</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895"/>
                <wp:effectExtent l="0" t="0" r="0" b="0"/>
                <wp:wrapNone/>
                <wp:docPr id="531" name="Frame5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5.20OFAC</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895"/>
                <wp:effectExtent l="0" t="0" r="0" b="0"/>
                <wp:wrapNone/>
                <wp:docPr id="532" name="Frame5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5.21Anti-Corruption Laws</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895"/>
                <wp:effectExtent l="0" t="0" r="0" b="0"/>
                <wp:wrapNone/>
                <wp:docPr id="533" name="Frame5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5.22Affected Financial Institutions</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895"/>
                <wp:effectExtent l="0" t="0" r="0" b="0"/>
                <wp:wrapNone/>
                <wp:docPr id="534" name="Frame5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5.23[Reserved]</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895"/>
                <wp:effectExtent l="0" t="0" r="0" b="0"/>
                <wp:wrapNone/>
                <wp:docPr id="535" name="Frame5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5.24Covered Entities</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895"/>
                <wp:effectExtent l="0" t="0" r="0" b="0"/>
                <wp:wrapNone/>
                <wp:docPr id="536" name="Frame5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4.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VI.</w:t>
        <w:br/>
        <w:t>AFFIRMATIVE COVENANTS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6.01Financial Statements</w:t>
      </w:r>
      <w:r>
        <w:rPr>
          <w:rFonts w:ascii="Times New Roman;Times;serif" w:hAnsi="Times New Roman;Times;serif"/>
          <w:b w:val="false"/>
          <w:i w:val="false"/>
          <w:caps w:val="false"/>
          <w:smallCaps w:val="false"/>
          <w:sz w:val="22"/>
          <w:shd w:fill="FFFFFF" w:val="clear"/>
        </w:rPr>
        <w:t>46</w:t>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895"/>
                <wp:effectExtent l="0" t="0" r="0" b="0"/>
                <wp:wrapNone/>
                <wp:docPr id="537" name="Frame5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6.02Certificates; Other Information</w:t>
      </w:r>
      <w:r>
        <w:rPr>
          <w:rFonts w:ascii="Times New Roman;Times;serif" w:hAnsi="Times New Roman;Times;serif"/>
          <w:b w:val="false"/>
          <w:i w:val="false"/>
          <w:caps w:val="false"/>
          <w:smallCaps w:val="false"/>
          <w:sz w:val="22"/>
          <w:shd w:fill="FFFFFF" w:val="clear"/>
        </w:rPr>
        <w:t>47</w: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895"/>
                <wp:effectExtent l="0" t="0" r="0" b="0"/>
                <wp:wrapNone/>
                <wp:docPr id="538" name="Frame5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6.03Notices</w:t>
      </w:r>
      <w:r>
        <w:rPr>
          <w:rFonts w:ascii="Times New Roman;Times;serif" w:hAnsi="Times New Roman;Times;serif"/>
          <w:b w:val="false"/>
          <w:i w:val="false"/>
          <w:caps w:val="false"/>
          <w:smallCaps w:val="false"/>
          <w:sz w:val="22"/>
          <w:shd w:fill="FFFFFF" w:val="clear"/>
        </w:rPr>
        <w:t>48</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895"/>
                <wp:effectExtent l="0" t="0" r="0" b="0"/>
                <wp:wrapNone/>
                <wp:docPr id="539" name="Frame5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6.04Payment of Obligations</w:t>
      </w:r>
      <w:r>
        <w:rPr>
          <w:rFonts w:ascii="Times New Roman;Times;serif" w:hAnsi="Times New Roman;Times;serif"/>
          <w:b w:val="false"/>
          <w:i w:val="false"/>
          <w:caps w:val="false"/>
          <w:smallCaps w:val="false"/>
          <w:sz w:val="22"/>
          <w:shd w:fill="FFFFFF" w:val="clear"/>
        </w:rPr>
        <w:t>49</w:t>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895"/>
                <wp:effectExtent l="0" t="0" r="0" b="0"/>
                <wp:wrapNone/>
                <wp:docPr id="540" name="Frame5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6.05Preservation of Existence, Etc</w:t>
      </w:r>
      <w:r>
        <w:rPr>
          <w:rFonts w:ascii="Times New Roman;Times;serif" w:hAnsi="Times New Roman;Times;serif"/>
          <w:b w:val="false"/>
          <w:i w:val="false"/>
          <w:caps w:val="false"/>
          <w:smallCaps w:val="false"/>
          <w:sz w:val="22"/>
          <w:shd w:fill="FFFFFF" w:val="clear"/>
        </w:rPr>
        <w:t>49</w:t>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895"/>
                <wp:effectExtent l="0" t="0" r="0" b="0"/>
                <wp:wrapNone/>
                <wp:docPr id="541" name="Frame5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6.06Maintenance of Properties</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895"/>
                <wp:effectExtent l="0" t="0" r="0" b="0"/>
                <wp:wrapNone/>
                <wp:docPr id="542" name="Frame5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6.07Maintenance of Insurance</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895"/>
                <wp:effectExtent l="0" t="0" r="0" b="0"/>
                <wp:wrapNone/>
                <wp:docPr id="543" name="Frame5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6.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6.08Compliance with Laws</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895"/>
                <wp:effectExtent l="0" t="0" r="0" b="0"/>
                <wp:wrapNone/>
                <wp:docPr id="544" name="Frame5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6.09Books and Records</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895"/>
                <wp:effectExtent l="0" t="0" r="0" b="0"/>
                <wp:wrapNone/>
                <wp:docPr id="545" name="Frame5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6.10Inspection Rights</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895"/>
                <wp:effectExtent l="0" t="0" r="0" b="0"/>
                <wp:wrapNone/>
                <wp:docPr id="546" name="Frame5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6.11[Reserved].</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895"/>
                <wp:effectExtent l="0" t="0" r="0" b="0"/>
                <wp:wrapNone/>
                <wp:docPr id="547" name="Frame5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6.12Anti-Corruption and Anti-Terrorism Laws</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895"/>
                <wp:effectExtent l="0" t="0" r="0" b="0"/>
                <wp:wrapNone/>
                <wp:docPr id="548" name="Frame5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6.13Other Additional Information</w:t>
      </w:r>
      <w:r>
        <w:rPr>
          <w:rFonts w:ascii="Times New Roman;Times;serif" w:hAnsi="Times New Roman;Times;serif"/>
          <w:b w:val="false"/>
          <w:i w:val="false"/>
          <w:caps w:val="false"/>
          <w:smallCaps w:val="false"/>
          <w:sz w:val="22"/>
          <w:shd w:fill="FFFFFF" w:val="clear"/>
        </w:rPr>
        <w:t>50</w:t>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895"/>
                <wp:effectExtent l="0" t="0" r="0" b="0"/>
                <wp:wrapNone/>
                <wp:docPr id="549" name="Frame5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ARTICLE VII.</w:t>
        <w:br/>
        <w:t>NEGATIVE COVENANTS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7.01Liens</w:t>
      </w:r>
      <w:r>
        <w:rPr>
          <w:rFonts w:ascii="Times New Roman;Times;serif" w:hAnsi="Times New Roman;Times;serif"/>
          <w:b w:val="false"/>
          <w:i w:val="false"/>
          <w:caps w:val="false"/>
          <w:smallCaps w:val="false"/>
          <w:sz w:val="22"/>
          <w:shd w:fill="FFFFFF" w:val="clear"/>
        </w:rPr>
        <w:t>51</w:t>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895"/>
                <wp:effectExtent l="0" t="0" r="0" b="0"/>
                <wp:wrapNone/>
                <wp:docPr id="550" name="Frame5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7.02[Reserved]</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75895"/>
                <wp:effectExtent l="0" t="0" r="0" b="0"/>
                <wp:wrapNone/>
                <wp:docPr id="551" name="Frame5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7.03Indebtedness</w:t>
      </w:r>
      <w:r>
        <w:rPr>
          <w:rFonts w:ascii="Times New Roman;Times;serif" w:hAnsi="Times New Roman;Times;serif"/>
          <w:b w:val="false"/>
          <w:i w:val="false"/>
          <w:caps w:val="false"/>
          <w:smallCaps w:val="false"/>
          <w:sz w:val="22"/>
          <w:shd w:fill="FFFFFF" w:val="clear"/>
        </w:rPr>
        <w:t>52</w:t>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895"/>
                <wp:effectExtent l="0" t="0" r="0" b="0"/>
                <wp:wrapNone/>
                <wp:docPr id="552" name="Frame5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9.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7.04Fundamental Changes</w:t>
      </w:r>
      <w:r>
        <w:rPr>
          <w:rFonts w:ascii="Times New Roman;Times;serif" w:hAnsi="Times New Roman;Times;serif"/>
          <w:b w:val="false"/>
          <w:i w:val="false"/>
          <w:caps w:val="false"/>
          <w:smallCaps w:val="false"/>
          <w:sz w:val="22"/>
          <w:shd w:fill="FFFFFF" w:val="clear"/>
        </w:rPr>
        <w:t>53</w:t>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75895"/>
                <wp:effectExtent l="0" t="0" r="0" b="0"/>
                <wp:wrapNone/>
                <wp:docPr id="553" name="Frame5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9.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7.05Restricted Payments</w:t>
      </w:r>
      <w:r>
        <w:rPr>
          <w:rFonts w:ascii="Times New Roman;Times;serif" w:hAnsi="Times New Roman;Times;serif"/>
          <w:b w:val="false"/>
          <w:i w:val="false"/>
          <w:caps w:val="false"/>
          <w:smallCaps w:val="false"/>
          <w:sz w:val="22"/>
          <w:shd w:fill="FFFFFF" w:val="clear"/>
        </w:rPr>
        <w:t>54</w:t>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75895"/>
                <wp:effectExtent l="0" t="0" r="0" b="0"/>
                <wp:wrapNone/>
                <wp:docPr id="554" name="Frame5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7.06Change in Nature of Business</w:t>
      </w:r>
      <w:r>
        <w:rPr>
          <w:rFonts w:ascii="Times New Roman;Times;serif" w:hAnsi="Times New Roman;Times;serif"/>
          <w:b w:val="false"/>
          <w:i w:val="false"/>
          <w:caps w:val="false"/>
          <w:smallCaps w:val="false"/>
          <w:sz w:val="22"/>
          <w:shd w:fill="FFFFFF" w:val="clear"/>
        </w:rPr>
        <w:t>54</w:t>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75895"/>
                <wp:effectExtent l="0" t="0" r="0" b="0"/>
                <wp:wrapNone/>
                <wp:docPr id="555" name="Frame5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7.07Transactions with Affiliates</w:t>
      </w:r>
      <w:r>
        <w:rPr>
          <w:rFonts w:ascii="Times New Roman;Times;serif" w:hAnsi="Times New Roman;Times;serif"/>
          <w:b w:val="false"/>
          <w:i w:val="false"/>
          <w:caps w:val="false"/>
          <w:smallCaps w:val="false"/>
          <w:sz w:val="22"/>
          <w:shd w:fill="FFFFFF" w:val="clear"/>
        </w:rPr>
        <w:t>54</w:t>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75895"/>
                <wp:effectExtent l="0" t="0" r="0" b="0"/>
                <wp:wrapNone/>
                <wp:docPr id="556" name="Frame5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4.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7.08Limitation on Restrictions Affecting the Borrower or any Subsidiary</w:t>
      </w:r>
      <w:r>
        <w:rPr>
          <w:rFonts w:ascii="Times New Roman;Times;serif" w:hAnsi="Times New Roman;Times;serif"/>
          <w:b w:val="false"/>
          <w:i w:val="false"/>
          <w:caps w:val="false"/>
          <w:smallCaps w:val="false"/>
          <w:sz w:val="22"/>
          <w:shd w:fill="FFFFFF" w:val="clear"/>
        </w:rPr>
        <w:t>54</w:t>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75895"/>
                <wp:effectExtent l="0" t="0" r="0" b="0"/>
                <wp:wrapNone/>
                <wp:docPr id="557" name="Frame5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7.09Use of Proceeds</w:t>
      </w:r>
      <w:r>
        <w:rPr>
          <w:rFonts w:ascii="Times New Roman;Times;serif" w:hAnsi="Times New Roman;Times;serif"/>
          <w:b w:val="false"/>
          <w:i w:val="false"/>
          <w:caps w:val="false"/>
          <w:smallCaps w:val="false"/>
          <w:sz w:val="22"/>
          <w:shd w:fill="FFFFFF" w:val="clear"/>
        </w:rPr>
        <w:t>55</w:t>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75895"/>
                <wp:effectExtent l="0" t="0" r="0" b="0"/>
                <wp:wrapNone/>
                <wp:docPr id="558" name="Frame5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3.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7.10Financial Covenant</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75895"/>
                <wp:effectExtent l="0" t="0" r="0" b="0"/>
                <wp:wrapNone/>
                <wp:docPr id="559" name="Frame5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7.11Sanctions</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75895"/>
                <wp:effectExtent l="0" t="0" r="0" b="0"/>
                <wp:wrapNone/>
                <wp:docPr id="560" name="Frame5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7.12Anti-Corruption and Anti-Terrorism Laws</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75895"/>
                <wp:effectExtent l="0" t="0" r="0" b="0"/>
                <wp:wrapNone/>
                <wp:docPr id="561" name="Frame5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VIII.</w:t>
        <w:br/>
        <w:t>EVENTS OF DEFAULT AND REMEDIES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8.01Events of Default</w:t>
      </w:r>
      <w:r>
        <w:rPr>
          <w:rFonts w:ascii="Times New Roman;Times;serif" w:hAnsi="Times New Roman;Times;serif"/>
          <w:b w:val="false"/>
          <w:i w:val="false"/>
          <w:caps w:val="false"/>
          <w:smallCaps w:val="false"/>
          <w:sz w:val="22"/>
          <w:shd w:fill="FFFFFF" w:val="clear"/>
        </w:rPr>
        <w:t>56</w:t>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75895"/>
                <wp:effectExtent l="0" t="0" r="0" b="0"/>
                <wp:wrapNone/>
                <wp:docPr id="562" name="Frame5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8.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8.02Remedies Upon Event of Default</w:t>
      </w:r>
      <w:r>
        <w:rPr>
          <w:rFonts w:ascii="Times New Roman;Times;serif" w:hAnsi="Times New Roman;Times;serif"/>
          <w:b w:val="false"/>
          <w:i w:val="false"/>
          <w:caps w:val="false"/>
          <w:smallCaps w:val="false"/>
          <w:sz w:val="22"/>
          <w:shd w:fill="FFFFFF" w:val="clear"/>
        </w:rPr>
        <w:t>58</w:t>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75895"/>
                <wp:effectExtent l="0" t="0" r="0" b="0"/>
                <wp:wrapNone/>
                <wp:docPr id="563" name="Frame5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8.03Application of Funds</w:t>
      </w:r>
      <w:r>
        <w:rPr>
          <w:rFonts w:ascii="Times New Roman;Times;serif" w:hAnsi="Times New Roman;Times;serif"/>
          <w:b w:val="false"/>
          <w:i w:val="false"/>
          <w:caps w:val="false"/>
          <w:smallCaps w:val="false"/>
          <w:sz w:val="22"/>
          <w:shd w:fill="FFFFFF" w:val="clear"/>
        </w:rPr>
        <w:t>58</w:t>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75895"/>
                <wp:effectExtent l="0" t="0" r="0" b="0"/>
                <wp:wrapNone/>
                <wp:docPr id="564" name="Frame5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IX.</w:t>
        <w:br/>
        <w:t>ADMINISTRATIVE AGENT</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9.01Appointment and Authority</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75895"/>
                <wp:effectExtent l="0" t="0" r="0" b="0"/>
                <wp:wrapNone/>
                <wp:docPr id="565" name="Frame5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9.02Rights as a Lender</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75895"/>
                <wp:effectExtent l="0" t="0" r="0" b="0"/>
                <wp:wrapNone/>
                <wp:docPr id="566" name="Frame5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3.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9.03Exculpatory Provisions</w:t>
      </w:r>
      <w:r>
        <w:rPr>
          <w:rFonts w:ascii="Times New Roman;Times;serif" w:hAnsi="Times New Roman;Times;serif"/>
          <w:b w:val="false"/>
          <w:i w:val="false"/>
          <w:caps w:val="false"/>
          <w:smallCaps w:val="false"/>
          <w:sz w:val="22"/>
          <w:shd w:fill="FFFFFF" w:val="clear"/>
        </w:rPr>
        <w:t>59</w:t>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75895"/>
                <wp:effectExtent l="0" t="0" r="0" b="0"/>
                <wp:wrapNone/>
                <wp:docPr id="567" name="Frame5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9.04Reliance by Administrative Agent</w:t>
      </w:r>
      <w:r>
        <w:rPr>
          <w:rFonts w:ascii="Times New Roman;Times;serif" w:hAnsi="Times New Roman;Times;serif"/>
          <w:b w:val="false"/>
          <w:i w:val="false"/>
          <w:caps w:val="false"/>
          <w:smallCaps w:val="false"/>
          <w:sz w:val="22"/>
          <w:shd w:fill="FFFFFF" w:val="clear"/>
        </w:rPr>
        <w:t>60</w:t>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75895"/>
                <wp:effectExtent l="0" t="0" r="0" b="0"/>
                <wp:wrapNone/>
                <wp:docPr id="568" name="Frame5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9.05Delegation of Duties</w:t>
      </w:r>
      <w:r>
        <w:rPr>
          <w:rFonts w:ascii="Times New Roman;Times;serif" w:hAnsi="Times New Roman;Times;serif"/>
          <w:b w:val="false"/>
          <w:i w:val="false"/>
          <w:caps w:val="false"/>
          <w:smallCaps w:val="false"/>
          <w:sz w:val="22"/>
          <w:shd w:fill="FFFFFF" w:val="clear"/>
        </w:rPr>
        <w:t>60</w:t>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75895"/>
                <wp:effectExtent l="0" t="0" r="0" b="0"/>
                <wp:wrapNone/>
                <wp:docPr id="569" name="Frame5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9.06Resignation of Administrative Agent</w:t>
      </w:r>
      <w:r>
        <w:rPr>
          <w:rFonts w:ascii="Times New Roman;Times;serif" w:hAnsi="Times New Roman;Times;serif"/>
          <w:b w:val="false"/>
          <w:i w:val="false"/>
          <w:caps w:val="false"/>
          <w:smallCaps w:val="false"/>
          <w:sz w:val="22"/>
          <w:shd w:fill="FFFFFF" w:val="clear"/>
        </w:rPr>
        <w:t>60</w:t>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895"/>
                <wp:effectExtent l="0" t="0" r="0" b="0"/>
                <wp:wrapNone/>
                <wp:docPr id="570" name="Frame5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9.07Non-Reliance on Administrative Agent, the Arrangers and Other Lenders</w:t>
      </w:r>
      <w:r>
        <w:rPr>
          <w:rFonts w:ascii="Times New Roman;Times;serif" w:hAnsi="Times New Roman;Times;serif"/>
          <w:b w:val="false"/>
          <w:i w:val="false"/>
          <w:caps w:val="false"/>
          <w:smallCaps w:val="false"/>
          <w:sz w:val="22"/>
          <w:shd w:fill="FFFFFF" w:val="clear"/>
        </w:rPr>
        <w:t>61</w:t>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895"/>
                <wp:effectExtent l="0" t="0" r="0" b="0"/>
                <wp:wrapNone/>
                <wp:docPr id="571" name="Frame5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5.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9.08No Other Duties, Etc.</w:t>
      </w:r>
      <w:r>
        <w:rPr>
          <w:rFonts w:ascii="Times New Roman;Times;serif" w:hAnsi="Times New Roman;Times;serif"/>
          <w:b w:val="false"/>
          <w:i w:val="false"/>
          <w:caps w:val="false"/>
          <w:smallCaps w:val="false"/>
          <w:sz w:val="22"/>
          <w:shd w:fill="FFFFFF" w:val="clear"/>
        </w:rPr>
        <w:t>62</w:t>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895"/>
                <wp:effectExtent l="0" t="0" r="0" b="0"/>
                <wp:wrapNone/>
                <wp:docPr id="572" name="Frame5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6.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9.09Administrative Agent May File Proofs of Claim</w:t>
      </w:r>
      <w:r>
        <w:rPr>
          <w:rFonts w:ascii="Times New Roman;Times;serif" w:hAnsi="Times New Roman;Times;serif"/>
          <w:b w:val="false"/>
          <w:i w:val="false"/>
          <w:caps w:val="false"/>
          <w:smallCaps w:val="false"/>
          <w:sz w:val="22"/>
          <w:shd w:fill="FFFFFF" w:val="clear"/>
        </w:rPr>
        <w:t>62</w:t>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895"/>
                <wp:effectExtent l="0" t="0" r="0" b="0"/>
                <wp:wrapNone/>
                <wp:docPr id="573" name="Frame5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9.10Certain ERISA Matters</w:t>
      </w:r>
      <w:r>
        <w:rPr>
          <w:rFonts w:ascii="Times New Roman;Times;serif" w:hAnsi="Times New Roman;Times;serif"/>
          <w:b w:val="false"/>
          <w:i w:val="false"/>
          <w:caps w:val="false"/>
          <w:smallCaps w:val="false"/>
          <w:sz w:val="22"/>
          <w:shd w:fill="FFFFFF" w:val="clear"/>
        </w:rPr>
        <w:t>63</w:t>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895"/>
                <wp:effectExtent l="0" t="0" r="0" b="0"/>
                <wp:wrapNone/>
                <wp:docPr id="574" name="Frame5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9.11Recovery of Erroneous Payments</w:t>
      </w:r>
      <w:r>
        <w:rPr>
          <w:rFonts w:ascii="Times New Roman;Times;serif" w:hAnsi="Times New Roman;Times;serif"/>
          <w:b w:val="false"/>
          <w:i w:val="false"/>
          <w:caps w:val="false"/>
          <w:smallCaps w:val="false"/>
          <w:sz w:val="22"/>
          <w:shd w:fill="FFFFFF" w:val="clear"/>
        </w:rPr>
        <w:t>64</w:t>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895"/>
                <wp:effectExtent l="0" t="0" r="0" b="0"/>
                <wp:wrapNone/>
                <wp:docPr id="575" name="Frame5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ARTICLE X.</w:t>
        <w:br/>
        <w:t>MISCELLANEOUS</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10.01Amendments, Etc</w:t>
      </w:r>
      <w:r>
        <w:rPr>
          <w:rFonts w:ascii="Times New Roman;Times;serif" w:hAnsi="Times New Roman;Times;serif"/>
          <w:b w:val="false"/>
          <w:i w:val="false"/>
          <w:caps w:val="false"/>
          <w:smallCaps w:val="false"/>
          <w:sz w:val="22"/>
          <w:shd w:fill="FFFFFF" w:val="clear"/>
        </w:rPr>
        <w:t>64</w:t>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895"/>
                <wp:effectExtent l="0" t="0" r="0" b="0"/>
                <wp:wrapNone/>
                <wp:docPr id="576" name="Frame5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10.02Notices; Effectiveness; Electronic Communication</w:t>
      </w:r>
      <w:r>
        <w:rPr>
          <w:rFonts w:ascii="Times New Roman;Times;serif" w:hAnsi="Times New Roman;Times;serif"/>
          <w:b w:val="false"/>
          <w:i w:val="false"/>
          <w:caps w:val="false"/>
          <w:smallCaps w:val="false"/>
          <w:sz w:val="22"/>
          <w:shd w:fill="FFFFFF" w:val="clear"/>
        </w:rPr>
        <w:t>65</w:t>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895"/>
                <wp:effectExtent l="0" t="0" r="0" b="0"/>
                <wp:wrapNone/>
                <wp:docPr id="577" name="Frame5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10.03No Waiver; Cumulative Remedies; Enforcement</w:t>
      </w:r>
      <w:r>
        <w:rPr>
          <w:rFonts w:ascii="Times New Roman;Times;serif" w:hAnsi="Times New Roman;Times;serif"/>
          <w:b w:val="false"/>
          <w:i w:val="false"/>
          <w:caps w:val="false"/>
          <w:smallCaps w:val="false"/>
          <w:sz w:val="22"/>
          <w:shd w:fill="FFFFFF" w:val="clear"/>
        </w:rPr>
        <w:t>67</w:t>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895"/>
                <wp:effectExtent l="0" t="0" r="0" b="0"/>
                <wp:wrapNone/>
                <wp:docPr id="578" name="Frame5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10.04Expenses; Indemnity; Damage Waiver</w:t>
      </w:r>
      <w:r>
        <w:rPr>
          <w:rFonts w:ascii="Times New Roman;Times;serif" w:hAnsi="Times New Roman;Times;serif"/>
          <w:b w:val="false"/>
          <w:i w:val="false"/>
          <w:caps w:val="false"/>
          <w:smallCaps w:val="false"/>
          <w:sz w:val="22"/>
          <w:shd w:fill="FFFFFF" w:val="clear"/>
        </w:rPr>
        <w:t>67</w:t>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75895"/>
                <wp:effectExtent l="0" t="0" r="0" b="0"/>
                <wp:wrapNone/>
                <wp:docPr id="579" name="Frame5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10.05Payments Set Aside</w:t>
      </w:r>
      <w:r>
        <w:rPr>
          <w:rFonts w:ascii="Times New Roman;Times;serif" w:hAnsi="Times New Roman;Times;serif"/>
          <w:b w:val="false"/>
          <w:i w:val="false"/>
          <w:caps w:val="false"/>
          <w:smallCaps w:val="false"/>
          <w:sz w:val="22"/>
          <w:shd w:fill="FFFFFF" w:val="clear"/>
        </w:rPr>
        <w:t>69</w:t>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895"/>
                <wp:effectExtent l="0" t="0" r="0" b="0"/>
                <wp:wrapNone/>
                <wp:docPr id="580" name="Frame5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10.06Successors and Assigns</w:t>
      </w:r>
      <w:r>
        <w:rPr>
          <w:rFonts w:ascii="Times New Roman;Times;serif" w:hAnsi="Times New Roman;Times;serif"/>
          <w:b w:val="false"/>
          <w:i w:val="false"/>
          <w:caps w:val="false"/>
          <w:smallCaps w:val="false"/>
          <w:sz w:val="22"/>
          <w:shd w:fill="FFFFFF" w:val="clear"/>
        </w:rPr>
        <w:t>69</w:t>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895"/>
                <wp:effectExtent l="0" t="0" r="0" b="0"/>
                <wp:wrapNone/>
                <wp:docPr id="581" name="Frame5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10.07Treatment of Certain Information; Confidentiality</w:t>
      </w:r>
      <w:r>
        <w:rPr>
          <w:rFonts w:ascii="Times New Roman;Times;serif" w:hAnsi="Times New Roman;Times;serif"/>
          <w:b w:val="false"/>
          <w:i w:val="false"/>
          <w:caps w:val="false"/>
          <w:smallCaps w:val="false"/>
          <w:sz w:val="22"/>
          <w:shd w:fill="FFFFFF" w:val="clear"/>
        </w:rPr>
        <w:t>73</w:t>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895"/>
                <wp:effectExtent l="0" t="0" r="0" b="0"/>
                <wp:wrapNone/>
                <wp:docPr id="582" name="Frame5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10.08Right of Setoff</w:t>
      </w:r>
      <w:r>
        <w:rPr>
          <w:rFonts w:ascii="Times New Roman;Times;serif" w:hAnsi="Times New Roman;Times;serif"/>
          <w:b w:val="false"/>
          <w:i w:val="false"/>
          <w:caps w:val="false"/>
          <w:smallCaps w:val="false"/>
          <w:sz w:val="22"/>
          <w:shd w:fill="FFFFFF" w:val="clear"/>
        </w:rPr>
        <w:t>74</w:t>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895"/>
                <wp:effectExtent l="0" t="0" r="0" b="0"/>
                <wp:wrapNone/>
                <wp:docPr id="583" name="Frame5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10.09Interest Rate Limitation</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895"/>
                <wp:effectExtent l="0" t="0" r="0" b="0"/>
                <wp:wrapNone/>
                <wp:docPr id="584" name="Frame5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10.10Integration; Effectiveness</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895"/>
                <wp:effectExtent l="0" t="0" r="0" b="0"/>
                <wp:wrapNone/>
                <wp:docPr id="585" name="Frame5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564" w:type="dxa"/>
        <w:jc w:val="left"/>
        <w:tblInd w:w="0" w:type="dxa"/>
        <w:tblLayout w:type="fixed"/>
        <w:tblCellMar>
          <w:top w:w="0" w:type="dxa"/>
          <w:left w:w="0" w:type="dxa"/>
          <w:bottom w:w="0" w:type="dxa"/>
          <w:right w:w="0" w:type="dxa"/>
        </w:tblCellMar>
      </w:tblPr>
      <w:tblGrid>
        <w:gridCol w:w="124"/>
        <w:gridCol w:w="28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10.11Survival of Representations and Warranties</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895"/>
                <wp:effectExtent l="0" t="0" r="0" b="0"/>
                <wp:wrapNone/>
                <wp:docPr id="586" name="Frame5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10.12Severability</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895"/>
                <wp:effectExtent l="0" t="0" r="0" b="0"/>
                <wp:wrapNone/>
                <wp:docPr id="587" name="Frame5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10.13Replacement of Lenders</w:t>
      </w:r>
      <w:r>
        <w:rPr>
          <w:rFonts w:ascii="Times New Roman;Times;serif" w:hAnsi="Times New Roman;Times;serif"/>
          <w:b w:val="false"/>
          <w:i w:val="false"/>
          <w:caps w:val="false"/>
          <w:smallCaps w:val="false"/>
          <w:sz w:val="22"/>
          <w:shd w:fill="FFFFFF" w:val="clear"/>
        </w:rPr>
        <w:t>75</w:t>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895"/>
                <wp:effectExtent l="0" t="0" r="0" b="0"/>
                <wp:wrapNone/>
                <wp:docPr id="588" name="Frame5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10.14Governing Law; Jurisdiction; Etc</w:t>
      </w:r>
      <w:r>
        <w:rPr>
          <w:rFonts w:ascii="Times New Roman;Times;serif" w:hAnsi="Times New Roman;Times;serif"/>
          <w:b w:val="false"/>
          <w:i w:val="false"/>
          <w:caps w:val="false"/>
          <w:smallCaps w:val="false"/>
          <w:sz w:val="22"/>
          <w:shd w:fill="FFFFFF" w:val="clear"/>
        </w:rPr>
        <w:t>76</w:t>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895"/>
                <wp:effectExtent l="0" t="0" r="0" b="0"/>
                <wp:wrapNone/>
                <wp:docPr id="589" name="Frame5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10.15WAIVER OF JURY TRIAL</w:t>
      </w:r>
      <w:r>
        <w:rPr>
          <w:rFonts w:ascii="Times New Roman;Times;serif" w:hAnsi="Times New Roman;Times;serif"/>
          <w:b w:val="false"/>
          <w:i w:val="false"/>
          <w:caps w:val="false"/>
          <w:smallCaps w:val="false"/>
          <w:sz w:val="22"/>
          <w:shd w:fill="FFFFFF" w:val="clear"/>
        </w:rPr>
        <w:t>77</w:t>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895"/>
                <wp:effectExtent l="0" t="0" r="0" b="0"/>
                <wp:wrapNone/>
                <wp:docPr id="590" name="Frame5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10.16No Advisory or Fiduciary Responsibility</w:t>
      </w:r>
      <w:r>
        <w:rPr>
          <w:rFonts w:ascii="Times New Roman;Times;serif" w:hAnsi="Times New Roman;Times;serif"/>
          <w:b w:val="false"/>
          <w:i w:val="false"/>
          <w:caps w:val="false"/>
          <w:smallCaps w:val="false"/>
          <w:sz w:val="22"/>
          <w:shd w:fill="FFFFFF" w:val="clear"/>
        </w:rPr>
        <w:t>77</w:t>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895"/>
                <wp:effectExtent l="0" t="0" r="0" b="0"/>
                <wp:wrapNone/>
                <wp:docPr id="591" name="Frame5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10.17USA PATRIOT Act Notice</w:t>
      </w:r>
      <w:r>
        <w:rPr>
          <w:rFonts w:ascii="Times New Roman;Times;serif" w:hAnsi="Times New Roman;Times;serif"/>
          <w:b w:val="false"/>
          <w:i w:val="false"/>
          <w:caps w:val="false"/>
          <w:smallCaps w:val="false"/>
          <w:sz w:val="22"/>
          <w:shd w:fill="FFFFFF" w:val="clear"/>
        </w:rPr>
        <w:t>78</w:t>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895"/>
                <wp:effectExtent l="0" t="0" r="0" b="0"/>
                <wp:wrapNone/>
                <wp:docPr id="592" name="Frame5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8.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10.18Judgment Currency</w:t>
      </w:r>
      <w:r>
        <w:rPr>
          <w:rFonts w:ascii="Times New Roman;Times;serif" w:hAnsi="Times New Roman;Times;serif"/>
          <w:b w:val="false"/>
          <w:i w:val="false"/>
          <w:caps w:val="false"/>
          <w:smallCaps w:val="false"/>
          <w:sz w:val="22"/>
          <w:shd w:fill="FFFFFF" w:val="clear"/>
        </w:rPr>
        <w:t>78</w:t>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895"/>
                <wp:effectExtent l="0" t="0" r="0" b="0"/>
                <wp:wrapNone/>
                <wp:docPr id="593" name="Frame5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3.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10.19Electronic Execution; Electronic Records; Counterparts</w:t>
      </w:r>
      <w:r>
        <w:rPr>
          <w:rFonts w:ascii="Times New Roman;Times;serif" w:hAnsi="Times New Roman;Times;serif"/>
          <w:b w:val="false"/>
          <w:i w:val="false"/>
          <w:caps w:val="false"/>
          <w:smallCaps w:val="false"/>
          <w:sz w:val="22"/>
          <w:shd w:fill="FFFFFF" w:val="clear"/>
        </w:rPr>
        <w:t>78</w:t>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895"/>
                <wp:effectExtent l="0" t="0" r="0" b="0"/>
                <wp:wrapNone/>
                <wp:docPr id="594" name="Frame5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1.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10.20Acknowledgement and Consent to Bail-In of Affected Financial Institutions</w:t>
      </w:r>
      <w:r>
        <w:rPr>
          <w:rFonts w:ascii="Times New Roman;Times;serif" w:hAnsi="Times New Roman;Times;serif"/>
          <w:b w:val="false"/>
          <w:i w:val="false"/>
          <w:caps w:val="false"/>
          <w:smallCaps w:val="false"/>
          <w:sz w:val="22"/>
          <w:shd w:fill="FFFFFF" w:val="clear"/>
        </w:rPr>
        <w:t>79</w:t>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895"/>
                <wp:effectExtent l="0" t="0" r="0" b="0"/>
                <wp:wrapNone/>
                <wp:docPr id="595" name="Frame5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10.21Acknowledgement Regarding Any Supported QFCs</w:t>
      </w:r>
      <w:r>
        <w:rPr>
          <w:rFonts w:ascii="Times New Roman;Times;serif" w:hAnsi="Times New Roman;Times;serif"/>
          <w:b w:val="false"/>
          <w:i w:val="false"/>
          <w:caps w:val="false"/>
          <w:smallCaps w:val="false"/>
          <w:sz w:val="22"/>
          <w:shd w:fill="FFFFFF" w:val="clear"/>
        </w:rPr>
        <w:t>80</w:t>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895"/>
                <wp:effectExtent l="0" t="0" r="0" b="0"/>
                <wp:wrapNone/>
                <wp:docPr id="596" name="Frame5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0" w:right="0" w:hanging="0"/>
        <w:jc w:val="center"/>
        <w:rPr/>
      </w:pPr>
      <w:r>
        <w:rPr/>
        <w:t>​</w:t>
      </w:r>
    </w:p>
    <w:p>
      <w:pPr>
        <w:pStyle w:val="TextBody"/>
        <w:pBdr/>
        <w:bidi w:val="0"/>
        <w:spacing w:before="0" w:after="0"/>
        <w:ind w:left="0" w:right="720" w:hanging="720"/>
        <w:jc w:val="left"/>
        <w:rPr/>
      </w:pPr>
      <w:r>
        <w:rPr/>
        <w:t>​</w:t>
      </w:r>
    </w:p>
    <w:tbl>
      <w:tblPr>
        <w:tblW w:w="549" w:type="dxa"/>
        <w:jc w:val="left"/>
        <w:tblInd w:w="0" w:type="dxa"/>
        <w:tblLayout w:type="fixed"/>
        <w:tblCellMar>
          <w:top w:w="0" w:type="dxa"/>
          <w:left w:w="0" w:type="dxa"/>
          <w:bottom w:w="0" w:type="dxa"/>
          <w:right w:w="0" w:type="dxa"/>
        </w:tblCellMar>
      </w:tblPr>
      <w:tblGrid>
        <w:gridCol w:w="124"/>
        <w:gridCol w:w="271"/>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SCHEDULES</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2.01</w:t>
      </w:r>
      <w:r>
        <w:rPr>
          <w:rFonts w:ascii="Times New Roman;Times;serif" w:hAnsi="Times New Roman;Times;serif"/>
          <w:sz w:val="22"/>
        </w:rPr>
        <w:t xml:space="preserve"> Commitments and Applicable Percentages</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5.06</w:t>
      </w:r>
      <w:r>
        <w:rPr>
          <w:rFonts w:ascii="Times New Roman;Times;serif" w:hAnsi="Times New Roman;Times;serif"/>
          <w:sz w:val="22"/>
        </w:rPr>
        <w:t xml:space="preserve"> Litigation</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5.12</w:t>
      </w:r>
      <w:r>
        <w:rPr>
          <w:rFonts w:ascii="Times New Roman;Times;serif" w:hAnsi="Times New Roman;Times;serif"/>
          <w:sz w:val="22"/>
        </w:rPr>
        <w:t xml:space="preserve"> Subsidiaries and Other Equity Investments</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7.01</w:t>
      </w:r>
      <w:r>
        <w:rPr>
          <w:rFonts w:ascii="Times New Roman;Times;serif" w:hAnsi="Times New Roman;Times;serif"/>
          <w:sz w:val="22"/>
        </w:rPr>
        <w:t xml:space="preserve"> Existing Liens</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7.03</w:t>
      </w:r>
      <w:r>
        <w:rPr>
          <w:rFonts w:ascii="Times New Roman;Times;serif" w:hAnsi="Times New Roman;Times;serif"/>
          <w:sz w:val="22"/>
        </w:rPr>
        <w:t xml:space="preserve"> Existing Indebtedness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10.02</w:t>
      </w:r>
      <w:r>
        <w:rPr>
          <w:rFonts w:ascii="Times New Roman;Times;serif" w:hAnsi="Times New Roman;Times;serif"/>
          <w:sz w:val="22"/>
        </w:rPr>
        <w:t xml:space="preserve"> Administrative Agent’s Office; Certain Addresses for Notices</w:t>
      </w:r>
    </w:p>
    <w:p>
      <w:pPr>
        <w:pStyle w:val="TextBody"/>
        <w:bidi w:val="0"/>
        <w:spacing w:before="480" w:after="0"/>
        <w:ind w:left="0" w:right="0" w:hanging="0"/>
        <w:jc w:val="both"/>
        <w:rPr>
          <w:rFonts w:ascii="Times New Roman;Times;serif" w:hAnsi="Times New Roman;Times;serif"/>
          <w:b/>
          <w:sz w:val="22"/>
        </w:rPr>
      </w:pPr>
      <w:r>
        <w:rPr>
          <w:rFonts w:ascii="Times New Roman;Times;serif" w:hAnsi="Times New Roman;Times;serif"/>
          <w:b/>
          <w:sz w:val="22"/>
        </w:rPr>
        <w:t>EXHIBITS</w:t>
      </w:r>
    </w:p>
    <w:p>
      <w:pPr>
        <w:pStyle w:val="TextBody"/>
        <w:bidi w:val="0"/>
        <w:spacing w:before="0" w:after="240"/>
        <w:ind w:left="1440" w:right="0" w:hanging="0"/>
        <w:jc w:val="both"/>
        <w:rPr>
          <w:rFonts w:ascii="Times New Roman;Times;serif" w:hAnsi="Times New Roman;Times;serif"/>
          <w:b/>
          <w:i/>
          <w:sz w:val="22"/>
        </w:rPr>
      </w:pPr>
      <w:r>
        <w:rPr>
          <w:rFonts w:ascii="Times New Roman;Times;serif" w:hAnsi="Times New Roman;Times;serif"/>
          <w:b/>
          <w:i/>
          <w:sz w:val="22"/>
        </w:rPr>
        <w:t>Form of</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Loan Notice</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Note</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Compliance Certificate</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Assignment and Assumption</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[Reserved]</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F-1</w:t>
      </w:r>
      <w:r>
        <w:rPr>
          <w:rFonts w:ascii="Times New Roman;Times;serif" w:hAnsi="Times New Roman;Times;serif"/>
          <w:sz w:val="22"/>
        </w:rPr>
        <w:t>Form of Opinion of Covington &amp; Burling LLP</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F-2</w:t>
      </w:r>
      <w:r>
        <w:rPr>
          <w:rFonts w:ascii="Times New Roman;Times;serif" w:hAnsi="Times New Roman;Times;serif"/>
          <w:sz w:val="22"/>
        </w:rPr>
        <w:t>Form of Opinion of General Counsel and Chief Legal Officer of the Borrower</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G-1-4</w:t>
      </w:r>
      <w:r>
        <w:rPr>
          <w:rFonts w:ascii="Times New Roman;Times;serif" w:hAnsi="Times New Roman;Times;serif"/>
          <w:sz w:val="22"/>
        </w:rPr>
        <w:t xml:space="preserve">Forms of U.S. Tax Compliance Certificates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489" w:type="dxa"/>
        <w:jc w:val="left"/>
        <w:tblInd w:w="0" w:type="dxa"/>
        <w:tblLayout w:type="fixed"/>
        <w:tblCellMar>
          <w:top w:w="0" w:type="dxa"/>
          <w:left w:w="0" w:type="dxa"/>
          <w:bottom w:w="0" w:type="dxa"/>
          <w:right w:w="0" w:type="dxa"/>
        </w:tblCellMar>
      </w:tblPr>
      <w:tblGrid>
        <w:gridCol w:w="124"/>
        <w:gridCol w:w="211"/>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CREDIT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CREDIT AGREEMENT (“</w:t>
      </w:r>
      <w:r>
        <w:rPr>
          <w:rFonts w:ascii="Times New Roman;Times;serif" w:hAnsi="Times New Roman;Times;serif"/>
          <w:sz w:val="22"/>
          <w:u w:val="single"/>
        </w:rPr>
        <w:t>Agreement</w:t>
      </w:r>
      <w:r>
        <w:rPr>
          <w:rFonts w:ascii="Times New Roman;Times;serif" w:hAnsi="Times New Roman;Times;serif"/>
          <w:sz w:val="22"/>
        </w:rPr>
        <w:t>”) is entered into as of August 12, 2026, among AVNET, INC., a New York corporation (the “</w:t>
      </w:r>
      <w:r>
        <w:rPr>
          <w:rFonts w:ascii="Times New Roman;Times;serif" w:hAnsi="Times New Roman;Times;serif"/>
          <w:sz w:val="22"/>
          <w:u w:val="single"/>
        </w:rPr>
        <w:t>Borrower</w:t>
      </w:r>
      <w:r>
        <w:rPr>
          <w:rFonts w:ascii="Times New Roman;Times;serif" w:hAnsi="Times New Roman;Times;serif"/>
          <w:sz w:val="22"/>
        </w:rPr>
        <w:t>”), each lender from time to time party hereto (collectively, the “</w:t>
      </w:r>
      <w:r>
        <w:rPr>
          <w:rFonts w:ascii="Times New Roman;Times;serif" w:hAnsi="Times New Roman;Times;serif"/>
          <w:sz w:val="22"/>
          <w:u w:val="single"/>
        </w:rPr>
        <w:t>Lenders</w:t>
      </w:r>
      <w:r>
        <w:rPr>
          <w:rFonts w:ascii="Times New Roman;Times;serif" w:hAnsi="Times New Roman;Times;serif"/>
          <w:sz w:val="22"/>
        </w:rPr>
        <w:t>” and individually, a “</w:t>
      </w:r>
      <w:r>
        <w:rPr>
          <w:rFonts w:ascii="Times New Roman;Times;serif" w:hAnsi="Times New Roman;Times;serif"/>
          <w:sz w:val="22"/>
          <w:u w:val="single"/>
        </w:rPr>
        <w:t>Lender</w:t>
      </w:r>
      <w:r>
        <w:rPr>
          <w:rFonts w:ascii="Times New Roman;Times;serif" w:hAnsi="Times New Roman;Times;serif"/>
          <w:sz w:val="22"/>
        </w:rPr>
        <w:t xml:space="preserve">”), and BANK OF AMERICA, N.A., as Administrative Agent.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 has requested that the Lenders agree to provide a term loan facility to the Borrower and the Lenders are willing to do so on the terms and conditions set forth herein.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consideration of the mutual covenants and agreements herein contained, the parties hereto covenant and agree as follows:</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w:t>
      </w:r>
      <w:bookmarkStart w:id="1673" w:name="_Toc236686840"/>
      <w:bookmarkStart w:id="1674" w:name="_Toc235705387"/>
      <w:bookmarkStart w:id="1675" w:name="_Toc207211122"/>
      <w:bookmarkStart w:id="1676" w:name="_Toc197360476"/>
      <w:bookmarkStart w:id="1677" w:name="_Toc197360125"/>
      <w:bookmarkStart w:id="1678" w:name="_Toc187311220"/>
      <w:bookmarkStart w:id="1679" w:name="_Toc184648361"/>
      <w:bookmarkStart w:id="1680" w:name="_Toc184648230"/>
      <w:bookmarkStart w:id="1681" w:name="_Toc184648099"/>
      <w:bookmarkStart w:id="1682" w:name="_Toc184647968"/>
      <w:bookmarkStart w:id="1683" w:name="_Toc184647837"/>
      <w:bookmarkStart w:id="1684" w:name="_Toc184647575"/>
      <w:bookmarkStart w:id="1685" w:name="_Toc184647442"/>
      <w:bookmarkStart w:id="1686" w:name="_Toc184647310"/>
      <w:bookmarkStart w:id="1687" w:name="_Toc184647178"/>
      <w:bookmarkStart w:id="1688" w:name="_Toc184647046"/>
      <w:bookmarkStart w:id="1689" w:name="_Toc184646914"/>
      <w:bookmarkStart w:id="1690" w:name="_Toc184646647"/>
      <w:bookmarkStart w:id="1691" w:name="_Toc184646513"/>
      <w:bookmarkStart w:id="1692" w:name="_Toc184646379"/>
      <w:bookmarkStart w:id="1693" w:name="_Toc184646245"/>
      <w:bookmarkStart w:id="1694" w:name="_Toc184646111"/>
      <w:bookmarkStart w:id="1695" w:name="_Toc184645977"/>
      <w:bookmarkStart w:id="1696" w:name="_Toc184645708"/>
      <w:bookmarkStart w:id="1697" w:name="_Toc184645574"/>
      <w:bookmarkStart w:id="1698" w:name="_Toc184645440"/>
      <w:bookmarkStart w:id="1699" w:name="_Toc184645306"/>
      <w:bookmarkStart w:id="1700" w:name="_Toc184645172"/>
      <w:bookmarkStart w:id="1701" w:name="_Toc184644902"/>
      <w:bookmarkStart w:id="1702" w:name="_Toc184644768"/>
      <w:bookmarkStart w:id="1703" w:name="_Toc184644634"/>
      <w:bookmarkStart w:id="1704" w:name="_Toc184644500"/>
      <w:bookmarkStart w:id="1705" w:name="_Toc184644366"/>
      <w:bookmarkStart w:id="1706" w:name="_Toc107702226"/>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rFonts w:ascii="Times New Roman;Times;serif" w:hAnsi="Times New Roman;Times;serif"/>
          <w:b/>
          <w:caps/>
          <w:sz w:val="24"/>
        </w:rPr>
        <w:t>​</w:t>
      </w:r>
      <w:r>
        <w:rPr>
          <w:rFonts w:ascii="Times New Roman;Times;serif" w:hAnsi="Times New Roman;Times;serif"/>
          <w:b/>
          <w:caps/>
          <w:sz w:val="22"/>
        </w:rPr>
        <w:br/>
      </w:r>
      <w:bookmarkStart w:id="1707" w:name="_Toc184644098"/>
      <w:bookmarkStart w:id="1708" w:name="_Toc184643964"/>
      <w:bookmarkStart w:id="1709" w:name="_Toc184643830"/>
      <w:bookmarkStart w:id="1710" w:name="_Toc184643696"/>
      <w:bookmarkStart w:id="1711" w:name="_Toc184643562"/>
      <w:bookmarkStart w:id="1712" w:name="_Toc184643294"/>
      <w:bookmarkStart w:id="1713" w:name="_Toc184643016"/>
      <w:bookmarkStart w:id="1714" w:name="_Toc184642862"/>
      <w:bookmarkEnd w:id="1707"/>
      <w:bookmarkEnd w:id="1708"/>
      <w:bookmarkEnd w:id="1709"/>
      <w:bookmarkEnd w:id="1710"/>
      <w:bookmarkEnd w:id="1711"/>
      <w:bookmarkEnd w:id="1712"/>
      <w:bookmarkEnd w:id="1713"/>
      <w:bookmarkEnd w:id="1714"/>
      <w:r>
        <w:rPr>
          <w:rFonts w:ascii="Times New Roman;Times;serif" w:hAnsi="Times New Roman;Times;serif"/>
          <w:b/>
          <w:caps/>
          <w:sz w:val="22"/>
        </w:rPr>
        <w:t>DEFINITIONS AND ACCOUNTING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w:t>
      </w:r>
      <w:bookmarkStart w:id="1715" w:name="_Toc107702227"/>
      <w:bookmarkStart w:id="1716" w:name="_Toc236686841"/>
      <w:bookmarkStart w:id="1717" w:name="_Toc184647576"/>
      <w:bookmarkStart w:id="1718" w:name="_Toc184646648"/>
      <w:bookmarkStart w:id="1719" w:name="_Toc184645709"/>
      <w:bookmarkStart w:id="1720" w:name="_Toc184644903"/>
      <w:bookmarkStart w:id="1721" w:name="_Toc184644099"/>
      <w:bookmarkStart w:id="1722" w:name="_Toc184643295"/>
      <w:bookmarkStart w:id="1723" w:name="_Toc184642863"/>
      <w:bookmarkEnd w:id="1715"/>
      <w:bookmarkEnd w:id="1716"/>
      <w:bookmarkEnd w:id="1717"/>
      <w:bookmarkEnd w:id="1718"/>
      <w:bookmarkEnd w:id="1719"/>
      <w:bookmarkEnd w:id="1720"/>
      <w:bookmarkEnd w:id="1721"/>
      <w:bookmarkEnd w:id="1722"/>
      <w:bookmarkEnd w:id="1723"/>
      <w:r>
        <w:rPr>
          <w:rFonts w:ascii="Times New Roman;Times;serif" w:hAnsi="Times New Roman;Times;serif"/>
          <w:b/>
          <w:sz w:val="22"/>
        </w:rPr>
        <w:t>Defined Terms.</w:t>
      </w:r>
      <w:r>
        <w:rPr>
          <w:rFonts w:ascii="Times New Roman;Times;serif" w:hAnsi="Times New Roman;Times;serif"/>
          <w:sz w:val="24"/>
        </w:rPr>
        <w:t xml:space="preserve">  </w:t>
      </w:r>
      <w:r>
        <w:rPr>
          <w:rFonts w:ascii="Times New Roman;Times;serif" w:hAnsi="Times New Roman;Times;serif"/>
          <w:sz w:val="22"/>
        </w:rPr>
        <w:t>As used in this Agreement, the following terms shall have the meanings set forth below:</w:t>
      </w:r>
    </w:p>
    <w:p>
      <w:pPr>
        <w:pStyle w:val="TextBody"/>
        <w:bidi w:val="0"/>
        <w:spacing w:before="0" w:after="240"/>
        <w:ind w:left="0" w:right="0" w:firstLine="720"/>
        <w:jc w:val="both"/>
        <w:rPr/>
      </w:pPr>
      <w:r>
        <w:rPr/>
        <w:t>“</w:t>
      </w:r>
      <w:r>
        <w:rPr>
          <w:rFonts w:ascii="Times New Roman;Times;serif" w:hAnsi="Times New Roman;Times;serif"/>
          <w:sz w:val="22"/>
          <w:u w:val="single"/>
        </w:rPr>
        <w:t>Acquisition</w:t>
      </w:r>
      <w:r>
        <w:rPr>
          <w:rFonts w:ascii="Times New Roman;Times;serif" w:hAnsi="Times New Roman;Times;serif"/>
          <w:sz w:val="22"/>
        </w:rPr>
        <w:t>” means the acquisition of (i) a controlling equity or other ownership interest in another Person (including upon the exercise of an option, warrant or convertible or similar type security to acquire such a controlling interest), whether by purchase of such equity or other ownership interest or upon exercise of an option or warrant for, or conversion of securities into, such equity or other ownership interest, or (ii) assets of another Person (whether by purchase, merger or otherwise) which constitute all or substantially all of the assets of such Person or of a line or lines of business conducted by such Person.</w:t>
      </w:r>
    </w:p>
    <w:p>
      <w:pPr>
        <w:pStyle w:val="TextBody"/>
        <w:bidi w:val="0"/>
        <w:spacing w:before="0" w:after="240"/>
        <w:ind w:left="0" w:right="0" w:firstLine="720"/>
        <w:jc w:val="both"/>
        <w:rPr/>
      </w:pPr>
      <w:r>
        <w:rPr/>
        <w:t>“</w:t>
      </w:r>
      <w:r>
        <w:rPr>
          <w:rFonts w:ascii="Times New Roman;Times;serif" w:hAnsi="Times New Roman;Times;serif"/>
          <w:sz w:val="22"/>
          <w:u w:val="single"/>
        </w:rPr>
        <w:t>Administrative Agent</w:t>
      </w:r>
      <w:r>
        <w:rPr>
          <w:rFonts w:ascii="Times New Roman;Times;serif" w:hAnsi="Times New Roman;Times;serif"/>
          <w:sz w:val="22"/>
        </w:rPr>
        <w:t>” means Bank of America in its capacity as administrative agent under any of the Loan Documents, or any successor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Administrative Agent’s Office</w:t>
      </w:r>
      <w:r>
        <w:rPr>
          <w:rFonts w:ascii="Times New Roman;Times;serif" w:hAnsi="Times New Roman;Times;serif"/>
          <w:sz w:val="22"/>
        </w:rPr>
        <w:t>” means the Administrative Agent’s address and, as appropriate, account specified in this Agreement, or such other address or account as the Administrative Agent may from time to time notify the Borrower and the Lenders.</w:t>
      </w:r>
    </w:p>
    <w:p>
      <w:pPr>
        <w:pStyle w:val="TextBody"/>
        <w:bidi w:val="0"/>
        <w:spacing w:before="0" w:after="240"/>
        <w:ind w:left="0" w:right="0" w:firstLine="720"/>
        <w:jc w:val="both"/>
        <w:rPr/>
      </w:pPr>
      <w:r>
        <w:rPr/>
        <w:t>“</w:t>
      </w:r>
      <w:r>
        <w:rPr>
          <w:rFonts w:ascii="Times New Roman;Times;serif" w:hAnsi="Times New Roman;Times;serif"/>
          <w:sz w:val="22"/>
          <w:u w:val="single"/>
        </w:rPr>
        <w:t>Administrative Questionnaire</w:t>
      </w:r>
      <w:r>
        <w:rPr>
          <w:rFonts w:ascii="Times New Roman;Times;serif" w:hAnsi="Times New Roman;Times;serif"/>
          <w:sz w:val="22"/>
        </w:rPr>
        <w:t>” means an Administrative Questionnaire in a form approved by the Administrative Agent.</w:t>
      </w:r>
    </w:p>
    <w:p>
      <w:pPr>
        <w:pStyle w:val="TextBody"/>
        <w:bidi w:val="0"/>
        <w:spacing w:before="0" w:after="200"/>
        <w:ind w:left="0" w:right="0" w:firstLine="720"/>
        <w:jc w:val="both"/>
        <w:rPr/>
      </w:pPr>
      <w:r>
        <w:rPr/>
        <w:t>“</w:t>
      </w:r>
      <w:r>
        <w:rPr>
          <w:rFonts w:ascii="Times New Roman;Times;serif" w:hAnsi="Times New Roman;Times;serif"/>
          <w:sz w:val="22"/>
          <w:u w:val="single"/>
        </w:rPr>
        <w:t>Affected Financial Institution</w:t>
      </w:r>
      <w:r>
        <w:rPr>
          <w:rFonts w:ascii="Times New Roman;Times;serif" w:hAnsi="Times New Roman;Times;serif"/>
          <w:sz w:val="22"/>
        </w:rPr>
        <w:t>” means (a) any EEA Financial Institution or (b) any UK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Affiliate</w:t>
      </w:r>
      <w:r>
        <w:rPr>
          <w:rFonts w:ascii="Times New Roman;Times;serif" w:hAnsi="Times New Roman;Times;serif"/>
          <w:sz w:val="22"/>
        </w:rPr>
        <w:t>” means, with respect to any Person, another Person that directly, or indirectly through one or more intermediaries, Controls or is Controlled by or is under common Control with the Person specified.  </w:t>
      </w:r>
    </w:p>
    <w:p>
      <w:pPr>
        <w:pStyle w:val="TextBody"/>
        <w:bidi w:val="0"/>
        <w:spacing w:before="0" w:after="240"/>
        <w:ind w:left="0" w:right="0" w:firstLine="720"/>
        <w:jc w:val="both"/>
        <w:rPr/>
      </w:pPr>
      <w:r>
        <w:rPr/>
        <w:t>“</w:t>
      </w:r>
      <w:r>
        <w:rPr>
          <w:rFonts w:ascii="Times New Roman;Times;serif" w:hAnsi="Times New Roman;Times;serif"/>
          <w:sz w:val="22"/>
          <w:u w:val="single"/>
        </w:rPr>
        <w:t>Agent Parties</w:t>
      </w:r>
      <w:r>
        <w:rPr>
          <w:rFonts w:ascii="Times New Roman;Times;serif" w:hAnsi="Times New Roman;Times;serif"/>
          <w:sz w:val="22"/>
        </w:rPr>
        <w:t xml:space="preserve">” has the meaning set forth in </w:t>
      </w:r>
      <w:r>
        <w:rPr>
          <w:rFonts w:ascii="Times New Roman;Times;serif" w:hAnsi="Times New Roman;Times;serif"/>
          <w:sz w:val="22"/>
          <w:u w:val="single"/>
        </w:rPr>
        <w:t>Section 10.02(c)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Agreement</w:t>
      </w:r>
      <w:r>
        <w:rPr>
          <w:rFonts w:ascii="Times New Roman;Times;serif" w:hAnsi="Times New Roman;Times;serif"/>
          <w:sz w:val="22"/>
        </w:rPr>
        <w:t>” has the meaning specified in the introductory paragraph.</w:t>
      </w:r>
    </w:p>
    <w:p>
      <w:pPr>
        <w:pStyle w:val="TextBody"/>
        <w:bidi w:val="0"/>
        <w:spacing w:before="0" w:after="0"/>
        <w:ind w:left="0" w:right="0" w:firstLine="720"/>
        <w:jc w:val="both"/>
        <w:rPr/>
      </w:pPr>
      <w:r>
        <w:rPr/>
        <w:t>“</w:t>
      </w:r>
      <w:r>
        <w:rPr>
          <w:rFonts w:ascii="Times New Roman;Times;serif" w:hAnsi="Times New Roman;Times;serif"/>
          <w:sz w:val="22"/>
          <w:u w:val="single"/>
        </w:rPr>
        <w:t>Applicable Percentage</w:t>
      </w:r>
      <w:r>
        <w:rPr>
          <w:rFonts w:ascii="Times New Roman;Times;serif" w:hAnsi="Times New Roman;Times;serif"/>
          <w:sz w:val="22"/>
        </w:rPr>
        <w:t xml:space="preserve">” means with respect to any Lender at any time, the percentage (carried out to the ninth decimal place) represented by (a) on or prior to the Closing Date, such Lender’s applicable Commitment at such time, and (b) thereafter, the percentage of the total outstanding principal balance of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the applicable Loans represented by the outstanding principal balance of such Lender’s applicable Loan.  The initial Applicable Percentage of each Lender with respect to each Loan is set forth opposite the name of such Lender on </w:t>
      </w:r>
      <w:r>
        <w:rPr>
          <w:rFonts w:ascii="Times New Roman;Times;serif" w:hAnsi="Times New Roman;Times;serif"/>
          <w:sz w:val="22"/>
          <w:u w:val="single"/>
        </w:rPr>
        <w:t>Schedule 2.01</w:t>
      </w:r>
      <w:r>
        <w:rPr>
          <w:rFonts w:ascii="Times New Roman;Times;serif" w:hAnsi="Times New Roman;Times;serif"/>
          <w:sz w:val="22"/>
        </w:rPr>
        <w:t xml:space="preserve"> or in the Assignment and Assumption pursuant to which such Lender becomes a party hereto, as applicable.</w:t>
      </w:r>
    </w:p>
    <w:p>
      <w:pPr>
        <w:pStyle w:val="TextBody"/>
        <w:bidi w:val="0"/>
        <w:spacing w:before="0" w:after="240"/>
        <w:ind w:left="0" w:right="0" w:firstLine="720"/>
        <w:jc w:val="both"/>
        <w:rPr/>
      </w:pPr>
      <w:r>
        <w:rPr/>
        <w:t>“</w:t>
      </w:r>
      <w:r>
        <w:rPr>
          <w:rFonts w:ascii="Times New Roman;Times;serif" w:hAnsi="Times New Roman;Times;serif"/>
          <w:sz w:val="22"/>
          <w:u w:val="single"/>
        </w:rPr>
        <w:t>Applicable Rate</w:t>
      </w:r>
      <w:r>
        <w:rPr>
          <w:rFonts w:ascii="Times New Roman;Times;serif" w:hAnsi="Times New Roman;Times;serif"/>
          <w:sz w:val="22"/>
        </w:rPr>
        <w:t>” means, from time to time, the following percentages per annum, based upon the Debt Rating as set forth below:</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Term SOFR Loans:  </w:t>
      </w:r>
    </w:p>
    <w:tbl>
      <w:tblPr>
        <w:tblW w:w="6543" w:type="dxa"/>
        <w:jc w:val="center"/>
        <w:tblInd w:w="0" w:type="dxa"/>
        <w:tblLayout w:type="fixed"/>
        <w:tblCellMar>
          <w:top w:w="0" w:type="dxa"/>
          <w:left w:w="0" w:type="dxa"/>
          <w:bottom w:w="28" w:type="dxa"/>
          <w:right w:w="103" w:type="dxa"/>
        </w:tblCellMar>
      </w:tblPr>
      <w:tblGrid>
        <w:gridCol w:w="1426"/>
        <w:gridCol w:w="3406"/>
        <w:gridCol w:w="1711"/>
      </w:tblGrid>
      <w:tr>
        <w:trPr/>
        <w:tc>
          <w:tcPr>
            <w:tcW w:w="1426"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Pricing Level</w:t>
            </w:r>
          </w:p>
        </w:tc>
        <w:tc>
          <w:tcPr>
            <w:tcW w:w="3406" w:type="dxa"/>
            <w:tcBorders>
              <w:left w:val="single" w:sz="2" w:space="0" w:color="000000"/>
              <w:bottom w:val="single" w:sz="2" w:space="0" w:color="000000"/>
              <w:right w:val="single" w:sz="2" w:space="0" w:color="000000"/>
            </w:tcBorders>
            <w:tcMar>
              <w:lef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Debt Ratings S&amp;P /Moody’s/Fitch</w:t>
            </w:r>
          </w:p>
        </w:tc>
        <w:tc>
          <w:tcPr>
            <w:tcW w:w="1711" w:type="dxa"/>
            <w:tcBorders>
              <w:left w:val="single" w:sz="2" w:space="0" w:color="000000"/>
              <w:bottom w:val="single" w:sz="2" w:space="0" w:color="000000"/>
            </w:tcBorders>
            <w:tcMar>
              <w:left w:w="103" w:type="dxa"/>
              <w:right w:w="0"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Applicable Rate</w:t>
            </w:r>
          </w:p>
        </w:tc>
      </w:tr>
      <w:tr>
        <w:trPr/>
        <w:tc>
          <w:tcPr>
            <w:tcW w:w="1426" w:type="dxa"/>
            <w:tcBorders>
              <w:top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3406" w:type="dxa"/>
            <w:tcBorders>
              <w:top w:val="single" w:sz="2" w:space="0" w:color="000000"/>
              <w:left w:val="single" w:sz="2" w:space="0" w:color="000000"/>
              <w:right w:val="single" w:sz="2" w:space="0" w:color="000000"/>
            </w:tcBorders>
            <w:tcMar>
              <w:top w:w="28" w:type="dxa"/>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BBB+/Baa1/BBB+ or better</w:t>
            </w:r>
          </w:p>
        </w:tc>
        <w:tc>
          <w:tcPr>
            <w:tcW w:w="1711" w:type="dxa"/>
            <w:tcBorders>
              <w:top w:val="single" w:sz="2" w:space="0" w:color="000000"/>
              <w:left w:val="single" w:sz="2" w:space="0" w:color="000000"/>
            </w:tcBorders>
            <w:tcMar>
              <w:top w:w="28" w:type="dxa"/>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1.000%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BBB/Baa2/BBB</w:t>
            </w:r>
          </w:p>
        </w:tc>
        <w:tc>
          <w:tcPr>
            <w:tcW w:w="171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1.125%</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BBB-/Baa3/BBB-</w:t>
            </w:r>
          </w:p>
        </w:tc>
        <w:tc>
          <w:tcPr>
            <w:tcW w:w="171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1.250%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BB+/Ba1/BB+</w:t>
            </w:r>
          </w:p>
        </w:tc>
        <w:tc>
          <w:tcPr>
            <w:tcW w:w="171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1.500%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BB/Ba2/BB or worse</w:t>
            </w:r>
          </w:p>
        </w:tc>
        <w:tc>
          <w:tcPr>
            <w:tcW w:w="171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1.750%</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For Base Rate Loans:  </w:t>
      </w:r>
    </w:p>
    <w:tbl>
      <w:tblPr>
        <w:tblW w:w="6603" w:type="dxa"/>
        <w:jc w:val="center"/>
        <w:tblInd w:w="0" w:type="dxa"/>
        <w:tblLayout w:type="fixed"/>
        <w:tblCellMar>
          <w:top w:w="0" w:type="dxa"/>
          <w:left w:w="0" w:type="dxa"/>
          <w:bottom w:w="28" w:type="dxa"/>
          <w:right w:w="103" w:type="dxa"/>
        </w:tblCellMar>
      </w:tblPr>
      <w:tblGrid>
        <w:gridCol w:w="1426"/>
        <w:gridCol w:w="3406"/>
        <w:gridCol w:w="1771"/>
      </w:tblGrid>
      <w:tr>
        <w:trPr/>
        <w:tc>
          <w:tcPr>
            <w:tcW w:w="1426"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Pricing Level</w:t>
            </w:r>
          </w:p>
        </w:tc>
        <w:tc>
          <w:tcPr>
            <w:tcW w:w="3406" w:type="dxa"/>
            <w:tcBorders>
              <w:left w:val="single" w:sz="2" w:space="0" w:color="000000"/>
              <w:bottom w:val="single" w:sz="2" w:space="0" w:color="000000"/>
              <w:right w:val="single" w:sz="2" w:space="0" w:color="000000"/>
            </w:tcBorders>
            <w:tcMar>
              <w:lef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Debt Ratings S&amp;P /Moody’s/Fitch</w:t>
            </w:r>
          </w:p>
        </w:tc>
        <w:tc>
          <w:tcPr>
            <w:tcW w:w="1771" w:type="dxa"/>
            <w:tcBorders>
              <w:left w:val="single" w:sz="2" w:space="0" w:color="000000"/>
              <w:bottom w:val="single" w:sz="2" w:space="0" w:color="000000"/>
            </w:tcBorders>
            <w:tcMar>
              <w:left w:w="103" w:type="dxa"/>
              <w:right w:w="0"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Applicable Rate </w:t>
            </w:r>
          </w:p>
        </w:tc>
      </w:tr>
      <w:tr>
        <w:trPr/>
        <w:tc>
          <w:tcPr>
            <w:tcW w:w="1426" w:type="dxa"/>
            <w:tcBorders>
              <w:top w:val="single" w:sz="2" w:space="0" w:color="000000"/>
              <w:right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3406" w:type="dxa"/>
            <w:tcBorders>
              <w:top w:val="single" w:sz="2" w:space="0" w:color="000000"/>
              <w:left w:val="single" w:sz="2" w:space="0" w:color="000000"/>
              <w:right w:val="single" w:sz="2" w:space="0" w:color="000000"/>
            </w:tcBorders>
            <w:tcMar>
              <w:top w:w="28" w:type="dxa"/>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BBB+/Baa1/BBB+ or better</w:t>
            </w:r>
          </w:p>
        </w:tc>
        <w:tc>
          <w:tcPr>
            <w:tcW w:w="1771" w:type="dxa"/>
            <w:tcBorders>
              <w:top w:val="single" w:sz="2" w:space="0" w:color="000000"/>
              <w:left w:val="single" w:sz="2" w:space="0" w:color="000000"/>
            </w:tcBorders>
            <w:tcMar>
              <w:top w:w="28" w:type="dxa"/>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0.000%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BBB/Baa2/BBB</w:t>
            </w:r>
          </w:p>
        </w:tc>
        <w:tc>
          <w:tcPr>
            <w:tcW w:w="177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0.125%</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BBB-/Baa3/BBB-</w:t>
            </w:r>
          </w:p>
        </w:tc>
        <w:tc>
          <w:tcPr>
            <w:tcW w:w="177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0.250%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BB+/Ba1/BB+</w:t>
            </w:r>
          </w:p>
        </w:tc>
        <w:tc>
          <w:tcPr>
            <w:tcW w:w="177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0.500%</w:t>
            </w:r>
          </w:p>
        </w:tc>
      </w:tr>
      <w:tr>
        <w:trPr/>
        <w:tc>
          <w:tcPr>
            <w:tcW w:w="1426" w:type="dxa"/>
            <w:tcBorders>
              <w:right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tc>
        <w:tc>
          <w:tcPr>
            <w:tcW w:w="3406" w:type="dxa"/>
            <w:tcBorders>
              <w:left w:val="single" w:sz="2" w:space="0" w:color="000000"/>
              <w:right w:val="single" w:sz="2" w:space="0" w:color="000000"/>
            </w:tcBorders>
            <w:tcMar>
              <w:left w:w="103" w:type="dxa"/>
              <w:bottom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BB/Ba2/BB or worse</w:t>
            </w:r>
          </w:p>
        </w:tc>
        <w:tc>
          <w:tcPr>
            <w:tcW w:w="1771" w:type="dxa"/>
            <w:tcBorders>
              <w:left w:val="single" w:sz="2" w:space="0" w:color="000000"/>
            </w:tcBorders>
            <w:tcMar>
              <w:left w:w="103"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0.750%</w:t>
            </w:r>
          </w:p>
        </w:tc>
      </w:tr>
    </w:tbl>
    <w:p>
      <w:pPr>
        <w:pStyle w:val="TextBody"/>
        <w:bidi w:val="0"/>
        <w:spacing w:before="0" w:after="0"/>
        <w:ind w:left="0" w:right="0" w:hanging="0"/>
        <w:jc w:val="both"/>
        <w:rPr/>
      </w:pPr>
      <w:r>
        <w:rPr/>
        <w:t>​</w:t>
      </w:r>
    </w:p>
    <w:p>
      <w:pPr>
        <w:pStyle w:val="TextBody"/>
        <w:bidi w:val="0"/>
        <w:spacing w:before="240" w:after="240"/>
        <w:ind w:left="720" w:right="0" w:firstLine="720"/>
        <w:jc w:val="both"/>
        <w:rPr/>
      </w:pPr>
      <w:r>
        <w:rPr/>
        <w:t>“</w:t>
      </w:r>
      <w:r>
        <w:rPr>
          <w:rFonts w:ascii="Times New Roman;Times;serif" w:hAnsi="Times New Roman;Times;serif"/>
          <w:sz w:val="22"/>
          <w:u w:val="single"/>
        </w:rPr>
        <w:t>Debt Rating</w:t>
      </w:r>
      <w:r>
        <w:rPr>
          <w:rFonts w:ascii="Times New Roman;Times;serif" w:hAnsi="Times New Roman;Times;serif"/>
          <w:sz w:val="22"/>
        </w:rPr>
        <w:t>” means, as of any date of determination, the rating as determined by any of S&amp;P, Moody’s or Fitch (collectively, the “</w:t>
      </w:r>
      <w:r>
        <w:rPr>
          <w:rFonts w:ascii="Times New Roman;Times;serif" w:hAnsi="Times New Roman;Times;serif"/>
          <w:sz w:val="22"/>
          <w:u w:val="single"/>
        </w:rPr>
        <w:t>Rating Agencies</w:t>
      </w:r>
      <w:r>
        <w:rPr>
          <w:rFonts w:ascii="Times New Roman;Times;serif" w:hAnsi="Times New Roman;Times;serif"/>
          <w:sz w:val="22"/>
        </w:rPr>
        <w:t>” and each a “</w:t>
      </w:r>
      <w:r>
        <w:rPr>
          <w:rFonts w:ascii="Times New Roman;Times;serif" w:hAnsi="Times New Roman;Times;serif"/>
          <w:sz w:val="22"/>
          <w:u w:val="single"/>
        </w:rPr>
        <w:t>Rating Agency</w:t>
      </w:r>
      <w:r>
        <w:rPr>
          <w:rFonts w:ascii="Times New Roman;Times;serif" w:hAnsi="Times New Roman;Times;serif"/>
          <w:sz w:val="22"/>
        </w:rPr>
        <w:t>”) (collectively, the “</w:t>
      </w:r>
      <w:r>
        <w:rPr>
          <w:rFonts w:ascii="Times New Roman;Times;serif" w:hAnsi="Times New Roman;Times;serif"/>
          <w:sz w:val="22"/>
          <w:u w:val="single"/>
        </w:rPr>
        <w:t>Debt Ratings</w:t>
      </w:r>
      <w:r>
        <w:rPr>
          <w:rFonts w:ascii="Times New Roman;Times;serif" w:hAnsi="Times New Roman;Times;serif"/>
          <w:sz w:val="22"/>
        </w:rPr>
        <w:t xml:space="preserve">”) of the Borrower’s non-credit-enhanced, senior unsecured long-term debt; </w:t>
      </w:r>
      <w:r>
        <w:rPr>
          <w:rFonts w:ascii="Times New Roman;Times;serif" w:hAnsi="Times New Roman;Times;serif"/>
          <w:sz w:val="22"/>
          <w:u w:val="single"/>
        </w:rPr>
        <w:t>provided</w:t>
      </w:r>
      <w:r>
        <w:rPr>
          <w:rFonts w:ascii="Times New Roman;Times;serif" w:hAnsi="Times New Roman;Times;serif"/>
          <w:sz w:val="22"/>
        </w:rPr>
        <w:t xml:space="preserve"> that if the Debt Ratings from the Rating Agencies fall within different Pricing Levels, (a) if only two Rating Agencies provide a Debt Rating, then (i) if the ratings differ by one Pricing Level, then the Pricing Level for the higher of such Debt Ratings shall apply (with the Debt Rating for Pricing Level 1 being the highest and the Debt Rating for Pricing Level 5 being the lowest), and (ii) if there is a split in Debt Ratings of more than one level, then the Pricing Level that is one level lower than the Pricing Level of the higher Debt Rating shall apply, (b) if all three Rating Agencies provide a Debt Rating, then (i) if two of the Debt Ratings are at the same Pricing Level, then such Pricing Level shall apply and (ii) if each of the Debt Ratings fall within different levels, then the Pricing Level of such Debt Rating between the highest Debt Rating and the lowest Debt Rating shall apply, and (c) if the Borrower does not have any Debt Rating, Pricing Level 5 shall apply; </w:t>
      </w:r>
      <w:r>
        <w:rPr>
          <w:rFonts w:ascii="Times New Roman;Times;serif" w:hAnsi="Times New Roman;Times;serif"/>
          <w:sz w:val="22"/>
          <w:u w:val="single"/>
        </w:rPr>
        <w:t>provided</w:t>
      </w:r>
      <w:r>
        <w:rPr>
          <w:rFonts w:ascii="Times New Roman;Times;serif" w:hAnsi="Times New Roman;Times;serif"/>
          <w:sz w:val="22"/>
        </w:rPr>
        <w:t>, further, that if only one Rating Agency provides a Debt Rating, such Debt Rating shall apply.</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Initially, the Applicable Rate shall be determined based upon the Debt Ratings in effect on the Closing Date, each of which shall be specified in the certificate delivered pursuant to </w:t>
      </w:r>
      <w:r>
        <w:rPr>
          <w:rFonts w:ascii="Times New Roman;Times;serif" w:hAnsi="Times New Roman;Times;serif"/>
          <w:sz w:val="22"/>
          <w:u w:val="single"/>
        </w:rPr>
        <w:t>Section 4.01(a)(vii)</w:t>
      </w:r>
      <w:r>
        <w:rPr>
          <w:rFonts w:ascii="Times New Roman;Times;serif" w:hAnsi="Times New Roman;Times;serif"/>
          <w:sz w:val="22"/>
        </w:rPr>
        <w:t xml:space="preserve">.  Thereafter, each change in the Applicable Rate resulting from a publicly announced change in any Debt Rating shall be effective during the period commencing on the opening of business on the date of the public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announcement thereof and ending on the date immediately preceding the effective date of the next such change.</w:t>
      </w:r>
    </w:p>
    <w:p>
      <w:pPr>
        <w:pStyle w:val="TextBody"/>
        <w:bidi w:val="0"/>
        <w:spacing w:before="0" w:after="240"/>
        <w:ind w:left="0" w:right="0" w:firstLine="720"/>
        <w:jc w:val="both"/>
        <w:rPr/>
      </w:pPr>
      <w:r>
        <w:rPr/>
        <w:t>“</w:t>
      </w:r>
      <w:r>
        <w:rPr>
          <w:rFonts w:ascii="Times New Roman;Times;serif" w:hAnsi="Times New Roman;Times;serif"/>
          <w:sz w:val="22"/>
          <w:u w:val="single"/>
        </w:rPr>
        <w:t>Approved Fund</w:t>
      </w:r>
      <w:r>
        <w:rPr>
          <w:rFonts w:ascii="Times New Roman;Times;serif" w:hAnsi="Times New Roman;Times;serif"/>
          <w:sz w:val="22"/>
        </w:rPr>
        <w:t>” 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New Roman;Times;serif" w:hAnsi="Times New Roman;Times;serif"/>
          <w:sz w:val="22"/>
          <w:u w:val="single"/>
        </w:rPr>
        <w:t>Arrangers</w:t>
      </w:r>
      <w:r>
        <w:rPr>
          <w:rFonts w:ascii="Times New Roman;Times;serif" w:hAnsi="Times New Roman;Times;serif"/>
          <w:sz w:val="22"/>
        </w:rPr>
        <w:t>” means, collectively BofA Securities, Inc., Commerzbank AG, New York Branch and DBS Bank Ltd., in their capacities as joint lead arrangers and joint bookrunners.</w:t>
      </w:r>
    </w:p>
    <w:p>
      <w:pPr>
        <w:pStyle w:val="TextBody"/>
        <w:bidi w:val="0"/>
        <w:spacing w:before="0" w:after="240"/>
        <w:ind w:left="0" w:right="0" w:firstLine="720"/>
        <w:jc w:val="both"/>
        <w:rPr/>
      </w:pPr>
      <w:r>
        <w:rPr/>
        <w:t>“</w:t>
      </w:r>
      <w:r>
        <w:rPr>
          <w:rFonts w:ascii="Times New Roman;Times;serif" w:hAnsi="Times New Roman;Times;serif"/>
          <w:sz w:val="22"/>
          <w:u w:val="single"/>
        </w:rPr>
        <w:t>Assignee Group</w:t>
      </w:r>
      <w:r>
        <w:rPr>
          <w:rFonts w:ascii="Times New Roman;Times;serif" w:hAnsi="Times New Roman;Times;serif"/>
          <w:sz w:val="22"/>
        </w:rPr>
        <w:t>” means two or more Eligible Assignees that are Affiliates of one another or two or more Approved Funds managed by the same investment adviser.</w:t>
      </w:r>
    </w:p>
    <w:p>
      <w:pPr>
        <w:pStyle w:val="TextBody"/>
        <w:bidi w:val="0"/>
        <w:spacing w:before="0" w:after="240"/>
        <w:ind w:left="0" w:right="0" w:firstLine="720"/>
        <w:jc w:val="both"/>
        <w:rPr/>
      </w:pPr>
      <w:r>
        <w:rPr/>
        <w:t>“</w:t>
      </w:r>
      <w:r>
        <w:rPr>
          <w:rFonts w:ascii="Times New Roman;Times;serif" w:hAnsi="Times New Roman;Times;serif"/>
          <w:sz w:val="22"/>
          <w:u w:val="single"/>
        </w:rPr>
        <w:t>Assignment and Assumption</w:t>
      </w:r>
      <w:r>
        <w:rPr>
          <w:rFonts w:ascii="Times New Roman;Times;serif" w:hAnsi="Times New Roman;Times;serif"/>
          <w:sz w:val="22"/>
        </w:rPr>
        <w:t xml:space="preserve">” means an assignment and assumption entered into by a Lender and an Eligible Assignee (with the consent of any party whose consent is required by </w:t>
      </w:r>
      <w:r>
        <w:rPr>
          <w:rFonts w:ascii="Times New Roman;Times;serif" w:hAnsi="Times New Roman;Times;serif"/>
          <w:sz w:val="22"/>
          <w:u w:val="single"/>
        </w:rPr>
        <w:t>Section 10.06(b)</w:t>
      </w:r>
      <w:r>
        <w:rPr>
          <w:rFonts w:ascii="Times New Roman;Times;serif" w:hAnsi="Times New Roman;Times;serif"/>
          <w:sz w:val="22"/>
        </w:rPr>
        <w:t xml:space="preserve">), and accepted by the Administrative Agent, in substantially the form of </w:t>
      </w:r>
      <w:r>
        <w:rPr>
          <w:rFonts w:ascii="Times New Roman;Times;serif" w:hAnsi="Times New Roman;Times;serif"/>
          <w:sz w:val="22"/>
          <w:u w:val="single"/>
        </w:rPr>
        <w:t>Exhibit D</w:t>
      </w:r>
      <w:r>
        <w:rPr>
          <w:rFonts w:ascii="Times New Roman;Times;serif" w:hAnsi="Times New Roman;Times;serif"/>
          <w:sz w:val="22"/>
        </w:rPr>
        <w:t xml:space="preserve"> or any other form (including electronic documentation generated by use of an electronic platform) approved by the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Attributable Indebtedness</w:t>
      </w:r>
      <w:r>
        <w:rPr>
          <w:rFonts w:ascii="Times New Roman;Times;serif" w:hAnsi="Times New Roman;Times;serif"/>
          <w:sz w:val="22"/>
        </w:rPr>
        <w:t>” means, on any date:</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in respect of any capital lease of any Person, the capitalized amount thereof that would appear on a balance sheet of such Person prepared as of such date in accordance with GAAP;</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in respect of any asset securitization transaction of any Person, (i) the actual amount of any unrecovered investment of purchasers or transferees of assets so transferred, </w:t>
      </w:r>
      <w:r>
        <w:rPr>
          <w:rFonts w:ascii="Times New Roman;Times;serif" w:hAnsi="Times New Roman;Times;serif"/>
          <w:sz w:val="22"/>
          <w:u w:val="single"/>
        </w:rPr>
        <w:t>plus</w:t>
      </w:r>
      <w:r>
        <w:rPr>
          <w:rFonts w:ascii="Times New Roman;Times;serif" w:hAnsi="Times New Roman;Times;serif"/>
          <w:sz w:val="22"/>
        </w:rPr>
        <w:t xml:space="preserve"> (ii) in the case of any other recourse, repurchase, or debt obligation described in </w:t>
      </w:r>
      <w:r>
        <w:rPr>
          <w:rFonts w:ascii="Times New Roman;Times;serif" w:hAnsi="Times New Roman;Times;serif"/>
          <w:sz w:val="22"/>
          <w:u w:val="single"/>
        </w:rPr>
        <w:t>clause (a)</w:t>
      </w:r>
      <w:r>
        <w:rPr>
          <w:rFonts w:ascii="Times New Roman;Times;serif" w:hAnsi="Times New Roman;Times;serif"/>
          <w:sz w:val="22"/>
        </w:rPr>
        <w:t xml:space="preserve"> of the definition of “Off-Balance Sheet Liabilities,” the capitalized amount of such obligation that would appear on a balance sheet of such Person prepared on such date in accordance with GAAP if such sale or transfer or assets were accounted for as a secured loan. </w:t>
      </w:r>
    </w:p>
    <w:p>
      <w:pPr>
        <w:pStyle w:val="TextBody"/>
        <w:bidi w:val="0"/>
        <w:spacing w:before="0" w:after="240"/>
        <w:ind w:left="0" w:right="0" w:firstLine="720"/>
        <w:jc w:val="both"/>
        <w:rPr/>
      </w:pPr>
      <w:r>
        <w:rPr/>
        <w:t>“</w:t>
      </w:r>
      <w:r>
        <w:rPr>
          <w:rFonts w:ascii="Times New Roman;Times;serif" w:hAnsi="Times New Roman;Times;serif"/>
          <w:sz w:val="22"/>
          <w:u w:val="single"/>
        </w:rPr>
        <w:t>Audited Financial Statements</w:t>
      </w:r>
      <w:r>
        <w:rPr>
          <w:rFonts w:ascii="Times New Roman;Times;serif" w:hAnsi="Times New Roman;Times;serif"/>
          <w:sz w:val="22"/>
        </w:rPr>
        <w:t>” means the audited consolidated balance sheet of the Borrower and its Subsidiaries for the fiscal year ended June 28, 2025, and the related consolidated statements of income or operations, shareholders’ equity and cash flows for such fiscal year of the Borrower and its Subsidiaries, including the notes thereto.</w:t>
      </w:r>
    </w:p>
    <w:p>
      <w:pPr>
        <w:pStyle w:val="TextBody"/>
        <w:bidi w:val="0"/>
        <w:spacing w:before="0" w:after="240"/>
        <w:ind w:left="0" w:right="0" w:firstLine="720"/>
        <w:jc w:val="both"/>
        <w:rPr/>
      </w:pPr>
      <w:r>
        <w:rPr/>
        <w:t>“</w:t>
      </w:r>
      <w:r>
        <w:rPr>
          <w:rFonts w:ascii="Times New Roman;Times;serif" w:hAnsi="Times New Roman;Times;serif"/>
          <w:sz w:val="22"/>
          <w:u w:val="single"/>
        </w:rPr>
        <w:t>Authorized Signatory</w:t>
      </w:r>
      <w:r>
        <w:rPr>
          <w:rFonts w:ascii="Times New Roman;Times;serif" w:hAnsi="Times New Roman;Times;serif"/>
          <w:sz w:val="22"/>
        </w:rPr>
        <w:t>” has the meaning specified in the definition of “Responsible Officer.”</w:t>
      </w:r>
    </w:p>
    <w:p>
      <w:pPr>
        <w:pStyle w:val="TextBody"/>
        <w:bidi w:val="0"/>
        <w:spacing w:before="0" w:after="240"/>
        <w:ind w:left="0" w:right="0" w:firstLine="720"/>
        <w:jc w:val="both"/>
        <w:rPr/>
      </w:pPr>
      <w:r>
        <w:rPr/>
        <w:t>“</w:t>
      </w:r>
      <w:r>
        <w:rPr>
          <w:rFonts w:ascii="Times New Roman;Times;serif" w:hAnsi="Times New Roman;Times;serif"/>
          <w:sz w:val="22"/>
          <w:u w:val="single"/>
        </w:rPr>
        <w:t>Bail-In Action</w:t>
      </w:r>
      <w:r>
        <w:rPr>
          <w:rFonts w:ascii="Times New Roman;Times;serif" w:hAnsi="Times New Roman;Times;serif"/>
          <w:sz w:val="22"/>
        </w:rPr>
        <w:t>” 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pPr>
      <w:r>
        <w:rPr/>
        <w:t>“</w:t>
      </w:r>
      <w:r>
        <w:rPr>
          <w:rFonts w:ascii="Times New Roman;Times;serif" w:hAnsi="Times New Roman;Times;serif"/>
          <w:sz w:val="22"/>
          <w:u w:val="single"/>
        </w:rPr>
        <w:t>Bail-In Legislation</w:t>
      </w:r>
      <w:r>
        <w:rPr>
          <w:rFonts w:ascii="Times New Roman;Times;serif" w:hAnsi="Times New Roman;Times;serif"/>
          <w:sz w:val="22"/>
        </w:rPr>
        <w:t xml:space="preserve">”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 xml:space="preserve">firms or other financial institutions or their affiliates (other than through liquidation, administration or other insolvency proceedings). </w:t>
      </w:r>
    </w:p>
    <w:p>
      <w:pPr>
        <w:pStyle w:val="TextBody"/>
        <w:bidi w:val="0"/>
        <w:spacing w:before="0" w:after="240"/>
        <w:ind w:left="0" w:right="0" w:firstLine="720"/>
        <w:jc w:val="both"/>
        <w:rPr/>
      </w:pPr>
      <w:r>
        <w:rPr/>
        <w:t>“</w:t>
      </w:r>
      <w:r>
        <w:rPr>
          <w:rFonts w:ascii="Times New Roman;Times;serif" w:hAnsi="Times New Roman;Times;serif"/>
          <w:sz w:val="22"/>
          <w:u w:val="single"/>
        </w:rPr>
        <w:t>Bank of America</w:t>
      </w:r>
      <w:r>
        <w:rPr>
          <w:rFonts w:ascii="Times New Roman;Times;serif" w:hAnsi="Times New Roman;Times;serif"/>
          <w:sz w:val="22"/>
        </w:rPr>
        <w:t>” means Bank of America, N.A. and its successors.</w:t>
      </w:r>
    </w:p>
    <w:p>
      <w:pPr>
        <w:pStyle w:val="TextBody"/>
        <w:bidi w:val="0"/>
        <w:spacing w:before="0" w:after="240"/>
        <w:ind w:left="0" w:right="0" w:firstLine="720"/>
        <w:jc w:val="both"/>
        <w:rPr/>
      </w:pPr>
      <w:r>
        <w:rPr/>
        <w:t>“</w:t>
      </w:r>
      <w:r>
        <w:rPr>
          <w:rFonts w:ascii="Times New Roman;Times;serif" w:hAnsi="Times New Roman;Times;serif"/>
          <w:sz w:val="22"/>
          <w:u w:val="single"/>
        </w:rPr>
        <w:t>Base Rate</w:t>
      </w:r>
      <w:r>
        <w:rPr>
          <w:rFonts w:ascii="Times New Roman;Times;serif" w:hAnsi="Times New Roman;Times;serif"/>
          <w:sz w:val="22"/>
        </w:rPr>
        <w:t xml:space="preserve">” means for any day a fluctuating rate of interest per annum equal to the highest of (a) the Federal Funds Rate </w:t>
      </w:r>
      <w:r>
        <w:rPr>
          <w:rFonts w:ascii="Times New Roman;Times;serif" w:hAnsi="Times New Roman;Times;serif"/>
          <w:sz w:val="22"/>
          <w:u w:val="single"/>
        </w:rPr>
        <w:t>plus</w:t>
      </w:r>
      <w:r>
        <w:rPr>
          <w:rFonts w:ascii="Times New Roman;Times;serif" w:hAnsi="Times New Roman;Times;serif"/>
          <w:sz w:val="22"/>
        </w:rPr>
        <w:t xml:space="preserve"> 0.50%, (b) the rate of interest in effect for such day as publicly announced from time to time by Bank of America as its “prime rate,” (c) Term SOFR </w:t>
      </w:r>
      <w:r>
        <w:rPr>
          <w:rFonts w:ascii="Times New Roman;Times;serif" w:hAnsi="Times New Roman;Times;serif"/>
          <w:sz w:val="22"/>
          <w:u w:val="single"/>
        </w:rPr>
        <w:t>plus</w:t>
      </w:r>
      <w:r>
        <w:rPr>
          <w:rFonts w:ascii="Times New Roman;Times;serif" w:hAnsi="Times New Roman;Times;serif"/>
          <w:sz w:val="22"/>
        </w:rPr>
        <w:t xml:space="preserve">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Times;serif" w:hAnsi="Times New Roman;Times;serif"/>
          <w:sz w:val="22"/>
          <w:u w:val="single"/>
        </w:rPr>
        <w:t>Section 3.03</w:t>
      </w:r>
      <w:r>
        <w:rPr>
          <w:rFonts w:ascii="Times New Roman;Times;serif" w:hAnsi="Times New Roman;Times;serif"/>
          <w:sz w:val="22"/>
        </w:rPr>
        <w:t xml:space="preserve"> hereof, then the Base Rate shall be the greater of clauses (a), (b) and (d) above and shall be determined without reference to clause (c) above.</w:t>
      </w:r>
    </w:p>
    <w:p>
      <w:pPr>
        <w:pStyle w:val="TextBody"/>
        <w:bidi w:val="0"/>
        <w:spacing w:before="0" w:after="240"/>
        <w:ind w:left="0" w:right="0" w:firstLine="720"/>
        <w:jc w:val="both"/>
        <w:rPr/>
      </w:pPr>
      <w:r>
        <w:rPr/>
        <w:t>“</w:t>
      </w:r>
      <w:r>
        <w:rPr>
          <w:rFonts w:ascii="Times New Roman;Times;serif" w:hAnsi="Times New Roman;Times;serif"/>
          <w:sz w:val="22"/>
          <w:u w:val="single"/>
        </w:rPr>
        <w:t>Base Rate Loan</w:t>
      </w:r>
      <w:r>
        <w:rPr>
          <w:rFonts w:ascii="Times New Roman;Times;serif" w:hAnsi="Times New Roman;Times;serif"/>
          <w:sz w:val="22"/>
        </w:rPr>
        <w:t>” means a Loan that bears interest based on the Base Rate.  All Base Rate Loans shall be denominated in Dollars.</w:t>
      </w:r>
    </w:p>
    <w:p>
      <w:pPr>
        <w:pStyle w:val="TextBody"/>
        <w:bidi w:val="0"/>
        <w:spacing w:before="0" w:after="240"/>
        <w:ind w:left="0" w:right="0" w:firstLine="720"/>
        <w:jc w:val="both"/>
        <w:rPr/>
      </w:pPr>
      <w:r>
        <w:rPr/>
        <w:t>“</w:t>
      </w:r>
      <w:r>
        <w:rPr>
          <w:rFonts w:ascii="Times New Roman;Times;serif" w:hAnsi="Times New Roman;Times;serif"/>
          <w:sz w:val="22"/>
          <w:u w:val="single"/>
        </w:rPr>
        <w:t>Benefit Plan</w:t>
      </w:r>
      <w:r>
        <w:rPr>
          <w:rFonts w:ascii="Times New Roman;Times;serif" w:hAnsi="Times New Roman;Times;serif"/>
          <w:sz w:val="22"/>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both"/>
        <w:rPr/>
      </w:pPr>
      <w:r>
        <w:rPr/>
        <w:t>“</w:t>
      </w:r>
      <w:r>
        <w:rPr>
          <w:rFonts w:ascii="Times New Roman;Times;serif" w:hAnsi="Times New Roman;Times;serif"/>
          <w:sz w:val="22"/>
          <w:u w:val="single"/>
        </w:rPr>
        <w:t>Borrower</w:t>
      </w:r>
      <w:r>
        <w:rPr>
          <w:rFonts w:ascii="Times New Roman;Times;serif" w:hAnsi="Times New Roman;Times;serif"/>
          <w:sz w:val="22"/>
        </w:rPr>
        <w:t>” has the meaning specified in the introductory paragraph hereto.</w:t>
      </w:r>
    </w:p>
    <w:p>
      <w:pPr>
        <w:pStyle w:val="TextBody"/>
        <w:bidi w:val="0"/>
        <w:spacing w:before="0" w:after="240"/>
        <w:ind w:left="0" w:right="0" w:firstLine="720"/>
        <w:jc w:val="both"/>
        <w:rPr/>
      </w:pPr>
      <w:r>
        <w:rPr/>
        <w:t>“</w:t>
      </w:r>
      <w:r>
        <w:rPr>
          <w:rFonts w:ascii="Times New Roman;Times;serif" w:hAnsi="Times New Roman;Times;serif"/>
          <w:sz w:val="22"/>
          <w:u w:val="single"/>
        </w:rPr>
        <w:t>Borrower Materials</w:t>
      </w:r>
      <w:r>
        <w:rPr>
          <w:rFonts w:ascii="Times New Roman;Times;serif" w:hAnsi="Times New Roman;Times;serif"/>
          <w:sz w:val="22"/>
        </w:rPr>
        <w:t xml:space="preserve">” 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Borrowing</w:t>
      </w:r>
      <w:r>
        <w:rPr>
          <w:rFonts w:ascii="Times New Roman;Times;serif" w:hAnsi="Times New Roman;Times;serif"/>
          <w:sz w:val="22"/>
        </w:rPr>
        <w:t xml:space="preserve">” means a borrowing consisting of simultaneous Loans of the same Type and, in the case of Term SOFR Loans, having the same Interest Period made by each of the Lenders pursuant to </w:t>
      </w:r>
      <w:r>
        <w:rPr>
          <w:rFonts w:ascii="Times New Roman;Times;serif" w:hAnsi="Times New Roman;Times;serif"/>
          <w:sz w:val="22"/>
          <w:u w:val="single"/>
        </w:rPr>
        <w:t>Section 2.01.  </w:t>
      </w:r>
    </w:p>
    <w:p>
      <w:pPr>
        <w:pStyle w:val="TextBody"/>
        <w:bidi w:val="0"/>
        <w:spacing w:before="0" w:after="240"/>
        <w:ind w:left="0" w:right="0" w:firstLine="720"/>
        <w:jc w:val="both"/>
        <w:rPr/>
      </w:pPr>
      <w:r>
        <w:rPr/>
        <w:t>“</w:t>
      </w:r>
      <w:r>
        <w:rPr>
          <w:rFonts w:ascii="Times New Roman;Times;serif" w:hAnsi="Times New Roman;Times;serif"/>
          <w:sz w:val="22"/>
          <w:u w:val="single"/>
        </w:rPr>
        <w:t>Business Day</w:t>
      </w:r>
      <w:r>
        <w:rPr>
          <w:rFonts w:ascii="Times New Roman;Times;serif" w:hAnsi="Times New Roman;Times;serif"/>
          <w:sz w:val="22"/>
        </w:rPr>
        <w:t>” means any day other than a Saturday, Sunday or other day on which commercial banks are authorized to close under the Laws of, or are in fact closed in, the state where the Administrative Agent’s Office is located.</w:t>
      </w:r>
    </w:p>
    <w:p>
      <w:pPr>
        <w:pStyle w:val="TextBody"/>
        <w:bidi w:val="0"/>
        <w:spacing w:before="0" w:after="240"/>
        <w:ind w:left="0" w:right="0" w:firstLine="720"/>
        <w:jc w:val="both"/>
        <w:rPr/>
      </w:pPr>
      <w:r>
        <w:rPr/>
        <w:t>“</w:t>
      </w:r>
      <w:r>
        <w:rPr>
          <w:rFonts w:ascii="Times New Roman;Times;serif" w:hAnsi="Times New Roman;Times;serif"/>
          <w:sz w:val="22"/>
          <w:u w:val="single"/>
        </w:rPr>
        <w:t>Change in Law</w:t>
      </w:r>
      <w:r>
        <w:rPr>
          <w:rFonts w:ascii="Times New Roman;Times;serif" w:hAnsi="Times New Roman;Times;serif"/>
          <w:sz w:val="22"/>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2"/>
          <w:u w:val="single"/>
        </w:rPr>
        <w:t>provided</w:t>
      </w:r>
      <w:r>
        <w:rPr>
          <w:rFonts w:ascii="Times New Roman;Times;serif" w:hAnsi="Times New Roman;Times;serif"/>
          <w:sz w:val="22"/>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sz w:val="22"/>
          <w:u w:val="single"/>
        </w:rPr>
        <w:t>Change of Control</w:t>
      </w:r>
      <w:r>
        <w:rPr>
          <w:rFonts w:ascii="Times New Roman;Times;serif" w:hAnsi="Times New Roman;Times;serif"/>
          <w:sz w:val="22"/>
        </w:rPr>
        <w:t>” means an event or series of events by which:</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“person” or “group” (as such terms are used in Sections 13(d) and 14(d) of the Securities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except that a person or group shall be deemed to have “beneficial ownership” of all securities that such person or group has the right to acquire (such right, an “</w:t>
      </w:r>
      <w:r>
        <w:rPr>
          <w:rFonts w:ascii="Times New Roman;Times;serif" w:hAnsi="Times New Roman;Times;serif"/>
          <w:sz w:val="22"/>
          <w:u w:val="single"/>
        </w:rPr>
        <w:t>option right</w:t>
      </w:r>
      <w:r>
        <w:rPr>
          <w:rFonts w:ascii="Times New Roman;Times;serif" w:hAnsi="Times New Roman;Times;serif"/>
          <w:sz w:val="22"/>
        </w:rPr>
        <w:t>”), whether such right is exercisable immediately or only after the passage of time), directly or indirectly, of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Times;serif" w:hAnsi="Times New Roman;Times;serif"/>
          <w:sz w:val="22"/>
          <w:u w:val="single"/>
        </w:rPr>
        <w:t>clause (i)</w:t>
      </w:r>
      <w:r>
        <w:rPr>
          <w:rFonts w:ascii="Times New Roman;Times;serif" w:hAnsi="Times New Roman;Times;serif"/>
          <w:sz w:val="22"/>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Times;serif" w:hAnsi="Times New Roman;Times;serif"/>
          <w:sz w:val="22"/>
          <w:u w:val="single"/>
        </w:rPr>
        <w:t>clauses (i)</w:t>
      </w:r>
      <w:r>
        <w:rPr>
          <w:rFonts w:ascii="Times New Roman;Times;serif" w:hAnsi="Times New Roman;Times;serif"/>
          <w:sz w:val="22"/>
        </w:rPr>
        <w:t xml:space="preserve"> and </w:t>
      </w:r>
      <w:r>
        <w:rPr>
          <w:rFonts w:ascii="Times New Roman;Times;serif" w:hAnsi="Times New Roman;Times;serif"/>
          <w:sz w:val="22"/>
          <w:u w:val="single"/>
        </w:rPr>
        <w:t>(ii)</w:t>
      </w:r>
      <w:r>
        <w:rPr>
          <w:rFonts w:ascii="Times New Roman;Times;serif" w:hAnsi="Times New Roman;Times;serif"/>
          <w:sz w:val="22"/>
        </w:rPr>
        <w:t xml:space="preserve"> above constituting at the time of such election or nomination at least a majority of that board or equivalent governing body.</w:t>
      </w:r>
    </w:p>
    <w:p>
      <w:pPr>
        <w:pStyle w:val="TextBody"/>
        <w:bidi w:val="0"/>
        <w:spacing w:before="0" w:after="240"/>
        <w:ind w:left="0" w:right="0" w:firstLine="720"/>
        <w:jc w:val="both"/>
        <w:rPr/>
      </w:pPr>
      <w:r>
        <w:rPr/>
        <w:t>“</w:t>
      </w:r>
      <w:r>
        <w:rPr>
          <w:rFonts w:ascii="Times New Roman;Times;serif" w:hAnsi="Times New Roman;Times;serif"/>
          <w:sz w:val="22"/>
          <w:u w:val="single"/>
        </w:rPr>
        <w:t>Closing Date</w:t>
      </w:r>
      <w:r>
        <w:rPr>
          <w:rFonts w:ascii="Times New Roman;Times;serif" w:hAnsi="Times New Roman;Times;serif"/>
          <w:sz w:val="22"/>
        </w:rPr>
        <w:t xml:space="preserve">” means the first date all the conditions precedent in </w:t>
      </w:r>
      <w:r>
        <w:rPr>
          <w:rFonts w:ascii="Times New Roman;Times;serif" w:hAnsi="Times New Roman;Times;serif"/>
          <w:sz w:val="22"/>
          <w:u w:val="single"/>
        </w:rPr>
        <w:t>Section 4.01</w:t>
      </w:r>
      <w:r>
        <w:rPr>
          <w:rFonts w:ascii="Times New Roman;Times;serif" w:hAnsi="Times New Roman;Times;serif"/>
          <w:sz w:val="22"/>
        </w:rPr>
        <w:t xml:space="preserve"> are satisfied or waived in accordance with </w:t>
      </w:r>
      <w:r>
        <w:rPr>
          <w:rFonts w:ascii="Times New Roman;Times;serif" w:hAnsi="Times New Roman;Times;serif"/>
          <w:sz w:val="22"/>
          <w:u w:val="single"/>
        </w:rPr>
        <w:t>Section 10.01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CME</w:t>
      </w:r>
      <w:r>
        <w:rPr>
          <w:rFonts w:ascii="Times New Roman;Times;serif" w:hAnsi="Times New Roman;Times;serif"/>
          <w:sz w:val="22"/>
        </w:rPr>
        <w:t>” means CME Group Benchmark Administration Limited.</w:t>
      </w:r>
    </w:p>
    <w:p>
      <w:pPr>
        <w:pStyle w:val="TextBody"/>
        <w:bidi w:val="0"/>
        <w:spacing w:before="0" w:after="240"/>
        <w:ind w:left="0" w:right="0" w:firstLine="720"/>
        <w:jc w:val="both"/>
        <w:rPr/>
      </w:pPr>
      <w:r>
        <w:rPr/>
        <w:t>“</w:t>
      </w:r>
      <w:r>
        <w:rPr>
          <w:rFonts w:ascii="Times New Roman;Times;serif" w:hAnsi="Times New Roman;Times;serif"/>
          <w:sz w:val="22"/>
          <w:u w:val="single"/>
        </w:rPr>
        <w:t>Code</w:t>
      </w:r>
      <w:r>
        <w:rPr>
          <w:rFonts w:ascii="Times New Roman;Times;serif" w:hAnsi="Times New Roman;Times;serif"/>
          <w:sz w:val="22"/>
        </w:rPr>
        <w:t>” means the Internal Revenue Code of 1986.</w:t>
      </w:r>
    </w:p>
    <w:p>
      <w:pPr>
        <w:pStyle w:val="TextBody"/>
        <w:bidi w:val="0"/>
        <w:spacing w:before="0" w:after="240"/>
        <w:ind w:left="0" w:right="0" w:firstLine="720"/>
        <w:jc w:val="both"/>
        <w:rPr/>
      </w:pPr>
      <w:r>
        <w:rPr/>
        <w:t>“</w:t>
      </w:r>
      <w:r>
        <w:rPr>
          <w:rFonts w:ascii="Times New Roman;Times;serif" w:hAnsi="Times New Roman;Times;serif"/>
          <w:sz w:val="22"/>
          <w:u w:val="single"/>
        </w:rPr>
        <w:t>Commerzbank</w:t>
      </w:r>
      <w:r>
        <w:rPr>
          <w:rFonts w:ascii="Times New Roman;Times;serif" w:hAnsi="Times New Roman;Times;serif"/>
          <w:sz w:val="22"/>
        </w:rPr>
        <w:t>” means Commerzbank AG, New York Branch.  </w:t>
      </w:r>
    </w:p>
    <w:p>
      <w:pPr>
        <w:pStyle w:val="TextBody"/>
        <w:bidi w:val="0"/>
        <w:spacing w:before="0" w:after="240"/>
        <w:ind w:left="0" w:right="0" w:firstLine="720"/>
        <w:jc w:val="both"/>
        <w:rPr/>
      </w:pPr>
      <w:r>
        <w:rPr/>
        <w:t>“</w:t>
      </w:r>
      <w:r>
        <w:rPr>
          <w:rFonts w:ascii="Times New Roman;Times;serif" w:hAnsi="Times New Roman;Times;serif"/>
          <w:sz w:val="22"/>
          <w:u w:val="single"/>
        </w:rPr>
        <w:t>Commitment</w:t>
      </w:r>
      <w:r>
        <w:rPr>
          <w:rFonts w:ascii="Times New Roman;Times;serif" w:hAnsi="Times New Roman;Times;serif"/>
          <w:sz w:val="22"/>
        </w:rPr>
        <w:t xml:space="preserve">” means, as to each Lender, its obligation to make Loans to the Borrower pursuant to </w:t>
      </w:r>
      <w:r>
        <w:rPr>
          <w:rFonts w:ascii="Times New Roman;Times;serif" w:hAnsi="Times New Roman;Times;serif"/>
          <w:sz w:val="22"/>
          <w:u w:val="single"/>
        </w:rPr>
        <w:t>Section 2.01</w:t>
      </w:r>
      <w:r>
        <w:rPr>
          <w:rFonts w:ascii="Times New Roman;Times;serif" w:hAnsi="Times New Roman;Times;serif"/>
          <w:sz w:val="22"/>
        </w:rPr>
        <w:t xml:space="preserve"> in an aggregate principal amount at any one time outstanding not to exceed the amount set forth opposite such Lender’s name on </w:t>
      </w:r>
      <w:r>
        <w:rPr>
          <w:rFonts w:ascii="Times New Roman;Times;serif" w:hAnsi="Times New Roman;Times;serif"/>
          <w:sz w:val="22"/>
          <w:u w:val="single"/>
        </w:rPr>
        <w:t>Schedule 2.01</w:t>
      </w:r>
      <w:r>
        <w:rPr>
          <w:rFonts w:ascii="Times New Roman;Times;serif" w:hAnsi="Times New Roman;Times;serif"/>
          <w:sz w:val="22"/>
        </w:rPr>
        <w:t>, as such amount may be adjusted from time to time in accordance with this Agreement.</w:t>
      </w:r>
    </w:p>
    <w:p>
      <w:pPr>
        <w:pStyle w:val="TextBody"/>
        <w:bidi w:val="0"/>
        <w:spacing w:before="0" w:after="240"/>
        <w:ind w:left="0" w:right="0" w:firstLine="720"/>
        <w:jc w:val="both"/>
        <w:rPr/>
      </w:pPr>
      <w:r>
        <w:rPr/>
        <w:t>“</w:t>
      </w:r>
      <w:r>
        <w:rPr>
          <w:rFonts w:ascii="Times New Roman;Times;serif" w:hAnsi="Times New Roman;Times;serif"/>
          <w:sz w:val="22"/>
          <w:u w:val="single"/>
        </w:rPr>
        <w:t>Communication</w:t>
      </w:r>
      <w:r>
        <w:rPr>
          <w:rFonts w:ascii="Times New Roman;Times;serif" w:hAnsi="Times New Roman;Times;serif"/>
          <w:sz w:val="22"/>
        </w:rPr>
        <w:t xml:space="preserve">” has the meaning specified in </w:t>
      </w:r>
      <w:r>
        <w:rPr>
          <w:rFonts w:ascii="Times New Roman;Times;serif" w:hAnsi="Times New Roman;Times;serif"/>
          <w:sz w:val="22"/>
          <w:u w:val="single"/>
        </w:rPr>
        <w:t>Section 10.19</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Compliance Certificate</w:t>
      </w:r>
      <w:r>
        <w:rPr>
          <w:rFonts w:ascii="Times New Roman;Times;serif" w:hAnsi="Times New Roman;Times;serif"/>
          <w:sz w:val="22"/>
        </w:rPr>
        <w:t xml:space="preserve">” means a certificate substantially in the form of </w:t>
      </w:r>
      <w:r>
        <w:rPr>
          <w:rFonts w:ascii="Times New Roman;Times;serif" w:hAnsi="Times New Roman;Times;serif"/>
          <w:sz w:val="22"/>
          <w:u w:val="single"/>
        </w:rPr>
        <w:t>Exhibit C</w:t>
      </w:r>
      <w:r>
        <w:rPr>
          <w:rFonts w:ascii="Times New Roman;Times;serif" w:hAnsi="Times New Roman;Times;serif"/>
          <w:sz w:val="22"/>
        </w:rPr>
        <w:t>.</w:t>
      </w:r>
    </w:p>
    <w:p>
      <w:pPr>
        <w:pStyle w:val="TextBody"/>
        <w:bidi w:val="0"/>
        <w:spacing w:before="0" w:after="0"/>
        <w:ind w:left="0" w:right="0" w:firstLine="720"/>
        <w:jc w:val="both"/>
        <w:rPr/>
      </w:pPr>
      <w:r>
        <w:rPr/>
        <w:t>“</w:t>
      </w:r>
      <w:r>
        <w:rPr>
          <w:rFonts w:ascii="Times New Roman;Times;serif" w:hAnsi="Times New Roman;Times;serif"/>
          <w:sz w:val="22"/>
          <w:u w:val="single"/>
        </w:rPr>
        <w:t>Conforming Changes</w:t>
      </w:r>
      <w:r>
        <w:rPr>
          <w:rFonts w:ascii="Times New Roman;Times;serif" w:hAnsi="Times New Roman;Times;serif"/>
          <w:sz w:val="22"/>
        </w:rPr>
        <w:t xml:space="preserve">” means, with respect to the use, administration of or any conventions associated with SOFR, Term SOFR or any proposed successor rate for any currency, any conforming changes to the definitions of “Base Rate”, “SOFR”, “Term SOFR” “Interest Period”, timing and frequency of determining rates and making payments of interest and other technical or administrative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exists, in such other manner of administration as the Administrative Agent determines in consultation with the Borrower is reasonably necessary in connection with the administration of this Agreement and any other Loan Document).</w:t>
      </w:r>
    </w:p>
    <w:p>
      <w:pPr>
        <w:pStyle w:val="TextBody"/>
        <w:bidi w:val="0"/>
        <w:spacing w:before="0" w:after="240"/>
        <w:ind w:left="0" w:right="0" w:firstLine="720"/>
        <w:jc w:val="both"/>
        <w:rPr/>
      </w:pPr>
      <w:r>
        <w:rPr/>
        <w:t>“</w:t>
      </w:r>
      <w:r>
        <w:rPr>
          <w:rFonts w:ascii="Times New Roman;Times;serif" w:hAnsi="Times New Roman;Times;serif"/>
          <w:sz w:val="22"/>
          <w:u w:val="single"/>
        </w:rPr>
        <w:t>Connection Income Taxes</w:t>
      </w:r>
      <w:r>
        <w:rPr>
          <w:rFonts w:ascii="Times New Roman;Times;serif" w:hAnsi="Times New Roman;Times;serif"/>
          <w:sz w:val="22"/>
        </w:rPr>
        <w:t>” 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t>“</w:t>
      </w:r>
      <w:r>
        <w:rPr>
          <w:rFonts w:ascii="Times New Roman;Times;serif" w:hAnsi="Times New Roman;Times;serif"/>
          <w:sz w:val="22"/>
          <w:u w:val="single"/>
        </w:rPr>
        <w:t>Consolidated EBITDA</w:t>
      </w:r>
      <w:r>
        <w:rPr>
          <w:rFonts w:ascii="Times New Roman;Times;serif" w:hAnsi="Times New Roman;Times;serif"/>
          <w:sz w:val="22"/>
        </w:rPr>
        <w:t xml:space="preserve">” means, for any period, for the Borrower and its Subsidiaries on a consolidated basis, an amount equal to Consolidated Net Income for such period </w:t>
      </w:r>
      <w:r>
        <w:rPr>
          <w:rFonts w:ascii="Times New Roman;Times;serif" w:hAnsi="Times New Roman;Times;serif"/>
          <w:sz w:val="22"/>
          <w:u w:val="single"/>
        </w:rPr>
        <w:t>plus</w:t>
      </w:r>
      <w:r>
        <w:rPr>
          <w:rFonts w:ascii="Times New Roman;Times;serif" w:hAnsi="Times New Roman;Times;serif"/>
          <w:sz w:val="22"/>
        </w:rPr>
        <w:t xml:space="preserve"> (a) the following (to the extent deducted in calculating such Consolidated Net Income, without duplication): (i) Consolidated Interest Charges for such period, (ii) the provision for Federal, state, local and foreign income taxes payable by the Borrower and its Subsidiaries for such period, (iii) depreciation and amortization expense, (iv) gains or losses related to the early extinguishment of notes, bonds or other fixed income obligations, (v) other non-cash or non-recurring expenses of the Borrower and its Subsidiaries (including non-cash expenses consisting of compensation paid in the form of Equity Interests of the Borrower or its Subsidiaries and non-cash charges due to impairments recorded in such period in accordance with Financial Accounting Standards Board’s Accounting Standards Codification 350), reducing such Consolidated Net Income and (vi) the amount of any restructuring charge, accrual, reserve or integration cost or expense incurred or accrued on or after August 28, 2025 and prior to the Relief Period Termination Date, in connection with the planning, undertaking and implementation of any restructuring, closure, reallocation, relocation, decommissioning, reconfiguration, cost rationalization, reduction in force, exit or disposal plan, or operating expense reduction, including severance pay, other employee termination costs, rent termination costs, moving costs and legal costs, in each case to the extent such transaction is permitted under the Loan Documents, in an aggregate amount for all adjustments under this </w:t>
      </w:r>
      <w:r>
        <w:rPr>
          <w:rFonts w:ascii="Times New Roman;Times;serif" w:hAnsi="Times New Roman;Times;serif"/>
          <w:sz w:val="22"/>
          <w:u w:val="single"/>
        </w:rPr>
        <w:t>clause (vi)</w:t>
      </w:r>
      <w:r>
        <w:rPr>
          <w:rFonts w:ascii="Times New Roman;Times;serif" w:hAnsi="Times New Roman;Times;serif"/>
          <w:sz w:val="22"/>
        </w:rPr>
        <w:t xml:space="preserve">, not to exceed $100,000,000 and which amounts may only be included in a fiscal period ending during the Relief Period, and minus (b) all non-cash items increasing Consolidated Net Income for such period.   </w:t>
      </w:r>
    </w:p>
    <w:p>
      <w:pPr>
        <w:pStyle w:val="TextBody"/>
        <w:bidi w:val="0"/>
        <w:spacing w:before="0" w:after="240"/>
        <w:ind w:left="0" w:right="0" w:firstLine="720"/>
        <w:jc w:val="both"/>
        <w:rPr/>
      </w:pPr>
      <w:r>
        <w:rPr/>
        <w:t>“</w:t>
      </w:r>
      <w:r>
        <w:rPr>
          <w:rFonts w:ascii="Times New Roman;Times;serif" w:hAnsi="Times New Roman;Times;serif"/>
          <w:sz w:val="22"/>
          <w:u w:val="single"/>
        </w:rPr>
        <w:t>Consolidated Funded Indebtedness</w:t>
      </w:r>
      <w:r>
        <w:rPr>
          <w:rFonts w:ascii="Times New Roman;Times;serif" w:hAnsi="Times New Roman;Times;serif"/>
          <w:sz w:val="22"/>
        </w:rPr>
        <w:t xml:space="preserve">” means, as of any date of determination, for the Borrower and its Subsidiaries on a consolidated basis, the sum of (a) the outstanding principal amount of all obligations, whether current or long-term, for borrowed money (including such Obligations hereunder) and all obligations evidenced by bonds, debentures, notes, loan agreements or other similar instruments, (b) all purchase money Indebtedness, (c) all direct obligations arising under letters of credit (including standby letters of credit), bankers’ acceptances, bank guaranties, surety bonds and similar instruments (other than, and without expanding this </w:t>
      </w:r>
      <w:r>
        <w:rPr>
          <w:rFonts w:ascii="Times New Roman;Times;serif" w:hAnsi="Times New Roman;Times;serif"/>
          <w:sz w:val="22"/>
          <w:u w:val="single"/>
        </w:rPr>
        <w:t>clause (c)</w:t>
      </w:r>
      <w:r>
        <w:rPr>
          <w:rFonts w:ascii="Times New Roman;Times;serif" w:hAnsi="Times New Roman;Times;serif"/>
          <w:sz w:val="22"/>
        </w:rPr>
        <w:t xml:space="preserve">, commercial letters of credit and bankers’ acceptances incurred to support commercial or lease transactions, bid bonds, payment bonds and performance bonds arising in the ordinary course of business), in each case net of the amount of cash collateral securing such direct obligations, (d) all obligations in respect of the deferred purchase price of property or services (other than trade accounts payable in the ordinary course of business), (e) Attributable Indebtedness in respect of capital leases, Synthetic Lease Obligations and other Off-Balance Sheet Liabilities, (f) without duplication, all Guarantees with respect to outstanding Indebtedness of the types specified in </w:t>
      </w:r>
      <w:r>
        <w:rPr>
          <w:rFonts w:ascii="Times New Roman;Times;serif" w:hAnsi="Times New Roman;Times;serif"/>
          <w:sz w:val="22"/>
          <w:u w:val="single"/>
        </w:rPr>
        <w:t>clauses (a)</w:t>
      </w:r>
      <w:r>
        <w:rPr>
          <w:rFonts w:ascii="Times New Roman;Times;serif" w:hAnsi="Times New Roman;Times;serif"/>
          <w:sz w:val="22"/>
        </w:rPr>
        <w:t xml:space="preserve"> through </w:t>
      </w:r>
      <w:r>
        <w:rPr>
          <w:rFonts w:ascii="Times New Roman;Times;serif" w:hAnsi="Times New Roman;Times;serif"/>
          <w:sz w:val="22"/>
          <w:u w:val="single"/>
        </w:rPr>
        <w:t>(e)</w:t>
      </w:r>
      <w:r>
        <w:rPr>
          <w:rFonts w:ascii="Times New Roman;Times;serif" w:hAnsi="Times New Roman;Times;serif"/>
          <w:sz w:val="22"/>
        </w:rPr>
        <w:t xml:space="preserve"> above of Persons other than the Borrower or any Subsidiary, and (g) all Indebtedness of the types referred to in </w:t>
      </w:r>
      <w:r>
        <w:rPr>
          <w:rFonts w:ascii="Times New Roman;Times;serif" w:hAnsi="Times New Roman;Times;serif"/>
          <w:sz w:val="22"/>
          <w:u w:val="single"/>
        </w:rPr>
        <w:t>clauses (a)</w:t>
      </w:r>
      <w:r>
        <w:rPr>
          <w:rFonts w:ascii="Times New Roman;Times;serif" w:hAnsi="Times New Roman;Times;serif"/>
          <w:sz w:val="22"/>
        </w:rPr>
        <w:t xml:space="preserve"> through </w:t>
      </w:r>
      <w:r>
        <w:rPr>
          <w:rFonts w:ascii="Times New Roman;Times;serif" w:hAnsi="Times New Roman;Times;serif"/>
          <w:sz w:val="22"/>
          <w:u w:val="single"/>
        </w:rPr>
        <w:t>(f)</w:t>
      </w:r>
      <w:r>
        <w:rPr>
          <w:rFonts w:ascii="Times New Roman;Times;serif" w:hAnsi="Times New Roman;Times;serif"/>
          <w:sz w:val="22"/>
        </w:rPr>
        <w:t xml:space="preserve"> above of any partnership or joint venture (other than a joint venture that is itself a corporation or limited liability company) in which the Borrower or a Subsidiary is a general partner or joint venturer, if, and to the extent that, the fair value of the assets of such partnership or joint venture is less than its probable liability in respect of its obligations, net of any right to contribution from other reasonably creditworthy Persons which the Borrower or such Subsidiary has in respect thereof, unless such Indebtedness is expressly made non-recourse to the Borrower or such Subsidiary.</w:t>
      </w:r>
    </w:p>
    <w:p>
      <w:pPr>
        <w:pStyle w:val="TextBody"/>
        <w:bidi w:val="0"/>
        <w:spacing w:before="0" w:after="0"/>
        <w:ind w:left="0" w:right="0" w:firstLine="720"/>
        <w:jc w:val="both"/>
        <w:rPr/>
      </w:pPr>
      <w:r>
        <w:rPr/>
        <w:t>“</w:t>
      </w:r>
      <w:r>
        <w:rPr>
          <w:rFonts w:ascii="Times New Roman;Times;serif" w:hAnsi="Times New Roman;Times;serif"/>
          <w:sz w:val="22"/>
          <w:u w:val="single"/>
        </w:rPr>
        <w:t>Consolidated Interest Charges</w:t>
      </w:r>
      <w:r>
        <w:rPr>
          <w:rFonts w:ascii="Times New Roman;Times;serif" w:hAnsi="Times New Roman;Times;serif"/>
          <w:sz w:val="22"/>
        </w:rPr>
        <w:t xml:space="preserve">” means, for any period, for the Borrower and its Subsidiaries on a consolidated basis, the sum, without duplication, of (a) consolidated interest expense determined in accordance with GAAP and (b) all implicit interest in connection with Synthetic Lease Obligations and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other Off-Balance Sheet Liabilities minus (c) the amount of non-cash interest (including interest paid by the issuance of additional securities) included in the foregoing </w:t>
      </w:r>
      <w:r>
        <w:rPr>
          <w:rFonts w:ascii="Times New Roman;Times;serif" w:hAnsi="Times New Roman;Times;serif"/>
          <w:sz w:val="22"/>
          <w:u w:val="single"/>
        </w:rPr>
        <w:t>clause (a)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Consolidated Leverage Ratio</w:t>
      </w:r>
      <w:r>
        <w:rPr>
          <w:rFonts w:ascii="Times New Roman;Times;serif" w:hAnsi="Times New Roman;Times;serif"/>
          <w:sz w:val="22"/>
        </w:rPr>
        <w:t>” means, as of any date of determination, the ratio of (a) Consolidated Funded Indebtedness as of such date to (b) Consolidated EBITDA for the period of the four fiscal quarters most recently ended.</w:t>
      </w:r>
    </w:p>
    <w:p>
      <w:pPr>
        <w:pStyle w:val="TextBody"/>
        <w:bidi w:val="0"/>
        <w:spacing w:before="0" w:after="240"/>
        <w:ind w:left="0" w:right="0" w:firstLine="720"/>
        <w:jc w:val="both"/>
        <w:rPr/>
      </w:pPr>
      <w:r>
        <w:rPr/>
        <w:t>“</w:t>
      </w:r>
      <w:r>
        <w:rPr>
          <w:rFonts w:ascii="Times New Roman;Times;serif" w:hAnsi="Times New Roman;Times;serif"/>
          <w:sz w:val="22"/>
          <w:u w:val="single"/>
        </w:rPr>
        <w:t>Consolidated Net Income</w:t>
      </w:r>
      <w:r>
        <w:rPr>
          <w:rFonts w:ascii="Times New Roman;Times;serif" w:hAnsi="Times New Roman;Times;serif"/>
          <w:sz w:val="22"/>
        </w:rPr>
        <w:t>” means, for any period, for the Borrower and its Subsidiaries on a consolidated basis, the net income of the Borrower and its Subsidiaries (excluding extraordinary gains but including extraordinary losses) for that period.</w:t>
      </w:r>
    </w:p>
    <w:p>
      <w:pPr>
        <w:pStyle w:val="TextBody"/>
        <w:bidi w:val="0"/>
        <w:spacing w:before="0" w:after="240"/>
        <w:ind w:left="0" w:right="0" w:firstLine="720"/>
        <w:jc w:val="both"/>
        <w:rPr/>
      </w:pPr>
      <w:r>
        <w:rPr/>
        <w:t>“</w:t>
      </w:r>
      <w:r>
        <w:rPr>
          <w:rFonts w:ascii="Times New Roman;Times;serif" w:hAnsi="Times New Roman;Times;serif"/>
          <w:sz w:val="22"/>
          <w:u w:val="single"/>
        </w:rPr>
        <w:t>Consolidated Tangible Net Worth</w:t>
      </w:r>
      <w:r>
        <w:rPr>
          <w:rFonts w:ascii="Times New Roman;Times;serif" w:hAnsi="Times New Roman;Times;serif"/>
          <w:sz w:val="22"/>
        </w:rPr>
        <w:t>” means, as of any date of determination, for the Borrower and its Subsidiaries on a consolidated basis, Shareholders’ Equity minus Intangible Assets on that date.</w:t>
      </w:r>
    </w:p>
    <w:p>
      <w:pPr>
        <w:pStyle w:val="TextBody"/>
        <w:bidi w:val="0"/>
        <w:spacing w:before="0" w:after="240"/>
        <w:ind w:left="0" w:right="0" w:firstLine="720"/>
        <w:jc w:val="both"/>
        <w:rPr/>
      </w:pPr>
      <w:r>
        <w:rPr/>
        <w:t>“</w:t>
      </w:r>
      <w:r>
        <w:rPr>
          <w:rFonts w:ascii="Times New Roman;Times;serif" w:hAnsi="Times New Roman;Times;serif"/>
          <w:sz w:val="22"/>
          <w:u w:val="single"/>
        </w:rPr>
        <w:t>Contractual Obligation</w:t>
      </w:r>
      <w:r>
        <w:rPr>
          <w:rFonts w:ascii="Times New Roman;Times;serif" w:hAnsi="Times New Roman;Times;serif"/>
          <w:sz w:val="22"/>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720"/>
        <w:jc w:val="both"/>
        <w:rPr/>
      </w:pPr>
      <w:r>
        <w:rPr/>
        <w:t>“</w:t>
      </w:r>
      <w:r>
        <w:rPr>
          <w:rFonts w:ascii="Times New Roman;Times;serif" w:hAnsi="Times New Roman;Times;serif"/>
          <w:sz w:val="22"/>
          <w:u w:val="single"/>
        </w:rPr>
        <w:t>Control</w:t>
      </w:r>
      <w:r>
        <w:rPr>
          <w:rFonts w:ascii="Times New Roman;Times;serif" w:hAnsi="Times New Roman;Times;serif"/>
          <w:sz w:val="22"/>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sz w:val="22"/>
          <w:u w:val="single"/>
        </w:rPr>
        <w:t>Controlling</w:t>
      </w:r>
      <w:r>
        <w:rPr>
          <w:rFonts w:ascii="Times New Roman;Times;serif" w:hAnsi="Times New Roman;Times;serif"/>
          <w:sz w:val="22"/>
        </w:rPr>
        <w:t>” and “</w:t>
      </w:r>
      <w:r>
        <w:rPr>
          <w:rFonts w:ascii="Times New Roman;Times;serif" w:hAnsi="Times New Roman;Times;serif"/>
          <w:sz w:val="22"/>
          <w:u w:val="single"/>
        </w:rPr>
        <w:t>Controlled</w:t>
      </w:r>
      <w:r>
        <w:rPr>
          <w:rFonts w:ascii="Times New Roman;Times;serif" w:hAnsi="Times New Roman;Times;serif"/>
          <w:sz w:val="22"/>
        </w:rPr>
        <w:t>” have meanings correlative thereto.</w:t>
      </w:r>
    </w:p>
    <w:p>
      <w:pPr>
        <w:pStyle w:val="TextBody"/>
        <w:bidi w:val="0"/>
        <w:spacing w:before="0" w:after="240"/>
        <w:ind w:left="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2"/>
        </w:rPr>
        <w:t xml:space="preserve">” has the meaning specified in </w:t>
      </w:r>
      <w:r>
        <w:rPr>
          <w:rFonts w:ascii="Times New Roman;Times;serif" w:hAnsi="Times New Roman;Times;serif"/>
          <w:sz w:val="22"/>
          <w:u w:val="single"/>
        </w:rPr>
        <w:t>Section 10.21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Credit Extension</w:t>
      </w:r>
      <w:r>
        <w:rPr>
          <w:rFonts w:ascii="Times New Roman;Times;serif" w:hAnsi="Times New Roman;Times;serif"/>
          <w:sz w:val="22"/>
        </w:rPr>
        <w:t>” means a Borrowing.</w:t>
      </w:r>
    </w:p>
    <w:p>
      <w:pPr>
        <w:pStyle w:val="TextBody"/>
        <w:bidi w:val="0"/>
        <w:spacing w:before="0" w:after="240"/>
        <w:ind w:left="0" w:right="0" w:firstLine="720"/>
        <w:jc w:val="both"/>
        <w:rPr/>
      </w:pPr>
      <w:r>
        <w:rPr/>
        <w:t>“</w:t>
      </w:r>
      <w:r>
        <w:rPr>
          <w:rFonts w:ascii="Times New Roman;Times;serif" w:hAnsi="Times New Roman;Times;serif"/>
          <w:sz w:val="22"/>
          <w:u w:val="single"/>
        </w:rPr>
        <w:t>Daily Simple SOFR</w:t>
      </w:r>
      <w:r>
        <w:rPr>
          <w:rFonts w:ascii="Times New Roman;Times;serif" w:hAnsi="Times New Roman;Times;serif"/>
          <w:sz w:val="22"/>
        </w:rPr>
        <w:t xml:space="preserve">” with respect to any applicable determination date means SOFR published on such date on the Federal Reserve Bank of New York’s website (or any successor source);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such determination date is not a U.S. Government Securities Business Day, then Daily Simple SOFR means SOFR that applied on the first U.S. Government Securities Business Day immediately prior thereto.</w:t>
      </w:r>
    </w:p>
    <w:p>
      <w:pPr>
        <w:pStyle w:val="TextBody"/>
        <w:bidi w:val="0"/>
        <w:spacing w:before="0" w:after="240"/>
        <w:ind w:left="0" w:right="0" w:firstLine="720"/>
        <w:jc w:val="both"/>
        <w:rPr/>
      </w:pPr>
      <w:r>
        <w:rPr/>
        <w:t>“</w:t>
      </w:r>
      <w:r>
        <w:rPr>
          <w:rFonts w:ascii="Times New Roman;Times;serif" w:hAnsi="Times New Roman;Times;serif"/>
          <w:sz w:val="22"/>
          <w:u w:val="single"/>
        </w:rPr>
        <w:t>Debt Rating</w:t>
      </w:r>
      <w:r>
        <w:rPr>
          <w:rFonts w:ascii="Times New Roman;Times;serif" w:hAnsi="Times New Roman;Times;serif"/>
          <w:sz w:val="22"/>
        </w:rPr>
        <w:t>” has the meaning specified in the definition of Applicable Rate.</w:t>
      </w:r>
    </w:p>
    <w:p>
      <w:pPr>
        <w:pStyle w:val="TextBody"/>
        <w:bidi w:val="0"/>
        <w:spacing w:before="0" w:after="240"/>
        <w:ind w:left="0" w:right="0" w:firstLine="720"/>
        <w:jc w:val="both"/>
        <w:rPr/>
      </w:pPr>
      <w:r>
        <w:rPr/>
        <w:t>“</w:t>
      </w:r>
      <w:r>
        <w:rPr>
          <w:rFonts w:ascii="Times New Roman;Times;serif" w:hAnsi="Times New Roman;Times;serif"/>
          <w:sz w:val="22"/>
          <w:u w:val="single"/>
        </w:rPr>
        <w:t>Debtor Relief Laws</w:t>
      </w:r>
      <w:r>
        <w:rPr>
          <w:rFonts w:ascii="Times New Roman;Times;serif" w:hAnsi="Times New Roman;Times;serif"/>
          <w:sz w:val="22"/>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ind w:left="0" w:right="0" w:firstLine="720"/>
        <w:jc w:val="both"/>
        <w:rPr/>
      </w:pPr>
      <w:r>
        <w:rPr/>
        <w:t>“</w:t>
      </w:r>
      <w:r>
        <w:rPr>
          <w:rFonts w:ascii="Times New Roman;Times;serif" w:hAnsi="Times New Roman;Times;serif"/>
          <w:sz w:val="22"/>
          <w:u w:val="single"/>
        </w:rPr>
        <w:t>Default</w:t>
      </w:r>
      <w:r>
        <w:rPr>
          <w:rFonts w:ascii="Times New Roman;Times;serif" w:hAnsi="Times New Roman;Times;serif"/>
          <w:sz w:val="22"/>
        </w:rPr>
        <w:t>” means any event or condition that constitutes an Event of Default or that, with the giving of any notice, the passage of time, or both, would be an Event of Default.</w:t>
      </w:r>
    </w:p>
    <w:p>
      <w:pPr>
        <w:pStyle w:val="TextBody"/>
        <w:bidi w:val="0"/>
        <w:spacing w:before="0" w:after="240"/>
        <w:ind w:left="0" w:right="0" w:firstLine="720"/>
        <w:jc w:val="both"/>
        <w:rPr/>
      </w:pPr>
      <w:r>
        <w:rPr/>
        <w:t>“</w:t>
      </w:r>
      <w:r>
        <w:rPr>
          <w:rFonts w:ascii="Times New Roman;Times;serif" w:hAnsi="Times New Roman;Times;serif"/>
          <w:sz w:val="22"/>
          <w:u w:val="single"/>
        </w:rPr>
        <w:t>Default Rate</w:t>
      </w:r>
      <w:r>
        <w:rPr>
          <w:rFonts w:ascii="Times New Roman;Times;serif" w:hAnsi="Times New Roman;Times;serif"/>
          <w:sz w:val="22"/>
        </w:rPr>
        <w:t xml:space="preserve">” means when used with respect to Obligations, an interest rate equal to (i) the Base Rate </w:t>
      </w:r>
      <w:r>
        <w:rPr>
          <w:rFonts w:ascii="Times New Roman;Times;serif" w:hAnsi="Times New Roman;Times;serif"/>
          <w:sz w:val="22"/>
          <w:u w:val="single"/>
        </w:rPr>
        <w:t>plus</w:t>
      </w:r>
      <w:r>
        <w:rPr>
          <w:rFonts w:ascii="Times New Roman;Times;serif" w:hAnsi="Times New Roman;Times;serif"/>
          <w:sz w:val="22"/>
        </w:rPr>
        <w:t xml:space="preserve"> (ii) the Applicable Rate, if any, applicable to Base Rate Loans </w:t>
      </w:r>
      <w:r>
        <w:rPr>
          <w:rFonts w:ascii="Times New Roman;Times;serif" w:hAnsi="Times New Roman;Times;serif"/>
          <w:sz w:val="22"/>
          <w:u w:val="single"/>
        </w:rPr>
        <w:t>plus</w:t>
      </w:r>
      <w:r>
        <w:rPr>
          <w:rFonts w:ascii="Times New Roman;Times;serif" w:hAnsi="Times New Roman;Times;serif"/>
          <w:sz w:val="22"/>
        </w:rPr>
        <w:t xml:space="preserve"> (iii) 2% per annum;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with respect to a Term SOFR Loan, the Default Rate shall be an interest rate equal to the interest rate (including any Applicable Rate) otherwise applicable to such Loan </w:t>
      </w:r>
      <w:r>
        <w:rPr>
          <w:rFonts w:ascii="Times New Roman;Times;serif" w:hAnsi="Times New Roman;Times;serif"/>
          <w:sz w:val="22"/>
          <w:u w:val="single"/>
        </w:rPr>
        <w:t>plus</w:t>
      </w:r>
      <w:r>
        <w:rPr>
          <w:rFonts w:ascii="Times New Roman;Times;serif" w:hAnsi="Times New Roman;Times;serif"/>
          <w:sz w:val="22"/>
        </w:rPr>
        <w:t xml:space="preserve"> 2% per annum.</w:t>
      </w:r>
    </w:p>
    <w:p>
      <w:pPr>
        <w:pStyle w:val="TextBody"/>
        <w:bidi w:val="0"/>
        <w:spacing w:before="0" w:after="0"/>
        <w:ind w:left="0" w:right="0" w:firstLine="720"/>
        <w:jc w:val="both"/>
        <w:rPr/>
      </w:pPr>
      <w:r>
        <w:rPr/>
        <w:t>“</w:t>
      </w:r>
      <w:r>
        <w:rPr>
          <w:rFonts w:ascii="Times New Roman;Times;serif" w:hAnsi="Times New Roman;Times;serif"/>
          <w:sz w:val="22"/>
          <w:u w:val="single"/>
        </w:rPr>
        <w:t>Defaulting Lender</w:t>
      </w:r>
      <w:r>
        <w:rPr>
          <w:rFonts w:ascii="Times New Roman;Times;serif" w:hAnsi="Times New Roman;Times;serif"/>
          <w:sz w:val="22"/>
        </w:rPr>
        <w:t xml:space="preserve">” means, subject to </w:t>
      </w:r>
      <w:r>
        <w:rPr>
          <w:rFonts w:ascii="Times New Roman;Times;serif" w:hAnsi="Times New Roman;Times;serif"/>
          <w:sz w:val="22"/>
          <w:u w:val="single"/>
        </w:rPr>
        <w:t xml:space="preserve">Section </w:t>
      </w:r>
      <w:bookmarkStart w:id="1724" w:name="_DV_C304"/>
      <w:bookmarkEnd w:id="1724"/>
      <w:r>
        <w:rPr>
          <w:rFonts w:ascii="Times New Roman;Times;serif" w:hAnsi="Times New Roman;Times;serif"/>
          <w:sz w:val="22"/>
          <w:u w:val="single"/>
        </w:rPr>
        <w:t>2.17</w:t>
      </w:r>
      <w:bookmarkStart w:id="1725" w:name="_DV_M284"/>
      <w:bookmarkEnd w:id="1725"/>
      <w:r>
        <w:rPr>
          <w:rFonts w:ascii="Times New Roman;Times;serif" w:hAnsi="Times New Roman;Times;serif"/>
          <w:sz w:val="22"/>
          <w:u w:val="single"/>
        </w:rPr>
        <w:t>(b)</w:t>
      </w:r>
      <w:r>
        <w:rPr>
          <w:rFonts w:ascii="Times New Roman;Times;serif" w:hAnsi="Times New Roman;Times;serif"/>
          <w:sz w:val="22"/>
        </w:rPr>
        <w:t>, any Lender that</w:t>
      </w:r>
      <w:bookmarkStart w:id="1726" w:name="_DV_M285"/>
      <w:bookmarkEnd w:id="1726"/>
      <w:r>
        <w:rPr>
          <w:rFonts w:ascii="Times New Roman;Times;serif" w:hAnsi="Times New Roman;Times;serif"/>
          <w:sz w:val="22"/>
        </w:rPr>
        <w:t xml:space="preserve"> (a) has failed to </w:t>
      </w:r>
      <w:bookmarkStart w:id="1727" w:name="_DV_C307"/>
      <w:bookmarkEnd w:id="1727"/>
      <w:r>
        <w:rPr>
          <w:rFonts w:ascii="Times New Roman;Times;serif" w:hAnsi="Times New Roman;Times;serif"/>
          <w:sz w:val="22"/>
        </w:rPr>
        <w:t xml:space="preserve">(i)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of which conditions precedent, together with any applicable default, shall be specifically identified in such writing) has not been satisfied, or (ii) pay to the Administrative Agent or any other Lender any other amount required to be paid by it hereunder </w:t>
      </w:r>
      <w:bookmarkStart w:id="1728" w:name="_DV_M286"/>
      <w:bookmarkEnd w:id="1728"/>
      <w:r>
        <w:rPr>
          <w:rFonts w:ascii="Times New Roman;Times;serif" w:hAnsi="Times New Roman;Times;serif"/>
          <w:sz w:val="22"/>
        </w:rPr>
        <w:t xml:space="preserve">within </w:t>
      </w:r>
      <w:bookmarkStart w:id="1729" w:name="_DV_C313"/>
      <w:bookmarkEnd w:id="1729"/>
      <w:r>
        <w:rPr>
          <w:rFonts w:ascii="Times New Roman;Times;serif" w:hAnsi="Times New Roman;Times;serif"/>
          <w:sz w:val="22"/>
        </w:rPr>
        <w:t>two</w:t>
      </w:r>
      <w:bookmarkStart w:id="1730" w:name="_DV_M289"/>
      <w:bookmarkEnd w:id="1730"/>
      <w:r>
        <w:rPr>
          <w:rFonts w:ascii="Times New Roman;Times;serif" w:hAnsi="Times New Roman;Times;serif"/>
          <w:sz w:val="22"/>
        </w:rPr>
        <w:t xml:space="preserve"> Business Days of the date </w:t>
      </w:r>
      <w:bookmarkStart w:id="1731" w:name="_DV_C316"/>
      <w:bookmarkEnd w:id="1731"/>
      <w:r>
        <w:rPr>
          <w:rFonts w:ascii="Times New Roman;Times;serif" w:hAnsi="Times New Roman;Times;serif"/>
          <w:sz w:val="22"/>
        </w:rPr>
        <w:t>when due,</w:t>
      </w:r>
      <w:bookmarkStart w:id="1732" w:name="_DV_M290"/>
      <w:bookmarkEnd w:id="1732"/>
      <w:r>
        <w:rPr>
          <w:rFonts w:ascii="Times New Roman;Times;serif" w:hAnsi="Times New Roman;Times;serif"/>
          <w:sz w:val="22"/>
        </w:rPr>
        <w:t xml:space="preserve"> (b) has notified the Borrower or </w:t>
      </w:r>
      <w:bookmarkStart w:id="1733" w:name="_DV_M291"/>
      <w:bookmarkEnd w:id="1733"/>
      <w:r>
        <w:rPr>
          <w:rFonts w:ascii="Times New Roman;Times;serif" w:hAnsi="Times New Roman;Times;serif"/>
          <w:sz w:val="22"/>
        </w:rPr>
        <w:t>the Administrative Agent</w:t>
      </w:r>
      <w:bookmarkStart w:id="1734" w:name="_DV_C319"/>
      <w:bookmarkEnd w:id="1734"/>
      <w:r>
        <w:rPr>
          <w:rFonts w:ascii="Times New Roman;Times;serif" w:hAnsi="Times New Roman;Times;serif"/>
          <w:sz w:val="22"/>
        </w:rPr>
        <w:t xml:space="preserve"> </w:t>
      </w:r>
      <w:bookmarkStart w:id="1735" w:name="_DV_C321"/>
      <w:bookmarkEnd w:id="1735"/>
      <w:r>
        <w:rPr>
          <w:rFonts w:ascii="Times New Roman;Times;serif" w:hAnsi="Times New Roman;Times;serif"/>
          <w:sz w:val="22"/>
        </w:rPr>
        <w:t>in writing</w:t>
      </w:r>
      <w:bookmarkStart w:id="1736" w:name="_DV_M293"/>
      <w:bookmarkEnd w:id="1736"/>
      <w:r>
        <w:rPr>
          <w:rFonts w:ascii="Times New Roman;Times;serif" w:hAnsi="Times New Roman;Times;serif"/>
          <w:sz w:val="22"/>
        </w:rPr>
        <w:t xml:space="preserve"> that it does not intend to comply with its funding obligations </w:t>
      </w:r>
      <w:bookmarkStart w:id="1737" w:name="_DV_C322"/>
      <w:bookmarkEnd w:id="1737"/>
      <w:r>
        <w:rPr>
          <w:rFonts w:ascii="Times New Roman;Times;serif" w:hAnsi="Times New Roman;Times;serif"/>
          <w:sz w:val="22"/>
        </w:rPr>
        <w:t xml:space="preserve">hereunder, </w:t>
      </w:r>
      <w:bookmarkStart w:id="1738" w:name="_DV_M294"/>
      <w:bookmarkEnd w:id="1738"/>
      <w:r>
        <w:rPr>
          <w:rFonts w:ascii="Times New Roman;Times;serif" w:hAnsi="Times New Roman;Times;serif"/>
          <w:sz w:val="22"/>
        </w:rPr>
        <w:t xml:space="preserve">or has made a public statement to that effect </w:t>
      </w:r>
      <w:bookmarkStart w:id="1739" w:name="_DV_C324"/>
      <w:bookmarkEnd w:id="1739"/>
      <w:r>
        <w:rPr>
          <w:rFonts w:ascii="Times New Roman;Times;serif" w:hAnsi="Times New Roman;Times;serif"/>
          <w:sz w:val="22"/>
        </w:rPr>
        <w:t>(unless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bookmarkStart w:id="1740" w:name="_DV_M295"/>
      <w:bookmarkEnd w:id="1740"/>
      <w:r>
        <w:rPr>
          <w:rFonts w:ascii="Times New Roman;Times;serif" w:hAnsi="Times New Roman;Times;serif"/>
          <w:sz w:val="22"/>
        </w:rPr>
        <w:t xml:space="preserve">, (c) has failed, within three Business Days after </w:t>
      </w:r>
      <w:bookmarkStart w:id="1741" w:name="_DV_C325"/>
      <w:bookmarkEnd w:id="1741"/>
      <w:r>
        <w:rPr>
          <w:rFonts w:ascii="Times New Roman;Times;serif" w:hAnsi="Times New Roman;Times;serif"/>
          <w:sz w:val="22"/>
        </w:rPr>
        <w:t xml:space="preserve">written </w:t>
      </w:r>
      <w:bookmarkStart w:id="1742" w:name="_DV_M296"/>
      <w:bookmarkEnd w:id="1742"/>
      <w:r>
        <w:rPr>
          <w:rFonts w:ascii="Times New Roman;Times;serif" w:hAnsi="Times New Roman;Times;serif"/>
          <w:sz w:val="22"/>
        </w:rPr>
        <w:t>request by the Administrative Agent</w:t>
      </w:r>
      <w:bookmarkStart w:id="1743" w:name="_DV_C326"/>
      <w:bookmarkEnd w:id="1743"/>
      <w:r>
        <w:rPr>
          <w:rFonts w:ascii="Times New Roman;Times;serif" w:hAnsi="Times New Roman;Times;serif"/>
          <w:sz w:val="22"/>
        </w:rPr>
        <w:t xml:space="preserve"> or the Borrower, to confirm in </w:t>
      </w:r>
      <w:bookmarkStart w:id="1744" w:name="_DV_C328"/>
      <w:bookmarkEnd w:id="1744"/>
      <w:r>
        <w:rPr>
          <w:rFonts w:ascii="Times New Roman;Times;serif" w:hAnsi="Times New Roman;Times;serif"/>
          <w:sz w:val="22"/>
        </w:rPr>
        <w:t>writing</w:t>
      </w:r>
      <w:bookmarkStart w:id="1745" w:name="_DV_M298"/>
      <w:bookmarkEnd w:id="1745"/>
      <w:r>
        <w:rPr>
          <w:rFonts w:ascii="Times New Roman;Times;serif" w:hAnsi="Times New Roman;Times;serif"/>
          <w:sz w:val="22"/>
        </w:rPr>
        <w:t xml:space="preserve"> to the Administrative Agent</w:t>
      </w:r>
      <w:bookmarkStart w:id="1746" w:name="_DV_C329"/>
      <w:bookmarkEnd w:id="1746"/>
      <w:r>
        <w:rPr>
          <w:rFonts w:ascii="Times New Roman;Times;serif" w:hAnsi="Times New Roman;Times;serif"/>
          <w:sz w:val="22"/>
        </w:rPr>
        <w:t xml:space="preserve"> and the Borrower that it will comply with its </w:t>
      </w:r>
      <w:bookmarkStart w:id="1747" w:name="_DV_C331"/>
      <w:bookmarkEnd w:id="1747"/>
      <w:r>
        <w:rPr>
          <w:rFonts w:ascii="Times New Roman;Times;serif" w:hAnsi="Times New Roman;Times;serif"/>
          <w:sz w:val="22"/>
        </w:rPr>
        <w:t xml:space="preserve">prospective funding obligations hereunder (provided that such Lender shall cease to be a Defaulting Lender pursuant to this </w:t>
      </w:r>
      <w:r>
        <w:rPr>
          <w:rFonts w:ascii="Times New Roman;Times;serif" w:hAnsi="Times New Roman;Times;serif"/>
          <w:sz w:val="22"/>
          <w:u w:val="single"/>
        </w:rPr>
        <w:t>clause (c)</w:t>
      </w:r>
      <w:r>
        <w:rPr>
          <w:rFonts w:ascii="Times New Roman;Times;serif" w:hAnsi="Times New Roman;Times;serif"/>
          <w:sz w:val="22"/>
        </w:rPr>
        <w:t xml:space="preserve"> upon receipt of such written confirmation by the Administrative Agent and the Borrower)</w:t>
      </w:r>
      <w:bookmarkStart w:id="1748" w:name="_DV_M300"/>
      <w:bookmarkEnd w:id="1748"/>
      <w:r>
        <w:rPr>
          <w:rFonts w:ascii="Times New Roman;Times;serif" w:hAnsi="Times New Roman;Times;serif"/>
          <w:sz w:val="22"/>
        </w:rPr>
        <w:t xml:space="preserve">, or (d) has, or has a direct or indirect parent company that has, (i) become the subject of a proceeding under any Debtor Relief Law, </w:t>
      </w:r>
      <w:bookmarkStart w:id="1749" w:name="_DV_M301"/>
      <w:bookmarkEnd w:id="1749"/>
      <w:r>
        <w:rPr>
          <w:rFonts w:ascii="Times New Roman;Times;serif" w:hAnsi="Times New Roman;Times;serif"/>
          <w:sz w:val="22"/>
        </w:rPr>
        <w:t xml:space="preserve">(ii) had </w:t>
      </w:r>
      <w:bookmarkStart w:id="1750" w:name="_DV_C333"/>
      <w:bookmarkEnd w:id="1750"/>
      <w:r>
        <w:rPr>
          <w:rFonts w:ascii="Times New Roman;Times;serif" w:hAnsi="Times New Roman;Times;serif"/>
          <w:sz w:val="22"/>
        </w:rPr>
        <w:t xml:space="preserve">appointed for it </w:t>
      </w:r>
      <w:bookmarkStart w:id="1751" w:name="_DV_M302"/>
      <w:bookmarkEnd w:id="1751"/>
      <w:r>
        <w:rPr>
          <w:rFonts w:ascii="Times New Roman;Times;serif" w:hAnsi="Times New Roman;Times;serif"/>
          <w:sz w:val="22"/>
        </w:rPr>
        <w:t>a receiver</w:t>
      </w:r>
      <w:bookmarkStart w:id="1752" w:name="_DV_C334"/>
      <w:bookmarkEnd w:id="1752"/>
      <w:r>
        <w:rPr>
          <w:rFonts w:ascii="Times New Roman;Times;serif" w:hAnsi="Times New Roman;Times;serif"/>
          <w:sz w:val="22"/>
        </w:rPr>
        <w:t>, custodian</w:t>
      </w:r>
      <w:bookmarkStart w:id="1753" w:name="_DV_M303"/>
      <w:bookmarkEnd w:id="1753"/>
      <w:r>
        <w:rPr>
          <w:rFonts w:ascii="Times New Roman;Times;serif" w:hAnsi="Times New Roman;Times;serif"/>
          <w:sz w:val="22"/>
        </w:rPr>
        <w:t xml:space="preserve">, conservator, trustee, administrator, assignee for the benefit of creditors or similar Person charged with reorganization or liquidation of its business or </w:t>
      </w:r>
      <w:bookmarkStart w:id="1754" w:name="_DV_C336"/>
      <w:bookmarkEnd w:id="1754"/>
      <w:r>
        <w:rPr>
          <w:rFonts w:ascii="Times New Roman;Times;serif" w:hAnsi="Times New Roman;Times;serif"/>
          <w:sz w:val="22"/>
        </w:rPr>
        <w:t>assets, including the Federal Deposit Insurance Corporation or any other state or federal regulatory authority acting in such a capacity</w:t>
      </w:r>
      <w:bookmarkStart w:id="1755" w:name="_DV_M304"/>
      <w:bookmarkEnd w:id="1755"/>
      <w:r>
        <w:rPr>
          <w:rFonts w:ascii="Times New Roman;Times;serif" w:hAnsi="Times New Roman;Times;serif"/>
          <w:sz w:val="22"/>
        </w:rPr>
        <w:t xml:space="preserve"> or (iii) become the subject of a Bail-In Action; </w:t>
      </w:r>
      <w:r>
        <w:rPr>
          <w:rFonts w:ascii="Times New Roman;Times;serif" w:hAnsi="Times New Roman;Times;serif"/>
          <w:sz w:val="22"/>
          <w:u w:val="single"/>
        </w:rPr>
        <w:t>provided</w:t>
      </w:r>
      <w:r>
        <w:rPr>
          <w:rFonts w:ascii="Times New Roman;Times;serif" w:hAnsi="Times New Roman;Times;serif"/>
          <w:sz w:val="22"/>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Times;serif" w:hAnsi="Times New Roman;Times;serif"/>
          <w:sz w:val="22"/>
          <w:u w:val="single"/>
        </w:rPr>
        <w:t>clauses (a)</w:t>
      </w:r>
      <w:r>
        <w:rPr>
          <w:rFonts w:ascii="Times New Roman;Times;serif" w:hAnsi="Times New Roman;Times;serif"/>
          <w:sz w:val="22"/>
        </w:rPr>
        <w:t xml:space="preserve"> through </w:t>
      </w:r>
      <w:r>
        <w:rPr>
          <w:rFonts w:ascii="Times New Roman;Times;serif" w:hAnsi="Times New Roman;Times;serif"/>
          <w:sz w:val="22"/>
          <w:u w:val="single"/>
        </w:rPr>
        <w:t>(d)</w:t>
      </w:r>
      <w:r>
        <w:rPr>
          <w:rFonts w:ascii="Times New Roman;Times;serif" w:hAnsi="Times New Roman;Times;serif"/>
          <w:sz w:val="22"/>
        </w:rPr>
        <w:t xml:space="preserve"> above, and of the effective date of such status, shall be conclusive and binding absent manifest error, and such Lender shall be deemed to be a Defaulting Lender (subject to </w:t>
      </w:r>
      <w:r>
        <w:rPr>
          <w:rFonts w:ascii="Times New Roman;Times;serif" w:hAnsi="Times New Roman;Times;serif"/>
          <w:sz w:val="22"/>
          <w:u w:val="single"/>
        </w:rPr>
        <w:t>Section 2.17(b)</w:t>
      </w:r>
      <w:r>
        <w:rPr>
          <w:rFonts w:ascii="Times New Roman;Times;serif" w:hAnsi="Times New Roman;Times;serif"/>
          <w:sz w:val="22"/>
        </w:rPr>
        <w:t>) as of the date established therefor by the Administrative Agent in a written notice of such determination, which shall be delivered by the Administrative Agent to the Borrower and each other Lender promptly following such determination.</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Designated Jurisdiction</w:t>
      </w:r>
      <w:r>
        <w:rPr>
          <w:rFonts w:ascii="Times New Roman;Times;serif" w:hAnsi="Times New Roman;Times;serif"/>
          <w:sz w:val="22"/>
        </w:rPr>
        <w:t>” means any country or territory to the extent that such country or territory itself is the subject of any Sanction.</w:t>
      </w:r>
    </w:p>
    <w:p>
      <w:pPr>
        <w:pStyle w:val="TextBody"/>
        <w:bidi w:val="0"/>
        <w:spacing w:before="0" w:after="240"/>
        <w:ind w:left="0" w:right="0" w:firstLine="720"/>
        <w:jc w:val="both"/>
        <w:rPr/>
      </w:pPr>
      <w:r>
        <w:rPr/>
        <w:t>“</w:t>
      </w:r>
      <w:r>
        <w:rPr>
          <w:rFonts w:ascii="Times New Roman;Times;serif" w:hAnsi="Times New Roman;Times;serif"/>
          <w:sz w:val="22"/>
          <w:u w:val="single"/>
        </w:rPr>
        <w:t>Disposition</w:t>
      </w:r>
      <w:r>
        <w:rPr>
          <w:rFonts w:ascii="Times New Roman;Times;serif" w:hAnsi="Times New Roman;Times;serif"/>
          <w:sz w:val="22"/>
        </w:rPr>
        <w:t>” or “</w:t>
      </w:r>
      <w:r>
        <w:rPr>
          <w:rFonts w:ascii="Times New Roman;Times;serif" w:hAnsi="Times New Roman;Times;serif"/>
          <w:sz w:val="22"/>
          <w:u w:val="single"/>
        </w:rPr>
        <w:t>Dispose</w:t>
      </w:r>
      <w:r>
        <w:rPr>
          <w:rFonts w:ascii="Times New Roman;Times;serif" w:hAnsi="Times New Roman;Times;serif"/>
          <w:sz w:val="22"/>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pStyle w:val="TextBody"/>
        <w:bidi w:val="0"/>
        <w:spacing w:before="0" w:after="240"/>
        <w:ind w:left="0" w:right="0" w:firstLine="720"/>
        <w:jc w:val="both"/>
        <w:rPr/>
      </w:pPr>
      <w:r>
        <w:rPr/>
        <w:t>“</w:t>
      </w:r>
      <w:r>
        <w:rPr>
          <w:rFonts w:ascii="Times New Roman;Times;serif" w:hAnsi="Times New Roman;Times;serif"/>
          <w:sz w:val="22"/>
          <w:u w:val="single"/>
        </w:rPr>
        <w:t>Dollar</w:t>
      </w:r>
      <w:r>
        <w:rPr>
          <w:rFonts w:ascii="Times New Roman;Times;serif" w:hAnsi="Times New Roman;Times;serif"/>
          <w:sz w:val="22"/>
        </w:rPr>
        <w:t>” and “</w:t>
      </w:r>
      <w:r>
        <w:rPr>
          <w:rFonts w:ascii="Times New Roman;Times;serif" w:hAnsi="Times New Roman;Times;serif"/>
          <w:sz w:val="22"/>
          <w:u w:val="single"/>
        </w:rPr>
        <w:t>$</w:t>
      </w:r>
      <w:r>
        <w:rPr>
          <w:rFonts w:ascii="Times New Roman;Times;serif" w:hAnsi="Times New Roman;Times;serif"/>
          <w:sz w:val="22"/>
        </w:rPr>
        <w:t>” mean lawful money of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EEA Financial Institution</w:t>
      </w:r>
      <w:r>
        <w:rPr>
          <w:rFonts w:ascii="Times New Roman;Times;serif" w:hAnsi="Times New Roman;Times;serif"/>
          <w:sz w:val="22"/>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sz w:val="22"/>
          <w:u w:val="single"/>
        </w:rPr>
        <w:t>EEA Member Country</w:t>
      </w:r>
      <w:r>
        <w:rPr>
          <w:rFonts w:ascii="Times New Roman;Times;serif" w:hAnsi="Times New Roman;Times;serif"/>
          <w:sz w:val="22"/>
        </w:rPr>
        <w:t>” means any of the member states of the European Union, Iceland, Liechtenstein, and Norway.</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EEA Resolution Authority</w:t>
      </w:r>
      <w:r>
        <w:rPr>
          <w:rFonts w:ascii="Times New Roman;Times;serif" w:hAnsi="Times New Roman;Times;serif"/>
          <w:sz w:val="22"/>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Electronic Copy</w:t>
      </w:r>
      <w:r>
        <w:rPr>
          <w:rFonts w:ascii="Times New Roman;Times;serif" w:hAnsi="Times New Roman;Times;serif"/>
          <w:sz w:val="22"/>
        </w:rPr>
        <w:t xml:space="preserve">” has the meaning specified in </w:t>
      </w:r>
      <w:r>
        <w:rPr>
          <w:rFonts w:ascii="Times New Roman;Times;serif" w:hAnsi="Times New Roman;Times;serif"/>
          <w:sz w:val="22"/>
          <w:u w:val="single"/>
        </w:rPr>
        <w:t>Section 10.19</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Electronic Record</w:t>
      </w:r>
      <w:r>
        <w:rPr>
          <w:rFonts w:ascii="Times New Roman;Times;serif" w:hAnsi="Times New Roman;Times;serif"/>
          <w:sz w:val="22"/>
        </w:rPr>
        <w:t>” and “</w:t>
      </w:r>
      <w:r>
        <w:rPr>
          <w:rFonts w:ascii="Times New Roman;Times;serif" w:hAnsi="Times New Roman;Times;serif"/>
          <w:sz w:val="22"/>
          <w:u w:val="single"/>
        </w:rPr>
        <w:t>Electronic Signature</w:t>
      </w:r>
      <w:r>
        <w:rPr>
          <w:rFonts w:ascii="Times New Roman;Times;serif" w:hAnsi="Times New Roman;Times;serif"/>
          <w:sz w:val="22"/>
        </w:rPr>
        <w:t>” shall have the meanings assigned to them, respectively, by 15 USC §7006, as it may be amended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Eligible Assignee</w:t>
      </w:r>
      <w:r>
        <w:rPr>
          <w:rFonts w:ascii="Times New Roman;Times;serif" w:hAnsi="Times New Roman;Times;serif"/>
          <w:sz w:val="22"/>
        </w:rPr>
        <w:t xml:space="preserve">” means any Person that meets the requirements to be an assignee under </w:t>
      </w:r>
      <w:r>
        <w:rPr>
          <w:rFonts w:ascii="Times New Roman;Times;serif" w:hAnsi="Times New Roman;Times;serif"/>
          <w:sz w:val="22"/>
          <w:u w:val="single"/>
        </w:rPr>
        <w:t>Section 10.06(b)(iii)</w:t>
      </w:r>
      <w:r>
        <w:rPr>
          <w:rFonts w:ascii="Times New Roman;Times;serif" w:hAnsi="Times New Roman;Times;serif"/>
          <w:sz w:val="22"/>
        </w:rPr>
        <w:t xml:space="preserve"> and </w:t>
      </w:r>
      <w:r>
        <w:rPr>
          <w:rFonts w:ascii="Times New Roman;Times;serif" w:hAnsi="Times New Roman;Times;serif"/>
          <w:sz w:val="22"/>
          <w:u w:val="single"/>
        </w:rPr>
        <w:t>(v)</w:t>
      </w:r>
      <w:r>
        <w:rPr>
          <w:rFonts w:ascii="Times New Roman;Times;serif" w:hAnsi="Times New Roman;Times;serif"/>
          <w:sz w:val="22"/>
        </w:rPr>
        <w:t xml:space="preserve"> subject to such consents, if any, as may be required under </w:t>
      </w:r>
      <w:r>
        <w:rPr>
          <w:rFonts w:ascii="Times New Roman;Times;serif" w:hAnsi="Times New Roman;Times;serif"/>
          <w:sz w:val="22"/>
          <w:u w:val="single"/>
        </w:rPr>
        <w:t>Section 10.06(b)(iii)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Environmental Laws</w:t>
      </w:r>
      <w:r>
        <w:rPr>
          <w:rFonts w:ascii="Times New Roman;Times;serif" w:hAnsi="Times New Roman;Times;serif"/>
          <w:sz w:val="22"/>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240"/>
        <w:ind w:left="0" w:right="0" w:firstLine="720"/>
        <w:jc w:val="both"/>
        <w:rPr/>
      </w:pPr>
      <w:r>
        <w:rPr/>
        <w:t>“</w:t>
      </w:r>
      <w:r>
        <w:rPr>
          <w:rFonts w:ascii="Times New Roman;Times;serif" w:hAnsi="Times New Roman;Times;serif"/>
          <w:sz w:val="22"/>
          <w:u w:val="single"/>
        </w:rPr>
        <w:t>Environmental Liability</w:t>
      </w:r>
      <w:r>
        <w:rPr>
          <w:rFonts w:ascii="Times New Roman;Times;serif" w:hAnsi="Times New Roman;Times;serif"/>
          <w:sz w:val="22"/>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Equity Interests</w:t>
      </w:r>
      <w:r>
        <w:rPr>
          <w:rFonts w:ascii="Times New Roman;Times;serif" w:hAnsi="Times New Roman;Times;serif"/>
          <w:sz w:val="22"/>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240"/>
        <w:ind w:left="0" w:right="0" w:firstLine="720"/>
        <w:jc w:val="both"/>
        <w:rPr/>
      </w:pPr>
      <w:r>
        <w:rPr/>
        <w:t>“</w:t>
      </w:r>
      <w:r>
        <w:rPr>
          <w:rFonts w:ascii="Times New Roman;Times;serif" w:hAnsi="Times New Roman;Times;serif"/>
          <w:sz w:val="22"/>
          <w:u w:val="single"/>
        </w:rPr>
        <w:t>ERISA</w:t>
      </w:r>
      <w:r>
        <w:rPr>
          <w:rFonts w:ascii="Times New Roman;Times;serif" w:hAnsi="Times New Roman;Times;serif"/>
          <w:sz w:val="22"/>
        </w:rPr>
        <w:t>” means the Employee Retirement Income Security Act of 1974.</w:t>
      </w:r>
    </w:p>
    <w:p>
      <w:pPr>
        <w:pStyle w:val="TextBody"/>
        <w:bidi w:val="0"/>
        <w:spacing w:before="0" w:after="240"/>
        <w:ind w:left="0" w:right="0" w:firstLine="720"/>
        <w:jc w:val="both"/>
        <w:rPr/>
      </w:pPr>
      <w:r>
        <w:rPr/>
        <w:t>“</w:t>
      </w:r>
      <w:r>
        <w:rPr>
          <w:rFonts w:ascii="Times New Roman;Times;serif" w:hAnsi="Times New Roman;Times;serif"/>
          <w:sz w:val="22"/>
          <w:u w:val="single"/>
        </w:rPr>
        <w:t>ERISA Affiliate</w:t>
      </w:r>
      <w:r>
        <w:rPr>
          <w:rFonts w:ascii="Times New Roman;Times;serif" w:hAnsi="Times New Roman;Times;serif"/>
          <w:sz w:val="22"/>
        </w:rPr>
        <w:t>” means any trade or business (whether or not incorporated) under common control with the Borrower within the meaning of Section 414(b) or (c) of the Code (and Sections 414(m) and (o) of the Code for purposes of provisions relating to Section 412 of the Code).</w:t>
      </w:r>
    </w:p>
    <w:p>
      <w:pPr>
        <w:pStyle w:val="TextBody"/>
        <w:bidi w:val="0"/>
        <w:spacing w:before="0" w:after="0"/>
        <w:ind w:left="0" w:right="0" w:firstLine="720"/>
        <w:jc w:val="both"/>
        <w:rPr/>
      </w:pPr>
      <w:r>
        <w:rPr/>
        <w:t>“</w:t>
      </w:r>
      <w:r>
        <w:rPr>
          <w:rFonts w:ascii="Times New Roman;Times;serif" w:hAnsi="Times New Roman;Times;serif"/>
          <w:sz w:val="22"/>
          <w:u w:val="single"/>
        </w:rPr>
        <w:t>ERISA Event</w:t>
      </w:r>
      <w:r>
        <w:rPr>
          <w:rFonts w:ascii="Times New Roman;Times;serif" w:hAnsi="Times New Roman;Times;serif"/>
          <w:sz w:val="22"/>
        </w:rPr>
        <w:t xml:space="preserve">”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pStyle w:val="TextBody"/>
        <w:bidi w:val="0"/>
        <w:spacing w:before="0" w:after="240"/>
        <w:ind w:left="0" w:right="0" w:firstLine="720"/>
        <w:jc w:val="both"/>
        <w:rPr/>
      </w:pPr>
      <w:r>
        <w:rPr/>
        <w:t>“</w:t>
      </w:r>
      <w:r>
        <w:rPr>
          <w:rFonts w:ascii="Times New Roman;Times;serif" w:hAnsi="Times New Roman;Times;serif"/>
          <w:sz w:val="22"/>
          <w:u w:val="single"/>
        </w:rPr>
        <w:t>EU Bail-In Legislation Schedule</w:t>
      </w:r>
      <w:r>
        <w:rPr>
          <w:rFonts w:ascii="Times New Roman;Times;serif" w:hAnsi="Times New Roman;Times;serif"/>
          <w:sz w:val="22"/>
        </w:rPr>
        <w:t>” 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Event of Default</w:t>
      </w:r>
      <w:r>
        <w:rPr>
          <w:rFonts w:ascii="Times New Roman;Times;serif" w:hAnsi="Times New Roman;Times;serif"/>
          <w:sz w:val="22"/>
        </w:rPr>
        <w:t xml:space="preserve">” has the meaning specified in </w:t>
      </w:r>
      <w:r>
        <w:rPr>
          <w:rFonts w:ascii="Times New Roman;Times;serif" w:hAnsi="Times New Roman;Times;serif"/>
          <w:sz w:val="22"/>
          <w:u w:val="single"/>
        </w:rPr>
        <w:t>Section 8.01</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Excluded Taxes</w:t>
      </w:r>
      <w:r>
        <w:rPr>
          <w:rFonts w:ascii="Times New Roman;Times;serif" w:hAnsi="Times New Roman;Times;serif"/>
          <w:sz w:val="22"/>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sz w:val="22"/>
          <w:u w:val="single"/>
        </w:rPr>
        <w:t>Section 10.13</w:t>
      </w:r>
      <w:r>
        <w:rPr>
          <w:rFonts w:ascii="Times New Roman;Times;serif" w:hAnsi="Times New Roman;Times;serif"/>
          <w:sz w:val="22"/>
        </w:rPr>
        <w:t xml:space="preserve">) or (ii) such Lender changes its Lending Office, except in each case to the extent that, pursuant to </w:t>
      </w:r>
      <w:r>
        <w:rPr>
          <w:rFonts w:ascii="Times New Roman;Times;serif" w:hAnsi="Times New Roman;Times;serif"/>
          <w:sz w:val="22"/>
          <w:u w:val="single"/>
        </w:rPr>
        <w:t>Section 3.01(a)(ii), (a)(iii)</w:t>
      </w:r>
      <w:r>
        <w:rPr>
          <w:rFonts w:ascii="Times New Roman;Times;serif" w:hAnsi="Times New Roman;Times;serif"/>
          <w:sz w:val="22"/>
        </w:rPr>
        <w:t xml:space="preserve"> or </w:t>
      </w:r>
      <w:r>
        <w:rPr>
          <w:rFonts w:ascii="Times New Roman;Times;serif" w:hAnsi="Times New Roman;Times;serif"/>
          <w:sz w:val="22"/>
          <w:u w:val="single"/>
        </w:rPr>
        <w:t>(c)</w:t>
      </w:r>
      <w:r>
        <w:rPr>
          <w:rFonts w:ascii="Times New Roman;Times;serif" w:hAnsi="Times New Roman;Times;serif"/>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sz w:val="22"/>
          <w:u w:val="single"/>
        </w:rPr>
        <w:t>Section 3.01(e)</w:t>
      </w:r>
      <w:r>
        <w:rPr>
          <w:rFonts w:ascii="Times New Roman;Times;serif" w:hAnsi="Times New Roman;Times;serif"/>
          <w:sz w:val="22"/>
        </w:rPr>
        <w:t xml:space="preserve"> and (d) any U.S. federal withholding Taxes imposed pursuant to FATCA.</w:t>
      </w:r>
    </w:p>
    <w:p>
      <w:pPr>
        <w:pStyle w:val="TextBody"/>
        <w:bidi w:val="0"/>
        <w:spacing w:before="0" w:after="240"/>
        <w:ind w:left="0" w:right="0" w:firstLine="720"/>
        <w:jc w:val="both"/>
        <w:rPr/>
      </w:pPr>
      <w:r>
        <w:rPr/>
        <w:t>“</w:t>
      </w:r>
      <w:r>
        <w:rPr>
          <w:rFonts w:ascii="Times New Roman;Times;serif" w:hAnsi="Times New Roman;Times;serif"/>
          <w:sz w:val="22"/>
          <w:u w:val="single"/>
        </w:rPr>
        <w:t>Existing Securitization Facility</w:t>
      </w:r>
      <w:r>
        <w:rPr>
          <w:rFonts w:ascii="Times New Roman;Times;serif" w:hAnsi="Times New Roman;Times;serif"/>
          <w:sz w:val="22"/>
        </w:rPr>
        <w:t xml:space="preserve">” means the account receivable securitization pursuant to the fourth amended and restated receivables purchase agreement dated as of August 16, 2018, as amended, among Avnet Receivables Corporation, the Borrower as servicer, the financial institutions party thereto as purchasers, and Wells Fargo Bank, N.A., as agent for the purchasers, including any extensions, renewals, replacements and refinancings thereof; </w:t>
      </w:r>
      <w:r>
        <w:rPr>
          <w:rFonts w:ascii="Times New Roman;Times;serif" w:hAnsi="Times New Roman;Times;serif"/>
          <w:sz w:val="22"/>
          <w:u w:val="single"/>
        </w:rPr>
        <w:t>provided</w:t>
      </w:r>
      <w:r>
        <w:rPr>
          <w:rFonts w:ascii="Times New Roman;Times;serif" w:hAnsi="Times New Roman;Times;serif"/>
          <w:sz w:val="22"/>
        </w:rPr>
        <w:t xml:space="preserve">, that each such agreement (as amended, restated, supplemented or otherwise modified from time to time) or extension, renewal, replacement or refinancing, as the case may be, satisfies the requirements set forth in </w:t>
      </w:r>
      <w:r>
        <w:rPr>
          <w:rFonts w:ascii="Times New Roman;Times;serif" w:hAnsi="Times New Roman;Times;serif"/>
          <w:sz w:val="22"/>
          <w:u w:val="single"/>
        </w:rPr>
        <w:t>clause (b)</w:t>
      </w:r>
      <w:r>
        <w:rPr>
          <w:rFonts w:ascii="Times New Roman;Times;serif" w:hAnsi="Times New Roman;Times;serif"/>
          <w:sz w:val="22"/>
        </w:rPr>
        <w:t xml:space="preserve"> of the definition of Permitted Securitization Facility.</w:t>
      </w:r>
    </w:p>
    <w:p>
      <w:pPr>
        <w:pStyle w:val="TextBody"/>
        <w:bidi w:val="0"/>
        <w:spacing w:before="0" w:after="240"/>
        <w:ind w:left="0" w:right="0" w:firstLine="720"/>
        <w:jc w:val="both"/>
        <w:rPr/>
      </w:pPr>
      <w:r>
        <w:rPr/>
        <w:t>“</w:t>
      </w:r>
      <w:r>
        <w:rPr>
          <w:rFonts w:ascii="Times New Roman;Times;serif" w:hAnsi="Times New Roman;Times;serif"/>
          <w:sz w:val="22"/>
          <w:u w:val="single"/>
        </w:rPr>
        <w:t>Existing Term Loan Credit Agreement</w:t>
      </w:r>
      <w:r>
        <w:rPr>
          <w:rFonts w:ascii="Times New Roman;Times;serif" w:hAnsi="Times New Roman;Times;serif"/>
          <w:sz w:val="22"/>
        </w:rPr>
        <w:t>” means that certain Credit Agreement dated as of July 1, 2025, as amended, among the Borrower, Avnet Holding Europe BV, the lenders from time to time party thereto, and Bank of America, N.A., as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FATCA</w:t>
      </w:r>
      <w:r>
        <w:rPr>
          <w:rFonts w:ascii="Times New Roman;Times;serif" w:hAnsi="Times New Roman;Times;serif"/>
          <w:sz w:val="22"/>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 (b) (1) of the Code and any agreements entered into by the United States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0" w:after="0"/>
        <w:ind w:left="0" w:right="0" w:firstLine="720"/>
        <w:jc w:val="both"/>
        <w:rPr/>
      </w:pPr>
      <w:r>
        <w:rPr/>
        <w:t>“</w:t>
      </w:r>
      <w:r>
        <w:rPr>
          <w:rFonts w:ascii="Times New Roman;Times;serif" w:hAnsi="Times New Roman;Times;serif"/>
          <w:sz w:val="22"/>
          <w:u w:val="single"/>
        </w:rPr>
        <w:t>Federal Funds Rate</w:t>
      </w:r>
      <w:r>
        <w:rPr>
          <w:rFonts w:ascii="Times New Roman;Times;serif" w:hAnsi="Times New Roman;Times;serif"/>
          <w:sz w:val="22"/>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federal funds effective rate; </w:t>
      </w:r>
      <w:r>
        <w:rPr>
          <w:rFonts w:ascii="Times New Roman;Times;serif" w:hAnsi="Times New Roman;Times;serif"/>
          <w:sz w:val="22"/>
          <w:u w:val="single"/>
        </w:rPr>
        <w:t>provided</w:t>
      </w:r>
      <w:r>
        <w:rPr>
          <w:rFonts w:ascii="Times New Roman;Times;serif" w:hAnsi="Times New Roman;Times;serif"/>
          <w:sz w:val="22"/>
        </w:rPr>
        <w:t xml:space="preserve"> that if the Federal Funds Rate as so determined would be less than zero, such rate shall be deemed to be zero for purposes of this Agreement.  </w:t>
      </w:r>
    </w:p>
    <w:p>
      <w:pPr>
        <w:pStyle w:val="TextBody"/>
        <w:bidi w:val="0"/>
        <w:spacing w:before="0" w:after="240"/>
        <w:ind w:left="0" w:right="0" w:firstLine="720"/>
        <w:jc w:val="both"/>
        <w:rPr/>
      </w:pPr>
      <w:r>
        <w:rPr/>
        <w:t>“</w:t>
      </w:r>
      <w:r>
        <w:rPr>
          <w:rFonts w:ascii="Times New Roman;Times;serif" w:hAnsi="Times New Roman;Times;serif"/>
          <w:sz w:val="22"/>
          <w:u w:val="single"/>
        </w:rPr>
        <w:t>Fee Letters</w:t>
      </w:r>
      <w:r>
        <w:rPr>
          <w:rFonts w:ascii="Times New Roman;Times;serif" w:hAnsi="Times New Roman;Times;serif"/>
          <w:sz w:val="22"/>
        </w:rPr>
        <w:t>” means, collectively, the Fee Letter (Bank of America), the Fee Letter (Commerzbank) and the Fee Letter (DBS).</w:t>
      </w:r>
    </w:p>
    <w:p>
      <w:pPr>
        <w:pStyle w:val="TextBody"/>
        <w:bidi w:val="0"/>
        <w:spacing w:before="0" w:after="240"/>
        <w:ind w:left="0" w:right="0" w:firstLine="720"/>
        <w:jc w:val="both"/>
        <w:rPr/>
      </w:pPr>
      <w:r>
        <w:rPr/>
        <w:t>“</w:t>
      </w:r>
      <w:r>
        <w:rPr>
          <w:rFonts w:ascii="Times New Roman;Times;serif" w:hAnsi="Times New Roman;Times;serif"/>
          <w:sz w:val="22"/>
          <w:u w:val="single"/>
        </w:rPr>
        <w:t>Fee Letter (Bank of America)</w:t>
      </w:r>
      <w:r>
        <w:rPr>
          <w:rFonts w:ascii="Times New Roman;Times;serif" w:hAnsi="Times New Roman;Times;serif"/>
          <w:sz w:val="22"/>
        </w:rPr>
        <w:t>” means the letter agreement, dated as of the Closing Date, among the Borrower, the Administrative Agent and BofA Securities, Inc.</w:t>
      </w:r>
    </w:p>
    <w:p>
      <w:pPr>
        <w:pStyle w:val="TextBody"/>
        <w:bidi w:val="0"/>
        <w:spacing w:before="0" w:after="240"/>
        <w:ind w:left="0" w:right="0" w:firstLine="720"/>
        <w:jc w:val="both"/>
        <w:rPr/>
      </w:pPr>
      <w:r>
        <w:rPr/>
        <w:t>“</w:t>
      </w:r>
      <w:r>
        <w:rPr>
          <w:rFonts w:ascii="Times New Roman;Times;serif" w:hAnsi="Times New Roman;Times;serif"/>
          <w:sz w:val="22"/>
          <w:u w:val="single"/>
        </w:rPr>
        <w:t>Fee Letter (Commerzbank)</w:t>
      </w:r>
      <w:r>
        <w:rPr>
          <w:rFonts w:ascii="Times New Roman;Times;serif" w:hAnsi="Times New Roman;Times;serif"/>
          <w:sz w:val="22"/>
        </w:rPr>
        <w:t>” means the letter agreement, dated as of the Closing Date, between the Borrower and Commerzbank AG, New York Branch.</w:t>
      </w:r>
    </w:p>
    <w:p>
      <w:pPr>
        <w:pStyle w:val="TextBody"/>
        <w:bidi w:val="0"/>
        <w:spacing w:before="0" w:after="240"/>
        <w:ind w:left="0" w:right="0" w:firstLine="720"/>
        <w:jc w:val="both"/>
        <w:rPr/>
      </w:pPr>
      <w:r>
        <w:rPr/>
        <w:t>“</w:t>
      </w:r>
      <w:r>
        <w:rPr>
          <w:rFonts w:ascii="Times New Roman;Times;serif" w:hAnsi="Times New Roman;Times;serif"/>
          <w:sz w:val="22"/>
          <w:u w:val="single"/>
        </w:rPr>
        <w:t>Fee Letter (DBS)</w:t>
      </w:r>
      <w:r>
        <w:rPr>
          <w:rFonts w:ascii="Times New Roman;Times;serif" w:hAnsi="Times New Roman;Times;serif"/>
          <w:sz w:val="22"/>
        </w:rPr>
        <w:t>” means the letter agreement, dated as of the Closing Date, between the Borrower and DBS Bank Ltd.</w:t>
      </w:r>
    </w:p>
    <w:p>
      <w:pPr>
        <w:pStyle w:val="TextBody"/>
        <w:bidi w:val="0"/>
        <w:spacing w:before="0" w:after="240"/>
        <w:ind w:left="0" w:right="0" w:firstLine="720"/>
        <w:jc w:val="both"/>
        <w:rPr/>
      </w:pPr>
      <w:r>
        <w:rPr/>
        <w:t>“</w:t>
      </w:r>
      <w:r>
        <w:rPr>
          <w:rFonts w:ascii="Times New Roman;Times;serif" w:hAnsi="Times New Roman;Times;serif"/>
          <w:sz w:val="22"/>
          <w:u w:val="single"/>
        </w:rPr>
        <w:t>Fitch</w:t>
      </w:r>
      <w:r>
        <w:rPr>
          <w:rFonts w:ascii="Times New Roman;Times;serif" w:hAnsi="Times New Roman;Times;serif"/>
          <w:sz w:val="22"/>
        </w:rPr>
        <w:t>” means Fitch,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Foreign Lender</w:t>
      </w:r>
      <w:r>
        <w:rPr>
          <w:rFonts w:ascii="Times New Roman;Times;serif" w:hAnsi="Times New Roman;Times;serif"/>
          <w:sz w:val="22"/>
        </w:rPr>
        <w:t>” means, (a) if the Borrower is a U.S. Person, any Lender that is not a U.S. Person, and (b) if the Borrower is not a U.S. Person, any Lender that is a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240"/>
        <w:ind w:left="0" w:right="0" w:firstLine="720"/>
        <w:jc w:val="both"/>
        <w:rPr/>
      </w:pPr>
      <w:r>
        <w:rPr/>
        <w:t>“</w:t>
      </w:r>
      <w:r>
        <w:rPr>
          <w:rFonts w:ascii="Times New Roman;Times;serif" w:hAnsi="Times New Roman;Times;serif"/>
          <w:sz w:val="22"/>
          <w:u w:val="single"/>
        </w:rPr>
        <w:t>Foreign Subsidiary</w:t>
      </w:r>
      <w:r>
        <w:rPr>
          <w:rFonts w:ascii="Times New Roman;Times;serif" w:hAnsi="Times New Roman;Times;serif"/>
          <w:sz w:val="22"/>
        </w:rPr>
        <w:t>” means any Subsidiary that is organized under the laws of a jurisdiction other than the United States, a State thereof or the District of Columbia.</w:t>
      </w:r>
    </w:p>
    <w:p>
      <w:pPr>
        <w:pStyle w:val="TextBody"/>
        <w:bidi w:val="0"/>
        <w:spacing w:before="0" w:after="240"/>
        <w:ind w:left="0" w:right="0" w:firstLine="720"/>
        <w:jc w:val="both"/>
        <w:rPr/>
      </w:pPr>
      <w:r>
        <w:rPr/>
        <w:t>“</w:t>
      </w:r>
      <w:r>
        <w:rPr>
          <w:rFonts w:ascii="Times New Roman;Times;serif" w:hAnsi="Times New Roman;Times;serif"/>
          <w:sz w:val="22"/>
          <w:u w:val="single"/>
        </w:rPr>
        <w:t>FRB</w:t>
      </w:r>
      <w:r>
        <w:rPr>
          <w:rFonts w:ascii="Times New Roman;Times;serif" w:hAnsi="Times New Roman;Times;serif"/>
          <w:sz w:val="22"/>
        </w:rPr>
        <w:t>” means the Board of Governors of the Federal Reserve System of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Fund</w:t>
      </w:r>
      <w:r>
        <w:rPr>
          <w:rFonts w:ascii="Times New Roman;Times;serif" w:hAnsi="Times New Roman;Times;serif"/>
          <w:sz w:val="22"/>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240"/>
        <w:ind w:left="0" w:right="0" w:firstLine="720"/>
        <w:jc w:val="both"/>
        <w:rPr/>
      </w:pPr>
      <w:r>
        <w:rPr/>
        <w:t>“</w:t>
      </w:r>
      <w:r>
        <w:rPr>
          <w:rFonts w:ascii="Times New Roman;Times;serif" w:hAnsi="Times New Roman;Times;serif"/>
          <w:sz w:val="22"/>
          <w:u w:val="single"/>
        </w:rPr>
        <w:t>GAAP</w:t>
      </w:r>
      <w:r>
        <w:rPr>
          <w:rFonts w:ascii="Times New Roman;Times;serif" w:hAnsi="Times New Roman;Times;serif"/>
          <w:sz w:val="22"/>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240"/>
        <w:ind w:left="0" w:right="0" w:firstLine="720"/>
        <w:jc w:val="both"/>
        <w:rPr/>
      </w:pPr>
      <w:r>
        <w:rPr/>
        <w:t>“</w:t>
      </w:r>
      <w:r>
        <w:rPr>
          <w:rFonts w:ascii="Times New Roman;Times;serif" w:hAnsi="Times New Roman;Times;serif"/>
          <w:sz w:val="22"/>
          <w:u w:val="single"/>
        </w:rPr>
        <w:t>Governmental Authority</w:t>
      </w:r>
      <w:r>
        <w:rPr>
          <w:rFonts w:ascii="Times New Roman;Times;serif" w:hAnsi="Times New Roman;Times;serif"/>
          <w:sz w:val="22"/>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pStyle w:val="TextBody"/>
        <w:bidi w:val="0"/>
        <w:spacing w:before="0" w:after="0"/>
        <w:ind w:left="0" w:right="0" w:firstLine="720"/>
        <w:jc w:val="both"/>
        <w:rPr/>
      </w:pPr>
      <w:r>
        <w:rPr/>
        <w:t>“</w:t>
      </w:r>
      <w:r>
        <w:rPr>
          <w:rFonts w:ascii="Times New Roman;Times;serif" w:hAnsi="Times New Roman;Times;serif"/>
          <w:sz w:val="22"/>
          <w:u w:val="single"/>
        </w:rPr>
        <w:t>Guarantee</w:t>
      </w:r>
      <w:r>
        <w:rPr>
          <w:rFonts w:ascii="Times New Roman;Times;serif" w:hAnsi="Times New Roman;Times;serif"/>
          <w:sz w:val="22"/>
        </w:rPr>
        <w:t xml:space="preserv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before="0" w:after="240"/>
        <w:ind w:left="0" w:right="0" w:firstLine="720"/>
        <w:jc w:val="both"/>
        <w:rPr/>
      </w:pPr>
      <w:r>
        <w:rPr/>
        <w:t>“</w:t>
      </w:r>
      <w:r>
        <w:rPr>
          <w:rFonts w:ascii="Times New Roman;Times;serif" w:hAnsi="Times New Roman;Times;serif"/>
          <w:sz w:val="22"/>
          <w:u w:val="single"/>
        </w:rPr>
        <w:t>Hazardous Materials</w:t>
      </w:r>
      <w:r>
        <w:rPr>
          <w:rFonts w:ascii="Times New Roman;Times;serif" w:hAnsi="Times New Roman;Times;serif"/>
          <w:sz w:val="22"/>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240"/>
        <w:ind w:left="0" w:right="0" w:firstLine="720"/>
        <w:jc w:val="both"/>
        <w:rPr/>
      </w:pPr>
      <w:r>
        <w:rPr/>
        <w:t>“</w:t>
      </w:r>
      <w:r>
        <w:rPr>
          <w:rFonts w:ascii="Times New Roman;Times;serif" w:hAnsi="Times New Roman;Times;serif"/>
          <w:sz w:val="22"/>
          <w:u w:val="single"/>
        </w:rPr>
        <w:t>HMT</w:t>
      </w:r>
      <w:r>
        <w:rPr>
          <w:rFonts w:ascii="Times New Roman;Times;serif" w:hAnsi="Times New Roman;Times;serif"/>
          <w:sz w:val="22"/>
        </w:rPr>
        <w:t>” has the meaning specified in the definition of Sanctions.</w:t>
      </w:r>
    </w:p>
    <w:p>
      <w:pPr>
        <w:pStyle w:val="TextBody"/>
        <w:bidi w:val="0"/>
        <w:spacing w:before="0" w:after="240"/>
        <w:ind w:left="0" w:right="0" w:firstLine="720"/>
        <w:jc w:val="both"/>
        <w:rPr/>
      </w:pPr>
      <w:r>
        <w:rPr/>
        <w:t>“</w:t>
      </w:r>
      <w:r>
        <w:rPr>
          <w:rFonts w:ascii="Times New Roman;Times;serif" w:hAnsi="Times New Roman;Times;serif"/>
          <w:sz w:val="22"/>
          <w:u w:val="single"/>
        </w:rPr>
        <w:t>Indebtedness</w:t>
      </w:r>
      <w:r>
        <w:rPr>
          <w:rFonts w:ascii="Times New Roman;Times;serif" w:hAnsi="Times New Roman;Times;serif"/>
          <w:sz w:val="22"/>
        </w:rPr>
        <w:t>” means, as to any Person at a particular time, without duplication, all of the following, whether or not included as indebtedness or liabilities in accordance with GAAP:</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obligations of such Person for borrowed money and all obligations of such Person evidenced by bonds, debentures, notes, loan agreements or other similar instruments;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all direct or contingent obligations of such Person arising under letters of credit (including standby letters of credit), bankers’ acceptances, bank guaranties, surety bonds and similar instruments (other than commercial letters of credit and bankers’ acceptances incurred to support commercial transactions, bid bonds, payment bonds and performance bonds arising in the ordinary course of business);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net obligations of such Person under any Swap Contract;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all obligations of such Person to pay the deferred purchase price of property or services (other than current trade accounts payable in the ordinary course of business);</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(e)</w:t>
      </w:r>
      <w:r>
        <w:rPr>
          <w:rFonts w:ascii="Times New Roman;Times;serif" w:hAnsi="Times New Roman;Times;serif"/>
          <w:sz w:val="22"/>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capital leases, Synthetic Lease Obligations and other Off-Balance Sheet Liabilities; </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Times;serif" w:hAnsi="Times New Roman;Times;serif"/>
          <w:sz w:val="22"/>
          <w:u w:val="single"/>
        </w:rPr>
        <w:t>plus</w:t>
      </w:r>
      <w:r>
        <w:rPr>
          <w:rFonts w:ascii="Times New Roman;Times;serif" w:hAnsi="Times New Roman;Times;serif"/>
          <w:sz w:val="22"/>
        </w:rPr>
        <w:t xml:space="preserve"> accrued and unpaid dividends; and</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(h)</w:t>
      </w:r>
      <w:r>
        <w:rPr>
          <w:rFonts w:ascii="Times New Roman;Times;serif" w:hAnsi="Times New Roman;Times;serif"/>
          <w:sz w:val="22"/>
        </w:rPr>
        <w:t>all Guarantees of such Person in respect of any of the foregoing.</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if, and to the extent that, the fair value of the assets of such partnership or joint venture is less than its probable liability in respect of its obligations, net of any right to contribution from other reasonably creditworthy Persons which the Borrower or such Subsidiary has in respect thereof</w:t>
      </w:r>
      <w:r>
        <w:rPr>
          <w:rFonts w:ascii="Times New Roman;Times;serif" w:hAnsi="Times New Roman;Times;serif"/>
          <w:b/>
          <w:sz w:val="22"/>
        </w:rPr>
        <w:t>,</w:t>
      </w:r>
      <w:r>
        <w:rPr>
          <w:rFonts w:ascii="Times New Roman;Times;serif" w:hAnsi="Times New Roman;Times;serif"/>
          <w:sz w:val="22"/>
        </w:rPr>
        <w:t xml:space="preserve"> unless such Indebtedness is expressly made non-recourse to such Person.  The amount of any net obligation under any Swap Contract on any date shall be deemed to be the Swap Termination Value thereof as of such date.  The amount of any capital lease, Synthetic Lease Obligation or other Off-Balance Sheet Liability as of any date shall be deemed to be the amount of Attributable Indebtedness in respect thereof as of such date.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for purposes of this Agreement, the term Indebtedness shall not include any liability of the Borrower or a Subsidiary under any deferred compensation plan or similar arrangement covering employees or members of the board of directors of the Borrower.</w:t>
      </w:r>
    </w:p>
    <w:p>
      <w:pPr>
        <w:pStyle w:val="TextBody"/>
        <w:bidi w:val="0"/>
        <w:spacing w:before="0" w:after="240"/>
        <w:ind w:left="0" w:right="0" w:firstLine="720"/>
        <w:jc w:val="both"/>
        <w:rPr/>
      </w:pPr>
      <w:r>
        <w:rPr/>
        <w:t>“</w:t>
      </w:r>
      <w:r>
        <w:rPr>
          <w:rFonts w:ascii="Times New Roman;Times;serif" w:hAnsi="Times New Roman;Times;serif"/>
          <w:sz w:val="22"/>
          <w:u w:val="single"/>
        </w:rPr>
        <w:t>Indemnified Taxes</w:t>
      </w:r>
      <w:r>
        <w:rPr>
          <w:rFonts w:ascii="Times New Roman;Times;serif" w:hAnsi="Times New Roman;Times;serif"/>
          <w:sz w:val="22"/>
        </w:rPr>
        <w:t xml:space="preserve">” means (a) Taxes, other than Excluded Taxes, imposed on or with respect to any payment made by or on account of any obligation of the Borrower under any Loan Document and (b) to the extent not otherwise described in </w:t>
      </w:r>
      <w:r>
        <w:rPr>
          <w:rFonts w:ascii="Times New Roman;Times;serif" w:hAnsi="Times New Roman;Times;serif"/>
          <w:sz w:val="22"/>
          <w:u w:val="single"/>
        </w:rPr>
        <w:t>clause (a)</w:t>
      </w:r>
      <w:r>
        <w:rPr>
          <w:rFonts w:ascii="Times New Roman;Times;serif" w:hAnsi="Times New Roman;Times;serif"/>
          <w:sz w:val="22"/>
        </w:rPr>
        <w:t xml:space="preserve">, Other Taxes. </w:t>
      </w:r>
    </w:p>
    <w:p>
      <w:pPr>
        <w:pStyle w:val="TextBody"/>
        <w:bidi w:val="0"/>
        <w:spacing w:before="0" w:after="240"/>
        <w:ind w:left="0" w:right="0" w:firstLine="720"/>
        <w:jc w:val="both"/>
        <w:rPr/>
      </w:pPr>
      <w:r>
        <w:rPr/>
        <w:t>“</w:t>
      </w:r>
      <w:r>
        <w:rPr>
          <w:rFonts w:ascii="Times New Roman;Times;serif" w:hAnsi="Times New Roman;Times;serif"/>
          <w:sz w:val="22"/>
          <w:u w:val="single"/>
        </w:rPr>
        <w:t>Indemnitees</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10.04(b)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Information</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10.07</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Intangible Assets</w:t>
      </w:r>
      <w:r>
        <w:rPr>
          <w:rFonts w:ascii="Times New Roman;Times;serif" w:hAnsi="Times New Roman;Times;serif"/>
          <w:sz w:val="22"/>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pStyle w:val="TextBody"/>
        <w:bidi w:val="0"/>
        <w:spacing w:before="0" w:after="240"/>
        <w:ind w:left="0" w:right="0" w:firstLine="720"/>
        <w:jc w:val="both"/>
        <w:rPr/>
      </w:pPr>
      <w:r>
        <w:rPr/>
        <w:t>“</w:t>
      </w:r>
      <w:r>
        <w:rPr>
          <w:rFonts w:ascii="Times New Roman;Times;serif" w:hAnsi="Times New Roman;Times;serif"/>
          <w:sz w:val="22"/>
          <w:u w:val="single"/>
        </w:rPr>
        <w:t>Inter-Company Indebtedness</w:t>
      </w:r>
      <w:r>
        <w:rPr>
          <w:rFonts w:ascii="Times New Roman;Times;serif" w:hAnsi="Times New Roman;Times;serif"/>
          <w:sz w:val="22"/>
        </w:rPr>
        <w:t xml:space="preserve">” has the meaning specified in </w:t>
      </w:r>
      <w:r>
        <w:rPr>
          <w:rFonts w:ascii="Times New Roman;Times;serif" w:hAnsi="Times New Roman;Times;serif"/>
          <w:sz w:val="22"/>
          <w:u w:val="single"/>
        </w:rPr>
        <w:t>Section 7.03(j)</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Interest Payment Date</w:t>
      </w:r>
      <w:r>
        <w:rPr>
          <w:rFonts w:ascii="Times New Roman;Times;serif" w:hAnsi="Times New Roman;Times;serif"/>
          <w:sz w:val="22"/>
        </w:rPr>
        <w:t xml:space="preserve">” means, (a) as to any Base Rate Loan, the last Business Day of each month and the Maturity Date and (b) as to any Term SOFR Loan, the last day of each Interest Period applicable to such Loan and the Maturity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any Interest Period for a Term SOFR Loan exceeds three months, the respective dates that fall every three months after the beginning of such Interest Period shall be Interest Payment Dates.</w:t>
      </w:r>
    </w:p>
    <w:p>
      <w:pPr>
        <w:pStyle w:val="TextBody"/>
        <w:bidi w:val="0"/>
        <w:spacing w:before="0" w:after="240"/>
        <w:ind w:left="0" w:right="0" w:firstLine="720"/>
        <w:jc w:val="both"/>
        <w:rPr/>
      </w:pPr>
      <w:r>
        <w:rPr/>
        <w:t>“</w:t>
      </w:r>
      <w:r>
        <w:rPr>
          <w:rFonts w:ascii="Times New Roman;Times;serif" w:hAnsi="Times New Roman;Times;serif"/>
          <w:sz w:val="22"/>
          <w:u w:val="single"/>
        </w:rPr>
        <w:t>Interest Period</w:t>
      </w:r>
      <w:r>
        <w:rPr>
          <w:rFonts w:ascii="Times New Roman;Times;serif" w:hAnsi="Times New Roman;Times;serif"/>
          <w:sz w:val="22"/>
        </w:rPr>
        <w:t xml:space="preserve">” means as to each Term SOFR Loan, the period commencing on the date such Term SOFR Loan is disbursed or converted to or continued as a Term SOFR Loan and ending on the date one, three or six months thereafter (in each case, subject to availability for the interest rate applicable to the relevant currency), as selected by the Borrower in its Loan Notice, or such other period that is twelve months or less requested by the Borrower and consented to by all the Lenders and the Administrative Agent; </w:t>
      </w:r>
      <w:r>
        <w:rPr>
          <w:rFonts w:ascii="Times New Roman;Times;serif" w:hAnsi="Times New Roman;Times;serif"/>
          <w:sz w:val="22"/>
          <w:u w:val="single"/>
        </w:rPr>
        <w:t>provided</w:t>
      </w:r>
      <w:r>
        <w:rPr>
          <w:rFonts w:ascii="Times New Roman;Times;serif" w:hAnsi="Times New Roman;Times;serif"/>
          <w:sz w:val="22"/>
        </w:rPr>
        <w:t xml:space="preserve"> that: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no Interest Period shall extend beyond the Maturity Date.</w:t>
      </w:r>
    </w:p>
    <w:p>
      <w:pPr>
        <w:pStyle w:val="TextBody"/>
        <w:bidi w:val="0"/>
        <w:spacing w:before="0" w:after="240"/>
        <w:ind w:left="0" w:right="0" w:firstLine="720"/>
        <w:jc w:val="both"/>
        <w:rPr/>
      </w:pPr>
      <w:r>
        <w:rPr/>
        <w:t>“</w:t>
      </w:r>
      <w:r>
        <w:rPr>
          <w:rFonts w:ascii="Times New Roman;Times;serif" w:hAnsi="Times New Roman;Times;serif"/>
          <w:sz w:val="22"/>
          <w:u w:val="single"/>
        </w:rPr>
        <w:t>IP Rights</w:t>
      </w:r>
      <w:r>
        <w:rPr>
          <w:rFonts w:ascii="Times New Roman;Times;serif" w:hAnsi="Times New Roman;Times;serif"/>
          <w:sz w:val="22"/>
        </w:rPr>
        <w:t xml:space="preserve">” has the meaning specified in </w:t>
      </w:r>
      <w:r>
        <w:rPr>
          <w:rFonts w:ascii="Times New Roman;Times;serif" w:hAnsi="Times New Roman;Times;serif"/>
          <w:sz w:val="22"/>
          <w:u w:val="single"/>
        </w:rPr>
        <w:t>Section 5.16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IRS</w:t>
      </w:r>
      <w:r>
        <w:rPr>
          <w:rFonts w:ascii="Times New Roman;Times;serif" w:hAnsi="Times New Roman;Times;serif"/>
          <w:sz w:val="22"/>
        </w:rPr>
        <w:t>” means the United States Internal Revenue Service or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sz w:val="22"/>
          <w:u w:val="single"/>
        </w:rPr>
        <w:t>Judgment Currency</w:t>
      </w:r>
      <w:r>
        <w:rPr>
          <w:rFonts w:ascii="Times New Roman;Times;serif" w:hAnsi="Times New Roman;Times;serif"/>
          <w:sz w:val="22"/>
        </w:rPr>
        <w:t xml:space="preserve">” has the meaning specified in </w:t>
      </w:r>
      <w:r>
        <w:rPr>
          <w:rFonts w:ascii="Times New Roman;Times;serif" w:hAnsi="Times New Roman;Times;serif"/>
          <w:sz w:val="22"/>
          <w:u w:val="single"/>
        </w:rPr>
        <w:t>Section 10.18</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Laws</w:t>
      </w:r>
      <w:r>
        <w:rPr>
          <w:rFonts w:ascii="Times New Roman;Times;serif" w:hAnsi="Times New Roman;Times;serif"/>
          <w:sz w:val="22"/>
        </w:rPr>
        <w:t>” means, collectively, all international, foreign, Federal, state and local statutes, treaties, rules, guidelines, regulations, ordinances, codes and administrative or judicial precedents or authorities (including ERISA and Environmental Laws),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240"/>
        <w:ind w:left="0" w:right="0" w:firstLine="720"/>
        <w:jc w:val="both"/>
        <w:rPr/>
      </w:pPr>
      <w:r>
        <w:rPr/>
        <w:t>“</w:t>
      </w:r>
      <w:r>
        <w:rPr>
          <w:rFonts w:ascii="Times New Roman;Times;serif" w:hAnsi="Times New Roman;Times;serif"/>
          <w:sz w:val="22"/>
          <w:u w:val="single"/>
        </w:rPr>
        <w:t>Lender</w:t>
      </w:r>
      <w:r>
        <w:rPr>
          <w:rFonts w:ascii="Times New Roman;Times;serif" w:hAnsi="Times New Roman;Times;serif"/>
          <w:sz w:val="22"/>
        </w:rPr>
        <w:t>” has the meaning specified in the introductory paragraph hereto.</w:t>
      </w:r>
    </w:p>
    <w:p>
      <w:pPr>
        <w:pStyle w:val="TextBody"/>
        <w:bidi w:val="0"/>
        <w:spacing w:before="0" w:after="240"/>
        <w:ind w:left="0" w:right="0" w:firstLine="720"/>
        <w:jc w:val="both"/>
        <w:rPr/>
      </w:pPr>
      <w:r>
        <w:rPr/>
        <w:t>“</w:t>
      </w:r>
      <w:r>
        <w:rPr>
          <w:rFonts w:ascii="Times New Roman;Times;serif" w:hAnsi="Times New Roman;Times;serif"/>
          <w:sz w:val="22"/>
          <w:u w:val="single"/>
        </w:rPr>
        <w:t>Lending Office</w:t>
      </w:r>
      <w:r>
        <w:rPr>
          <w:rFonts w:ascii="Times New Roman;Times;serif" w:hAnsi="Times New Roman;Times;serif"/>
          <w:sz w:val="22"/>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0" w:after="240"/>
        <w:ind w:left="0" w:right="0" w:firstLine="720"/>
        <w:jc w:val="both"/>
        <w:rPr/>
      </w:pPr>
      <w:r>
        <w:rPr/>
        <w:t>“</w:t>
      </w:r>
      <w:r>
        <w:rPr>
          <w:rFonts w:ascii="Times New Roman;Times;serif" w:hAnsi="Times New Roman;Times;serif"/>
          <w:sz w:val="22"/>
          <w:u w:val="single"/>
        </w:rPr>
        <w:t>Lien</w:t>
      </w:r>
      <w:r>
        <w:rPr>
          <w:rFonts w:ascii="Times New Roman;Times;serif" w:hAnsi="Times New Roman;Times;serif"/>
          <w:sz w:val="22"/>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Loan</w:t>
      </w:r>
      <w:r>
        <w:rPr>
          <w:rFonts w:ascii="Times New Roman;Times;serif" w:hAnsi="Times New Roman;Times;serif"/>
          <w:sz w:val="22"/>
        </w:rPr>
        <w:t xml:space="preserve">” means an extension of credit by a Lender to the Borrower under </w:t>
      </w:r>
      <w:r>
        <w:rPr>
          <w:rFonts w:ascii="Times New Roman;Times;serif" w:hAnsi="Times New Roman;Times;serif"/>
          <w:sz w:val="22"/>
          <w:u w:val="single"/>
        </w:rPr>
        <w:t>Article II</w:t>
      </w:r>
      <w:r>
        <w:rPr>
          <w:rFonts w:ascii="Times New Roman;Times;serif" w:hAnsi="Times New Roman;Times;serif"/>
          <w:sz w:val="22"/>
        </w:rPr>
        <w:t>.  All Loans shall be denominated in Dollars.  </w:t>
      </w:r>
    </w:p>
    <w:p>
      <w:pPr>
        <w:pStyle w:val="TextBody"/>
        <w:bidi w:val="0"/>
        <w:spacing w:before="0" w:after="240"/>
        <w:ind w:left="0" w:right="0" w:firstLine="720"/>
        <w:jc w:val="both"/>
        <w:rPr/>
      </w:pPr>
      <w:r>
        <w:rPr/>
        <w:t>“</w:t>
      </w:r>
      <w:r>
        <w:rPr>
          <w:rFonts w:ascii="Times New Roman;Times;serif" w:hAnsi="Times New Roman;Times;serif"/>
          <w:sz w:val="22"/>
          <w:u w:val="single"/>
        </w:rPr>
        <w:t>Loan Documents</w:t>
      </w:r>
      <w:r>
        <w:rPr>
          <w:rFonts w:ascii="Times New Roman;Times;serif" w:hAnsi="Times New Roman;Times;serif"/>
          <w:sz w:val="22"/>
        </w:rPr>
        <w:t>” means this Agreement, each Note and the Fee Letters.  </w:t>
      </w:r>
    </w:p>
    <w:p>
      <w:pPr>
        <w:pStyle w:val="TextBody"/>
        <w:bidi w:val="0"/>
        <w:spacing w:before="0" w:after="240"/>
        <w:ind w:left="0" w:right="0" w:firstLine="720"/>
        <w:jc w:val="both"/>
        <w:rPr/>
      </w:pPr>
      <w:r>
        <w:rPr/>
        <w:t>“</w:t>
      </w:r>
      <w:r>
        <w:rPr>
          <w:rFonts w:ascii="Times New Roman;Times;serif" w:hAnsi="Times New Roman;Times;serif"/>
          <w:sz w:val="22"/>
          <w:u w:val="single"/>
        </w:rPr>
        <w:t>Loan Notice</w:t>
      </w:r>
      <w:r>
        <w:rPr>
          <w:rFonts w:ascii="Times New Roman;Times;serif" w:hAnsi="Times New Roman;Times;serif"/>
          <w:sz w:val="22"/>
        </w:rPr>
        <w:t xml:space="preserve">” means a notice of (a) a Borrowing, (b) a conversion of Loans from one Type to the other, or (c) a continuation of Term SOFR Loans pursuant to </w:t>
      </w:r>
      <w:r>
        <w:rPr>
          <w:rFonts w:ascii="Times New Roman;Times;serif" w:hAnsi="Times New Roman;Times;serif"/>
          <w:sz w:val="22"/>
          <w:u w:val="single"/>
        </w:rPr>
        <w:t>Section 2.02(a)</w:t>
      </w:r>
      <w:r>
        <w:rPr>
          <w:rFonts w:ascii="Times New Roman;Times;serif" w:hAnsi="Times New Roman;Times;serif"/>
          <w:sz w:val="22"/>
        </w:rPr>
        <w:t xml:space="preserve">, which shall be substantially in the form of </w:t>
      </w:r>
      <w:r>
        <w:rPr>
          <w:rFonts w:ascii="Times New Roman;Times;serif" w:hAnsi="Times New Roman;Times;serif"/>
          <w:sz w:val="22"/>
          <w:u w:val="single"/>
        </w:rPr>
        <w:t>Exhibit A</w:t>
      </w:r>
      <w:r>
        <w:rPr>
          <w:rFonts w:ascii="Times New Roman;Times;serif" w:hAnsi="Times New Roman;Times;serif"/>
          <w:sz w:val="22"/>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0" w:after="0"/>
        <w:ind w:left="0" w:right="0" w:firstLine="720"/>
        <w:jc w:val="both"/>
        <w:rPr/>
      </w:pPr>
      <w:r>
        <w:rPr/>
        <w:t>“</w:t>
      </w:r>
      <w:r>
        <w:rPr>
          <w:rFonts w:ascii="Times New Roman;Times;serif" w:hAnsi="Times New Roman;Times;serif"/>
          <w:sz w:val="22"/>
          <w:u w:val="single"/>
        </w:rPr>
        <w:t>Material Adverse Effect</w:t>
      </w:r>
      <w:r>
        <w:rPr>
          <w:rFonts w:ascii="Times New Roman;Times;serif" w:hAnsi="Times New Roman;Times;serif"/>
          <w:sz w:val="22"/>
        </w:rPr>
        <w:t xml:space="preserve">” means (a) a material adverse change in, or a material adverse effect upon, the operations, business, properties or financial condition of the Borrower and its Subsidiaries taken as a whole; (b) a material impairment of the ability of the Borrower to perform its obligations under the respective Loan Documents to which it is a party; (c) a material adverse effect upon the rights or remedies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the Administrative Agent or any Lender under the Loan Documents; or (d) a material adverse effect upon the legality, validity, binding effect or enforceability against the Borrower of the Loan Documents to which it is a party, taken as a whole.</w:t>
      </w:r>
    </w:p>
    <w:p>
      <w:pPr>
        <w:pStyle w:val="TextBody"/>
        <w:bidi w:val="0"/>
        <w:spacing w:before="0" w:after="240"/>
        <w:ind w:left="0" w:right="0" w:firstLine="720"/>
        <w:jc w:val="both"/>
        <w:rPr/>
      </w:pPr>
      <w:r>
        <w:rPr/>
        <w:t>“</w:t>
      </w:r>
      <w:r>
        <w:rPr>
          <w:rFonts w:ascii="Times New Roman;Times;serif" w:hAnsi="Times New Roman;Times;serif"/>
          <w:sz w:val="22"/>
          <w:u w:val="single"/>
        </w:rPr>
        <w:t>Material Subsidiary</w:t>
      </w:r>
      <w:r>
        <w:rPr>
          <w:rFonts w:ascii="Times New Roman;Times;serif" w:hAnsi="Times New Roman;Times;serif"/>
          <w:sz w:val="22"/>
        </w:rPr>
        <w:t>” means, at any time, any Subsidiary which had total revenues in the four fiscal quarter period most recently ended in excess of 5% of the total revenues of the Borrower and its Subsidiaries on a consolidated basis.</w:t>
      </w:r>
    </w:p>
    <w:p>
      <w:pPr>
        <w:pStyle w:val="TextBody"/>
        <w:bidi w:val="0"/>
        <w:spacing w:before="0" w:after="240"/>
        <w:ind w:left="0" w:right="0" w:firstLine="720"/>
        <w:jc w:val="both"/>
        <w:rPr/>
      </w:pPr>
      <w:r>
        <w:rPr/>
        <w:t>“</w:t>
      </w:r>
      <w:r>
        <w:rPr>
          <w:rFonts w:ascii="Times New Roman;Times;serif" w:hAnsi="Times New Roman;Times;serif"/>
          <w:sz w:val="22"/>
          <w:u w:val="single"/>
        </w:rPr>
        <w:t>Maturity Date</w:t>
      </w:r>
      <w:r>
        <w:rPr>
          <w:rFonts w:ascii="Times New Roman;Times;serif" w:hAnsi="Times New Roman;Times;serif"/>
          <w:sz w:val="22"/>
        </w:rPr>
        <w:t xml:space="preserve">” means July 1, 2028;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such date is not a Business Day, the Maturity Date shall be the immediately preceding Business Day.</w:t>
      </w:r>
    </w:p>
    <w:p>
      <w:pPr>
        <w:pStyle w:val="TextBody"/>
        <w:bidi w:val="0"/>
        <w:spacing w:before="0" w:after="240"/>
        <w:ind w:left="0" w:right="0" w:firstLine="720"/>
        <w:jc w:val="both"/>
        <w:rPr/>
      </w:pPr>
      <w:r>
        <w:rPr/>
        <w:t>“</w:t>
      </w:r>
      <w:r>
        <w:rPr>
          <w:rFonts w:ascii="Times New Roman;Times;serif" w:hAnsi="Times New Roman;Times;serif"/>
          <w:sz w:val="22"/>
          <w:u w:val="single"/>
        </w:rPr>
        <w:t>Maximum Rate</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10.09.</w:t>
      </w:r>
    </w:p>
    <w:p>
      <w:pPr>
        <w:pStyle w:val="TextBody"/>
        <w:bidi w:val="0"/>
        <w:spacing w:before="0" w:after="240"/>
        <w:ind w:left="0" w:right="0" w:firstLine="720"/>
        <w:jc w:val="both"/>
        <w:rPr/>
      </w:pPr>
      <w:r>
        <w:rPr/>
        <w:t>“</w:t>
      </w:r>
      <w:r>
        <w:rPr>
          <w:rFonts w:ascii="Times New Roman;Times;serif" w:hAnsi="Times New Roman;Times;serif"/>
          <w:sz w:val="22"/>
          <w:u w:val="single"/>
        </w:rPr>
        <w:t>MNPI</w:t>
      </w:r>
      <w:r>
        <w:rPr>
          <w:rFonts w:ascii="Times New Roman;Times;serif" w:hAnsi="Times New Roman;Times;serif"/>
          <w:sz w:val="22"/>
        </w:rPr>
        <w:t xml:space="preserve">” 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Moody’s</w:t>
      </w:r>
      <w:r>
        <w:rPr>
          <w:rFonts w:ascii="Times New Roman;Times;serif" w:hAnsi="Times New Roman;Times;serif"/>
          <w:sz w:val="22"/>
        </w:rPr>
        <w:t>” means Moody’s Ratings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Multiemployer Plan</w:t>
      </w:r>
      <w:r>
        <w:rPr>
          <w:rFonts w:ascii="Times New Roman;Times;serif" w:hAnsi="Times New Roman;Times;serif"/>
          <w:sz w:val="22"/>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pStyle w:val="TextBody"/>
        <w:bidi w:val="0"/>
        <w:spacing w:before="0" w:after="240"/>
        <w:ind w:left="0" w:right="0" w:firstLine="720"/>
        <w:jc w:val="both"/>
        <w:rPr/>
      </w:pPr>
      <w:r>
        <w:rPr/>
        <w:t>“</w:t>
      </w:r>
      <w:r>
        <w:rPr>
          <w:rFonts w:ascii="Times New Roman;Times;serif" w:hAnsi="Times New Roman;Times;serif"/>
          <w:sz w:val="22"/>
          <w:u w:val="single"/>
        </w:rPr>
        <w:t>Multiple Employer Plan</w:t>
      </w:r>
      <w:r>
        <w:rPr>
          <w:rFonts w:ascii="Times New Roman;Times;serif" w:hAnsi="Times New Roman;Times;serif"/>
          <w:sz w:val="22"/>
        </w:rPr>
        <w:t>” means a Plan which has two or more contributing sponsors (including the Borrower or any ERISA Affiliate) at least two of whom are not under common control, as such a plan is described in Section 4064 of ERISA.</w:t>
      </w:r>
    </w:p>
    <w:p>
      <w:pPr>
        <w:pStyle w:val="TextBody"/>
        <w:bidi w:val="0"/>
        <w:spacing w:before="0" w:after="240"/>
        <w:ind w:left="0" w:right="0" w:firstLine="720"/>
        <w:jc w:val="both"/>
        <w:rPr/>
      </w:pPr>
      <w:r>
        <w:rPr/>
        <w:t>“</w:t>
      </w:r>
      <w:r>
        <w:rPr>
          <w:rFonts w:ascii="Times New Roman;Times;serif" w:hAnsi="Times New Roman;Times;serif"/>
          <w:sz w:val="22"/>
          <w:u w:val="single"/>
        </w:rPr>
        <w:t>Non-Consenting Lender</w:t>
      </w:r>
      <w:r>
        <w:rPr>
          <w:rFonts w:ascii="Times New Roman;Times;serif" w:hAnsi="Times New Roman;Times;serif"/>
          <w:sz w:val="22"/>
        </w:rPr>
        <w:t xml:space="preserve">” has the meaning specified in </w:t>
      </w:r>
      <w:r>
        <w:rPr>
          <w:rFonts w:ascii="Times New Roman;Times;serif" w:hAnsi="Times New Roman;Times;serif"/>
          <w:sz w:val="22"/>
          <w:u w:val="single"/>
        </w:rPr>
        <w:t>Section 10.13</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Non-Defaulting Lender</w:t>
      </w:r>
      <w:r>
        <w:rPr>
          <w:rFonts w:ascii="Times New Roman;Times;serif" w:hAnsi="Times New Roman;Times;serif"/>
          <w:sz w:val="22"/>
        </w:rPr>
        <w:t>” means, at any time, each Lender that is not a Defaulting Lender at such time.</w:t>
      </w:r>
    </w:p>
    <w:p>
      <w:pPr>
        <w:pStyle w:val="TextBody"/>
        <w:bidi w:val="0"/>
        <w:spacing w:before="0" w:after="240"/>
        <w:ind w:left="0" w:right="0" w:firstLine="720"/>
        <w:jc w:val="both"/>
        <w:rPr/>
      </w:pPr>
      <w:r>
        <w:rPr/>
        <w:t>“</w:t>
      </w:r>
      <w:r>
        <w:rPr>
          <w:rFonts w:ascii="Times New Roman;Times;serif" w:hAnsi="Times New Roman;Times;serif"/>
          <w:sz w:val="22"/>
          <w:u w:val="single"/>
        </w:rPr>
        <w:t>Non-Material Subsidiary</w:t>
      </w:r>
      <w:r>
        <w:rPr>
          <w:rFonts w:ascii="Times New Roman;Times;serif" w:hAnsi="Times New Roman;Times;serif"/>
          <w:sz w:val="22"/>
        </w:rPr>
        <w:t>” means any Subsidiary which is not a Material Subsidiary or the Borrower.</w:t>
      </w:r>
    </w:p>
    <w:p>
      <w:pPr>
        <w:pStyle w:val="TextBody"/>
        <w:bidi w:val="0"/>
        <w:spacing w:before="0" w:after="240"/>
        <w:ind w:left="0" w:right="0" w:firstLine="720"/>
        <w:jc w:val="both"/>
        <w:rPr/>
      </w:pPr>
      <w:r>
        <w:rPr/>
        <w:t>“</w:t>
      </w:r>
      <w:r>
        <w:rPr>
          <w:rFonts w:ascii="Times New Roman;Times;serif" w:hAnsi="Times New Roman;Times;serif"/>
          <w:sz w:val="22"/>
          <w:u w:val="single"/>
        </w:rPr>
        <w:t>Note</w:t>
      </w:r>
      <w:r>
        <w:rPr>
          <w:rFonts w:ascii="Times New Roman;Times;serif" w:hAnsi="Times New Roman;Times;serif"/>
          <w:sz w:val="22"/>
        </w:rPr>
        <w:t xml:space="preserve">” means a promissory note made by the Borrower in favor of a Lender evidencing Loans made by such Lender to the Borrower, substantially in the form of </w:t>
      </w:r>
      <w:r>
        <w:rPr>
          <w:rFonts w:ascii="Times New Roman;Times;serif" w:hAnsi="Times New Roman;Times;serif"/>
          <w:sz w:val="22"/>
          <w:u w:val="single"/>
        </w:rPr>
        <w:t>Exhibit B.</w:t>
      </w:r>
    </w:p>
    <w:p>
      <w:pPr>
        <w:pStyle w:val="TextBody"/>
        <w:bidi w:val="0"/>
        <w:spacing w:before="0" w:after="240"/>
        <w:ind w:left="0" w:right="0" w:firstLine="720"/>
        <w:jc w:val="both"/>
        <w:rPr/>
      </w:pPr>
      <w:r>
        <w:rPr/>
        <w:t>“</w:t>
      </w:r>
      <w:r>
        <w:rPr>
          <w:rFonts w:ascii="Times New Roman;Times;serif" w:hAnsi="Times New Roman;Times;serif"/>
          <w:sz w:val="22"/>
          <w:u w:val="single"/>
        </w:rPr>
        <w:t>Obligations</w:t>
      </w:r>
      <w:r>
        <w:rPr>
          <w:rFonts w:ascii="Times New Roman;Times;serif" w:hAnsi="Times New Roman;Times;serif"/>
          <w:sz w:val="22"/>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pStyle w:val="TextBody"/>
        <w:bidi w:val="0"/>
        <w:spacing w:before="0" w:after="240"/>
        <w:ind w:left="0" w:right="0" w:firstLine="720"/>
        <w:jc w:val="both"/>
        <w:rPr/>
      </w:pPr>
      <w:r>
        <w:rPr/>
        <w:t>“</w:t>
      </w:r>
      <w:r>
        <w:rPr>
          <w:rFonts w:ascii="Times New Roman;Times;serif" w:hAnsi="Times New Roman;Times;serif"/>
          <w:sz w:val="22"/>
          <w:u w:val="single"/>
        </w:rPr>
        <w:t>OFAC</w:t>
      </w:r>
      <w:r>
        <w:rPr>
          <w:rFonts w:ascii="Times New Roman;Times;serif" w:hAnsi="Times New Roman;Times;serif"/>
          <w:sz w:val="22"/>
        </w:rPr>
        <w:t>” means the Office of Foreign Assets Control of the United States Department of the Treasury.</w:t>
      </w:r>
    </w:p>
    <w:p>
      <w:pPr>
        <w:pStyle w:val="TextBody"/>
        <w:bidi w:val="0"/>
        <w:spacing w:before="0" w:after="0"/>
        <w:ind w:left="0" w:right="0" w:firstLine="720"/>
        <w:jc w:val="both"/>
        <w:rPr/>
      </w:pPr>
      <w:r>
        <w:rPr/>
        <w:t>“</w:t>
      </w:r>
      <w:r>
        <w:rPr>
          <w:rFonts w:ascii="Times New Roman;Times;serif" w:hAnsi="Times New Roman;Times;serif"/>
          <w:sz w:val="22"/>
          <w:u w:val="single"/>
        </w:rPr>
        <w:t>Off-Balance Sheet Liabilities</w:t>
      </w:r>
      <w:r>
        <w:rPr>
          <w:rFonts w:ascii="Times New Roman;Times;serif" w:hAnsi="Times New Roman;Times;serif"/>
          <w:sz w:val="22"/>
        </w:rPr>
        <w:t xml:space="preserve">” means, with respect to any Person as of any date of determination thereof, without duplication and to the extent not included as a liability on the consolidated balance sheet of such Person and its Subsidiaries in accordance with GAAP: (a) with respect to any asset securitization transaction (including any accounts receivable purchase facility), the unrecovered investment of purchasers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transferees of assets so transferred and the principal amount of any recourse, repurchase or debt obligations incurred in connection therewith; and (b) the monetary obligations under any financing lease or so-called “synthetic,” tax retention or off-balance sheet lease transaction which, upon the application of any Debtor Relief Law to such Person or any of its Subsidiaries, would be characterized as indebtedness.</w:t>
      </w:r>
    </w:p>
    <w:p>
      <w:pPr>
        <w:pStyle w:val="TextBody"/>
        <w:bidi w:val="0"/>
        <w:spacing w:before="0" w:after="240"/>
        <w:ind w:left="0" w:right="0" w:firstLine="720"/>
        <w:jc w:val="both"/>
        <w:rPr/>
      </w:pPr>
      <w:r>
        <w:rPr/>
        <w:t>“</w:t>
      </w:r>
      <w:r>
        <w:rPr>
          <w:rFonts w:ascii="Times New Roman;Times;serif" w:hAnsi="Times New Roman;Times;serif"/>
          <w:sz w:val="22"/>
          <w:u w:val="single"/>
        </w:rPr>
        <w:t>Organization Documents</w:t>
      </w:r>
      <w:r>
        <w:rPr>
          <w:rFonts w:ascii="Times New Roman;Times;serif" w:hAnsi="Times New Roman;Times;serif"/>
          <w:sz w:val="22"/>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ind w:left="0" w:right="0" w:firstLine="720"/>
        <w:jc w:val="both"/>
        <w:rPr/>
      </w:pPr>
      <w:r>
        <w:rPr/>
        <w:t>“</w:t>
      </w:r>
      <w:r>
        <w:rPr>
          <w:rFonts w:ascii="Times New Roman;Times;serif" w:hAnsi="Times New Roman;Times;serif"/>
          <w:sz w:val="22"/>
          <w:u w:val="single"/>
        </w:rPr>
        <w:t>Other Connection Taxes</w:t>
      </w:r>
      <w:r>
        <w:rPr>
          <w:rFonts w:ascii="Times New Roman;Times;serif" w:hAnsi="Times New Roman;Times;serif"/>
          <w:sz w:val="22"/>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New Roman;Times;serif" w:hAnsi="Times New Roman;Times;serif"/>
          <w:sz w:val="22"/>
          <w:u w:val="single"/>
        </w:rPr>
        <w:t>Other Taxes</w:t>
      </w:r>
      <w:r>
        <w:rPr>
          <w:rFonts w:ascii="Times New Roman;Times;serif" w:hAnsi="Times New Roman;Times;serif"/>
          <w:sz w:val="22"/>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Excluded Taxes or Other Connection Taxes imposed with respect to an assignment (other than an assignment made pursuant to </w:t>
      </w:r>
      <w:r>
        <w:rPr>
          <w:rFonts w:ascii="Times New Roman;Times;serif" w:hAnsi="Times New Roman;Times;serif"/>
          <w:sz w:val="22"/>
          <w:u w:val="single"/>
        </w:rPr>
        <w:t>Section 3.06</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Outstanding Amount</w:t>
      </w:r>
      <w:r>
        <w:rPr>
          <w:rFonts w:ascii="Times New Roman;Times;serif" w:hAnsi="Times New Roman;Times;serif"/>
          <w:sz w:val="22"/>
        </w:rPr>
        <w:t>” means with respect to Loans on any date, the amount of the aggregate outstanding principal amount thereof after giving effect to any borrowings and prepayments or repayments of such Loans occurring on such date.</w:t>
      </w:r>
    </w:p>
    <w:p>
      <w:pPr>
        <w:pStyle w:val="TextBody"/>
        <w:bidi w:val="0"/>
        <w:spacing w:before="0" w:after="240"/>
        <w:ind w:left="0" w:right="0" w:firstLine="720"/>
        <w:jc w:val="both"/>
        <w:rPr/>
      </w:pPr>
      <w:r>
        <w:rPr/>
        <w:t>“</w:t>
      </w:r>
      <w:r>
        <w:rPr>
          <w:rFonts w:ascii="Times New Roman;Times;serif" w:hAnsi="Times New Roman;Times;serif"/>
          <w:sz w:val="22"/>
          <w:u w:val="single"/>
        </w:rPr>
        <w:t>Overnight Rate</w:t>
      </w:r>
      <w:r>
        <w:rPr>
          <w:rFonts w:ascii="Times New Roman;Times;serif" w:hAnsi="Times New Roman;Times;serif"/>
          <w:sz w:val="22"/>
        </w:rPr>
        <w:t xml:space="preserve">” means, for any day, the greater of (a) the Federal Funds Rate and (b) an overnight rate determined by the Administrative Agent in accordance with banking industry rules on interbank compensation. </w:t>
      </w:r>
    </w:p>
    <w:p>
      <w:pPr>
        <w:pStyle w:val="TextBody"/>
        <w:bidi w:val="0"/>
        <w:spacing w:before="0" w:after="240"/>
        <w:ind w:left="0" w:right="0" w:firstLine="720"/>
        <w:jc w:val="both"/>
        <w:rPr/>
      </w:pPr>
      <w:r>
        <w:rPr/>
        <w:t>“</w:t>
      </w:r>
      <w:r>
        <w:rPr>
          <w:rFonts w:ascii="Times New Roman;Times;serif" w:hAnsi="Times New Roman;Times;serif"/>
          <w:sz w:val="22"/>
          <w:u w:val="single"/>
        </w:rPr>
        <w:t>Participant</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10.06(d)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Participant Register</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10.06(e)</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PATRIOT Act</w:t>
      </w:r>
      <w:r>
        <w:rPr>
          <w:rFonts w:ascii="Times New Roman;Times;serif" w:hAnsi="Times New Roman;Times;serif"/>
          <w:sz w:val="22"/>
        </w:rPr>
        <w:t xml:space="preserve">” has the meaning specified in </w:t>
      </w:r>
      <w:r>
        <w:rPr>
          <w:rFonts w:ascii="Times New Roman;Times;serif" w:hAnsi="Times New Roman;Times;serif"/>
          <w:sz w:val="22"/>
          <w:u w:val="single"/>
        </w:rPr>
        <w:t>Section 10.17</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PBGC</w:t>
      </w:r>
      <w:r>
        <w:rPr>
          <w:rFonts w:ascii="Times New Roman;Times;serif" w:hAnsi="Times New Roman;Times;serif"/>
          <w:sz w:val="22"/>
        </w:rPr>
        <w:t>” means the Pension Benefit Guaranty Corporation, and any successor entity performing similar functions with respect to ERISA.</w:t>
      </w:r>
    </w:p>
    <w:p>
      <w:pPr>
        <w:pStyle w:val="TextBody"/>
        <w:bidi w:val="0"/>
        <w:spacing w:before="0" w:after="240"/>
        <w:ind w:left="0" w:right="0" w:firstLine="720"/>
        <w:jc w:val="both"/>
        <w:rPr/>
      </w:pPr>
      <w:r>
        <w:rPr/>
        <w:t>“</w:t>
      </w:r>
      <w:r>
        <w:rPr>
          <w:rFonts w:ascii="Times New Roman;Times;serif" w:hAnsi="Times New Roman;Times;serif"/>
          <w:sz w:val="22"/>
          <w:u w:val="single"/>
        </w:rPr>
        <w:t>Pension Act</w:t>
      </w:r>
      <w:r>
        <w:rPr>
          <w:rFonts w:ascii="Times New Roman;Times;serif" w:hAnsi="Times New Roman;Times;serif"/>
          <w:sz w:val="22"/>
        </w:rPr>
        <w:t>” means the Pension Protection Act of 2006.</w:t>
      </w:r>
    </w:p>
    <w:p>
      <w:pPr>
        <w:pStyle w:val="TextBody"/>
        <w:bidi w:val="0"/>
        <w:spacing w:before="0" w:after="240"/>
        <w:ind w:left="0" w:right="0" w:firstLine="720"/>
        <w:jc w:val="both"/>
        <w:rPr/>
      </w:pPr>
      <w:r>
        <w:rPr/>
        <w:t>“</w:t>
      </w:r>
      <w:r>
        <w:rPr>
          <w:rFonts w:ascii="Times New Roman;Times;serif" w:hAnsi="Times New Roman;Times;serif"/>
          <w:sz w:val="22"/>
          <w:u w:val="single"/>
        </w:rPr>
        <w:t>Pension Funding Rules</w:t>
      </w:r>
      <w:r>
        <w:rPr>
          <w:rFonts w:ascii="Times New Roman;Times;serif" w:hAnsi="Times New Roman;Times;serif"/>
          <w:sz w:val="22"/>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Pension Plan</w:t>
      </w:r>
      <w:r>
        <w:rPr>
          <w:rFonts w:ascii="Times New Roman;Times;serif" w:hAnsi="Times New Roman;Times;serif"/>
          <w:sz w:val="22"/>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pStyle w:val="TextBody"/>
        <w:bidi w:val="0"/>
        <w:spacing w:before="0" w:after="240"/>
        <w:ind w:left="0" w:right="0" w:firstLine="720"/>
        <w:jc w:val="both"/>
        <w:rPr/>
      </w:pPr>
      <w:r>
        <w:rPr/>
        <w:t>“</w:t>
      </w:r>
      <w:r>
        <w:rPr>
          <w:rFonts w:ascii="Times New Roman;Times;serif" w:hAnsi="Times New Roman;Times;serif"/>
          <w:sz w:val="22"/>
          <w:u w:val="single"/>
        </w:rPr>
        <w:t>Permitted Business</w:t>
      </w:r>
      <w:r>
        <w:rPr>
          <w:rFonts w:ascii="Times New Roman;Times;serif" w:hAnsi="Times New Roman;Times;serif"/>
          <w:sz w:val="22"/>
        </w:rPr>
        <w:t>” means any type of business in which the Borrower and its Subsidiaries were engaged on the Closing Date and any business reasonably related or incidental thereto.</w:t>
      </w:r>
    </w:p>
    <w:p>
      <w:pPr>
        <w:pStyle w:val="TextBody"/>
        <w:bidi w:val="0"/>
        <w:spacing w:before="0" w:after="240"/>
        <w:ind w:left="0" w:right="0" w:firstLine="720"/>
        <w:jc w:val="both"/>
        <w:rPr/>
      </w:pPr>
      <w:r>
        <w:rPr/>
        <w:t>“</w:t>
      </w:r>
      <w:r>
        <w:rPr>
          <w:rFonts w:ascii="Times New Roman;Times;serif" w:hAnsi="Times New Roman;Times;serif"/>
          <w:sz w:val="22"/>
          <w:u w:val="single"/>
        </w:rPr>
        <w:t>Permitted Securitization Facilities</w:t>
      </w:r>
      <w:r>
        <w:rPr>
          <w:rFonts w:ascii="Times New Roman;Times;serif" w:hAnsi="Times New Roman;Times;serif"/>
          <w:sz w:val="22"/>
        </w:rPr>
        <w:t xml:space="preserve">” means, collectively, (a) the Existing Securitization Facility and (b) any other account receivable securitization facility so long as the Indebtedness thereunder and other payment obligations with respect thereto are nonrecourse to the Borrower and its Subsidiaries (other than any Special Purpose Finance Subsidiary), other than limited recourse provisions that are customary for transactions of such type and do not have the effect of Guaranteeing the repayment of any such Indebtedness or limiting the loss or credit risk of lenders or purchasers with respect to payment or performance by the obligors of the accounts receivable so transferred; </w:t>
      </w:r>
      <w:r>
        <w:rPr>
          <w:rFonts w:ascii="Times New Roman;Times;serif" w:hAnsi="Times New Roman;Times;serif"/>
          <w:sz w:val="22"/>
          <w:u w:val="single"/>
        </w:rPr>
        <w:t>provided</w:t>
      </w:r>
      <w:r>
        <w:rPr>
          <w:rFonts w:ascii="Times New Roman;Times;serif" w:hAnsi="Times New Roman;Times;serif"/>
          <w:sz w:val="22"/>
        </w:rPr>
        <w:t xml:space="preserve">, that the aggregate outstanding Attributable Indebtedness under the Existing Securitization Facility and any other account receivable securitization facilities described in </w:t>
      </w:r>
      <w:r>
        <w:rPr>
          <w:rFonts w:ascii="Times New Roman;Times;serif" w:hAnsi="Times New Roman;Times;serif"/>
          <w:sz w:val="22"/>
          <w:u w:val="single"/>
        </w:rPr>
        <w:t>clause (b)</w:t>
      </w:r>
      <w:r>
        <w:rPr>
          <w:rFonts w:ascii="Times New Roman;Times;serif" w:hAnsi="Times New Roman;Times;serif"/>
          <w:sz w:val="22"/>
        </w:rPr>
        <w:t xml:space="preserve"> shall not at any time exceed the greater of (x) $800,000,000, and (y) 35% of the aggregate net book value of all accounts receivable of the Borrower and its Subsidiaries (including those accounts receivable subject to the Existing Securitization Facility or any other account receivable securitization facilities described in </w:t>
      </w:r>
      <w:r>
        <w:rPr>
          <w:rFonts w:ascii="Times New Roman;Times;serif" w:hAnsi="Times New Roman;Times;serif"/>
          <w:sz w:val="22"/>
          <w:u w:val="single"/>
        </w:rPr>
        <w:t>clause (b)</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notwithstanding the foregoing, any such account receivable securitization facility may be recourse to the Borrower and its Subsidiaries so long as (x) such recourse is limited to the requirement that the Borrower or the applicable Subsidiary repurchase any accounts receivable subject to such securitization facility and (y) the aggregate amount of Attributable Indebtedness under such securitization facility shall not at any time exceed $300,000,000.</w:t>
      </w:r>
    </w:p>
    <w:p>
      <w:pPr>
        <w:pStyle w:val="TextBody"/>
        <w:bidi w:val="0"/>
        <w:spacing w:before="0" w:after="240"/>
        <w:ind w:left="0" w:right="0" w:firstLine="720"/>
        <w:jc w:val="both"/>
        <w:rPr/>
      </w:pPr>
      <w:r>
        <w:rPr/>
        <w:t>“</w:t>
      </w:r>
      <w:r>
        <w:rPr>
          <w:rFonts w:ascii="Times New Roman;Times;serif" w:hAnsi="Times New Roman;Times;serif"/>
          <w:sz w:val="22"/>
          <w:u w:val="single"/>
        </w:rPr>
        <w:t>Person</w:t>
      </w:r>
      <w:r>
        <w:rPr>
          <w:rFonts w:ascii="Times New Roman;Times;serif" w:hAnsi="Times New Roman;Times;serif"/>
          <w:sz w:val="22"/>
        </w:rPr>
        <w:t>” means any natural person, corporation, limited liability company, trust, joint venture, association, company, partnership, Governmental Authority or other entity.</w:t>
      </w:r>
    </w:p>
    <w:p>
      <w:pPr>
        <w:pStyle w:val="TextBody"/>
        <w:bidi w:val="0"/>
        <w:spacing w:before="0" w:after="240"/>
        <w:ind w:left="0" w:right="0" w:firstLine="720"/>
        <w:jc w:val="both"/>
        <w:rPr/>
      </w:pPr>
      <w:r>
        <w:rPr/>
        <w:t>“</w:t>
      </w:r>
      <w:r>
        <w:rPr>
          <w:rFonts w:ascii="Times New Roman;Times;serif" w:hAnsi="Times New Roman;Times;serif"/>
          <w:sz w:val="22"/>
          <w:u w:val="single"/>
        </w:rPr>
        <w:t>Plan</w:t>
      </w:r>
      <w:r>
        <w:rPr>
          <w:rFonts w:ascii="Times New Roman;Times;serif" w:hAnsi="Times New Roman;Times;serif"/>
          <w:sz w:val="22"/>
        </w:rPr>
        <w:t>” means any employee benefit plan within the meaning of Section 3(3) of ERISA (including a Pension Plan), maintained for U.S.-based employees of the Borrower or any ERISA Affiliate or any such Plan to which the Borrower or any ERISA Affiliate is required to contribute on behalf of any of its employees.</w:t>
      </w:r>
    </w:p>
    <w:p>
      <w:pPr>
        <w:pStyle w:val="TextBody"/>
        <w:bidi w:val="0"/>
        <w:spacing w:before="0" w:after="240"/>
        <w:ind w:left="0" w:right="0" w:firstLine="720"/>
        <w:jc w:val="both"/>
        <w:rPr/>
      </w:pPr>
      <w:r>
        <w:rPr/>
        <w:t>“</w:t>
      </w:r>
      <w:r>
        <w:rPr>
          <w:rFonts w:ascii="Times New Roman;Times;serif" w:hAnsi="Times New Roman;Times;serif"/>
          <w:sz w:val="22"/>
          <w:u w:val="single"/>
        </w:rPr>
        <w:t>Platform</w:t>
      </w:r>
      <w:r>
        <w:rPr>
          <w:rFonts w:ascii="Times New Roman;Times;serif" w:hAnsi="Times New Roman;Times;serif"/>
          <w:sz w:val="22"/>
        </w:rPr>
        <w:t xml:space="preserve">” 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0"/>
        <w:ind w:left="0" w:right="0" w:firstLine="720"/>
        <w:jc w:val="both"/>
        <w:rPr/>
      </w:pPr>
      <w:r>
        <w:rPr/>
        <w:t>“</w:t>
      </w:r>
      <w:r>
        <w:rPr>
          <w:rFonts w:ascii="Times New Roman;Times;serif" w:hAnsi="Times New Roman;Times;serif"/>
          <w:sz w:val="22"/>
          <w:u w:val="single"/>
        </w:rPr>
        <w:t>PTE</w:t>
      </w:r>
      <w:r>
        <w:rPr>
          <w:rFonts w:ascii="Times New Roman;Times;serif" w:hAnsi="Times New Roman;Times;serif"/>
          <w:sz w:val="22"/>
        </w:rPr>
        <w:t>” means a prohibited transaction class exemption issued by the U.S. Department of Labor, as any such exemption may be amended from time to time.</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Public Lender</w:t>
      </w:r>
      <w:r>
        <w:rPr>
          <w:rFonts w:ascii="Times New Roman;Times;serif" w:hAnsi="Times New Roman;Times;serif"/>
          <w:sz w:val="22"/>
        </w:rPr>
        <w:t xml:space="preserve">” 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Rating Agency</w:t>
      </w:r>
      <w:r>
        <w:rPr>
          <w:rFonts w:ascii="Times New Roman;Times;serif" w:hAnsi="Times New Roman;Times;serif"/>
          <w:sz w:val="22"/>
        </w:rPr>
        <w:t>” has the meaning specified in the definition of “Applicable Rate.”</w:t>
      </w:r>
    </w:p>
    <w:p>
      <w:pPr>
        <w:pStyle w:val="TextBody"/>
        <w:bidi w:val="0"/>
        <w:spacing w:before="0" w:after="240"/>
        <w:ind w:left="0" w:right="0" w:firstLine="720"/>
        <w:jc w:val="both"/>
        <w:rPr/>
      </w:pPr>
      <w:r>
        <w:rPr/>
        <w:t>“</w:t>
      </w:r>
      <w:r>
        <w:rPr>
          <w:rFonts w:ascii="Times New Roman;Times;serif" w:hAnsi="Times New Roman;Times;serif"/>
          <w:sz w:val="22"/>
          <w:u w:val="single"/>
        </w:rPr>
        <w:t>Recipient</w:t>
      </w:r>
      <w:r>
        <w:rPr>
          <w:rFonts w:ascii="Times New Roman;Times;serif" w:hAnsi="Times New Roman;Times;serif"/>
          <w:sz w:val="22"/>
        </w:rPr>
        <w:t>” means the Administrative Agent, any Lender or any other recipient of any payment to be made by or on account of any obligation of the Borrower hereunder.</w:t>
      </w:r>
    </w:p>
    <w:p>
      <w:pPr>
        <w:pStyle w:val="TextBody"/>
        <w:bidi w:val="0"/>
        <w:spacing w:before="0" w:after="240"/>
        <w:ind w:left="0" w:right="0" w:firstLine="720"/>
        <w:jc w:val="both"/>
        <w:rPr/>
      </w:pPr>
      <w:r>
        <w:rPr/>
        <w:t>“</w:t>
      </w:r>
      <w:r>
        <w:rPr>
          <w:rFonts w:ascii="Times New Roman;Times;serif" w:hAnsi="Times New Roman;Times;serif"/>
          <w:sz w:val="22"/>
          <w:u w:val="single"/>
        </w:rPr>
        <w:t>Register</w:t>
      </w:r>
      <w:r>
        <w:rPr>
          <w:rFonts w:ascii="Times New Roman;Times;serif" w:hAnsi="Times New Roman;Times;serif"/>
          <w:sz w:val="22"/>
        </w:rPr>
        <w:t xml:space="preserve">” has the meaning specified in </w:t>
      </w:r>
      <w:r>
        <w:rPr>
          <w:rFonts w:ascii="Times New Roman;Times;serif" w:hAnsi="Times New Roman;Times;serif"/>
          <w:sz w:val="22"/>
          <w:u w:val="single"/>
        </w:rPr>
        <w:t>Section 10.06(c)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Registered Public Accounting Firm</w:t>
      </w:r>
      <w:r>
        <w:rPr>
          <w:rFonts w:ascii="Times New Roman;Times;serif" w:hAnsi="Times New Roman;Times;serif"/>
          <w:sz w:val="22"/>
        </w:rPr>
        <w:t>” has the meaning specified in the Securities Laws and shall be independent of the Borrower as prescribed by the Securities Laws.</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Related Parties</w:t>
      </w:r>
      <w:r>
        <w:rPr>
          <w:rFonts w:ascii="Times New Roman;Times;serif" w:hAnsi="Times New Roman;Times;serif"/>
          <w:sz w:val="22"/>
        </w:rPr>
        <w:t>” means, with respect to any Person, such Person’s Affiliates and the partners, directors, officers, employees, agents, trustees, advisors and representatives of such Person and of such Person’s Affiliates.</w:t>
      </w:r>
    </w:p>
    <w:p>
      <w:pPr>
        <w:pStyle w:val="TextBody"/>
        <w:bidi w:val="0"/>
        <w:spacing w:before="0" w:after="240"/>
        <w:ind w:left="0" w:right="0" w:firstLine="720"/>
        <w:jc w:val="both"/>
        <w:rPr/>
      </w:pPr>
      <w:r>
        <w:rPr/>
        <w:t>“</w:t>
      </w:r>
      <w:r>
        <w:rPr>
          <w:rFonts w:ascii="Times New Roman;Times;serif" w:hAnsi="Times New Roman;Times;serif"/>
          <w:sz w:val="22"/>
          <w:u w:val="single"/>
        </w:rPr>
        <w:t>Relief Period</w:t>
      </w:r>
      <w:r>
        <w:rPr>
          <w:rFonts w:ascii="Times New Roman;Times;serif" w:hAnsi="Times New Roman;Times;serif"/>
          <w:sz w:val="22"/>
        </w:rPr>
        <w:t>” means the period commencing on the Closing Date and ending on the Relief Period Termination Date.</w:t>
      </w:r>
    </w:p>
    <w:p>
      <w:pPr>
        <w:pStyle w:val="TextBody"/>
        <w:bidi w:val="0"/>
        <w:spacing w:before="0" w:after="240"/>
        <w:ind w:left="0" w:right="0" w:firstLine="720"/>
        <w:jc w:val="both"/>
        <w:rPr/>
      </w:pPr>
      <w:r>
        <w:rPr/>
        <w:t>“</w:t>
      </w:r>
      <w:r>
        <w:rPr>
          <w:rFonts w:ascii="Times New Roman;Times;serif" w:hAnsi="Times New Roman;Times;serif"/>
          <w:sz w:val="22"/>
          <w:u w:val="single"/>
        </w:rPr>
        <w:t>Relief Period Termination Date</w:t>
      </w:r>
      <w:r>
        <w:rPr>
          <w:rFonts w:ascii="Times New Roman;Times;serif" w:hAnsi="Times New Roman;Times;serif"/>
          <w:sz w:val="22"/>
        </w:rPr>
        <w:t xml:space="preserve">” means the earlier of (a) the date on which the Administrative Agent receives a Compliance Certificate from the Borrower pursuant to </w:t>
      </w:r>
      <w:r>
        <w:rPr>
          <w:rFonts w:ascii="Times New Roman;Times;serif" w:hAnsi="Times New Roman;Times;serif"/>
          <w:sz w:val="22"/>
          <w:u w:val="single"/>
        </w:rPr>
        <w:t>Section 6.02(b)</w:t>
      </w:r>
      <w:r>
        <w:rPr>
          <w:rFonts w:ascii="Times New Roman;Times;serif" w:hAnsi="Times New Roman;Times;serif"/>
          <w:sz w:val="22"/>
        </w:rPr>
        <w:t xml:space="preserve"> in respect of the fiscal quarter ending on or around September 30, 2026 and the Borrower is in compliance with the Consolidated Leverage Ratio covenant set forth in </w:t>
      </w:r>
      <w:r>
        <w:rPr>
          <w:rFonts w:ascii="Times New Roman;Times;serif" w:hAnsi="Times New Roman;Times;serif"/>
          <w:sz w:val="22"/>
          <w:u w:val="single"/>
        </w:rPr>
        <w:t>Section 7.10</w:t>
      </w:r>
      <w:r>
        <w:rPr>
          <w:rFonts w:ascii="Times New Roman;Times;serif" w:hAnsi="Times New Roman;Times;serif"/>
          <w:sz w:val="22"/>
        </w:rPr>
        <w:t xml:space="preserve"> for such fiscal quarter and (b) the date following August 28, 2025 on which a Compliance Certificate is delivered pursuant to </w:t>
      </w:r>
      <w:r>
        <w:rPr>
          <w:rFonts w:ascii="Times New Roman;Times;serif" w:hAnsi="Times New Roman;Times;serif"/>
          <w:sz w:val="22"/>
          <w:u w:val="single"/>
        </w:rPr>
        <w:t>Section 6.02(b)</w:t>
      </w:r>
      <w:r>
        <w:rPr>
          <w:rFonts w:ascii="Times New Roman;Times;serif" w:hAnsi="Times New Roman;Times;serif"/>
          <w:sz w:val="22"/>
        </w:rPr>
        <w:t xml:space="preserve"> and such Compliance Certificate demonstrates that as of the last day of the fiscal quarter for which such Compliance Certificate is delivered, the Consolidated Leverage Ratio is less than or equal to 3.75 to 1.00, and concurrently with the delivery of such Compliance Certificate, the Borrower provides Administrative Agent with written notice electing to terminate the Relief Period concurrently with the delivery of such Compliance Certificate.</w:t>
      </w:r>
    </w:p>
    <w:p>
      <w:pPr>
        <w:pStyle w:val="TextBody"/>
        <w:bidi w:val="0"/>
        <w:spacing w:before="0" w:after="240"/>
        <w:ind w:left="0" w:right="0" w:firstLine="720"/>
        <w:jc w:val="both"/>
        <w:rPr/>
      </w:pPr>
      <w:r>
        <w:rPr/>
        <w:t>“</w:t>
      </w:r>
      <w:r>
        <w:rPr>
          <w:rFonts w:ascii="Times New Roman;Times;serif" w:hAnsi="Times New Roman;Times;serif"/>
          <w:sz w:val="22"/>
          <w:u w:val="single"/>
        </w:rPr>
        <w:t>Removal Effective Date</w:t>
      </w:r>
      <w:r>
        <w:rPr>
          <w:rFonts w:ascii="Times New Roman;Times;serif" w:hAnsi="Times New Roman;Times;serif"/>
          <w:sz w:val="22"/>
        </w:rPr>
        <w:t xml:space="preserve">” has the meaning specified in </w:t>
      </w:r>
      <w:r>
        <w:rPr>
          <w:rFonts w:ascii="Times New Roman;Times;serif" w:hAnsi="Times New Roman;Times;serif"/>
          <w:sz w:val="22"/>
          <w:u w:val="single"/>
        </w:rPr>
        <w:t>Section 9.06(b)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Reportable Event</w:t>
      </w:r>
      <w:r>
        <w:rPr>
          <w:rFonts w:ascii="Times New Roman;Times;serif" w:hAnsi="Times New Roman;Times;serif"/>
          <w:sz w:val="22"/>
        </w:rPr>
        <w:t>” means any of the events set forth in Section 4043(c) of ERISA, other than events for which the 30 day notice period has been waived under applicable Law.</w:t>
      </w:r>
    </w:p>
    <w:p>
      <w:pPr>
        <w:pStyle w:val="TextBody"/>
        <w:bidi w:val="0"/>
        <w:spacing w:before="0" w:after="240"/>
        <w:ind w:left="0" w:right="0" w:firstLine="720"/>
        <w:jc w:val="both"/>
        <w:rPr/>
      </w:pPr>
      <w:r>
        <w:rPr/>
        <w:t>“</w:t>
      </w:r>
      <w:r>
        <w:rPr>
          <w:rFonts w:ascii="Times New Roman;Times;serif" w:hAnsi="Times New Roman;Times;serif"/>
          <w:sz w:val="22"/>
          <w:u w:val="single"/>
        </w:rPr>
        <w:t>Request for Credit Extension</w:t>
      </w:r>
      <w:r>
        <w:rPr>
          <w:rFonts w:ascii="Times New Roman;Times;serif" w:hAnsi="Times New Roman;Times;serif"/>
          <w:sz w:val="22"/>
        </w:rPr>
        <w:t>” means a Loan Notice.</w:t>
      </w:r>
    </w:p>
    <w:p>
      <w:pPr>
        <w:pStyle w:val="TextBody"/>
        <w:bidi w:val="0"/>
        <w:spacing w:before="0" w:after="240"/>
        <w:ind w:left="0" w:right="0" w:firstLine="720"/>
        <w:jc w:val="both"/>
        <w:rPr/>
      </w:pPr>
      <w:r>
        <w:rPr/>
        <w:t>“</w:t>
      </w:r>
      <w:r>
        <w:rPr>
          <w:rFonts w:ascii="Times New Roman;Times;serif" w:hAnsi="Times New Roman;Times;serif"/>
          <w:sz w:val="22"/>
          <w:u w:val="single"/>
        </w:rPr>
        <w:t>Required Lenders</w:t>
      </w:r>
      <w:r>
        <w:rPr>
          <w:rFonts w:ascii="Times New Roman;Times;serif" w:hAnsi="Times New Roman;Times;serif"/>
          <w:sz w:val="22"/>
        </w:rPr>
        <w:t>” means, as of any date of determination, Lenders having more than 50%</w:t>
      </w:r>
      <w:r>
        <w:rPr>
          <w:rFonts w:ascii="Times New Roman;Times;serif" w:hAnsi="Times New Roman;Times;serif"/>
          <w:color w:val="FF0000"/>
          <w:sz w:val="22"/>
        </w:rPr>
        <w:t xml:space="preserve"> </w:t>
      </w:r>
      <w:r>
        <w:rPr>
          <w:rFonts w:ascii="Times New Roman;Times;serif" w:hAnsi="Times New Roman;Times;serif"/>
          <w:sz w:val="22"/>
        </w:rPr>
        <w:t xml:space="preserve">of the Commitments or, if the commitment of each Lender to make Loans have been terminated, pursuant to </w:t>
      </w:r>
      <w:r>
        <w:rPr>
          <w:rFonts w:ascii="Times New Roman;Times;serif" w:hAnsi="Times New Roman;Times;serif"/>
          <w:sz w:val="22"/>
          <w:u w:val="single"/>
        </w:rPr>
        <w:t>Section 8.02</w:t>
      </w:r>
      <w:r>
        <w:rPr>
          <w:rFonts w:ascii="Times New Roman;Times;serif" w:hAnsi="Times New Roman;Times;serif"/>
          <w:sz w:val="22"/>
        </w:rPr>
        <w:t xml:space="preserve"> or otherwise, Lenders holding in the aggregate more than 50%</w:t>
      </w:r>
      <w:r>
        <w:rPr>
          <w:rFonts w:ascii="Times New Roman;Times;serif" w:hAnsi="Times New Roman;Times;serif"/>
          <w:color w:val="FF0000"/>
          <w:sz w:val="22"/>
        </w:rPr>
        <w:t xml:space="preserve"> </w:t>
      </w:r>
      <w:r>
        <w:rPr>
          <w:rFonts w:ascii="Times New Roman;Times;serif" w:hAnsi="Times New Roman;Times;serif"/>
          <w:sz w:val="22"/>
        </w:rPr>
        <w:t>of the Total Outstandings;</w:t>
      </w:r>
      <w:bookmarkStart w:id="1756" w:name="_Hlk198642056"/>
      <w:bookmarkEnd w:id="1756"/>
      <w:r>
        <w:rPr>
          <w:rFonts w:ascii="Times New Roman;Times;serif" w:hAnsi="Times New Roman;Times;serif"/>
          <w:sz w:val="22"/>
        </w:rPr>
        <w:t xml:space="preserve"> </w:t>
      </w:r>
      <w:r>
        <w:rPr>
          <w:rFonts w:ascii="Times New Roman;Times;serif" w:hAnsi="Times New Roman;Times;serif"/>
          <w:i/>
          <w:sz w:val="22"/>
        </w:rPr>
        <w:t xml:space="preserve">provided </w:t>
      </w:r>
      <w:r>
        <w:rPr>
          <w:rFonts w:ascii="Times New Roman;Times;serif" w:hAnsi="Times New Roman;Times;serif"/>
          <w:sz w:val="22"/>
        </w:rPr>
        <w:t>that so long there are two (2) or more Lenders that are not Affiliates or Defaulting Lenders, Required Lenders shall require at least two (2) non-affiliated Lenders.  </w:t>
      </w:r>
    </w:p>
    <w:p>
      <w:pPr>
        <w:pStyle w:val="TextBody"/>
        <w:bidi w:val="0"/>
        <w:spacing w:before="0" w:after="240"/>
        <w:ind w:left="0" w:right="0" w:firstLine="720"/>
        <w:jc w:val="both"/>
        <w:rPr/>
      </w:pPr>
      <w:r>
        <w:rPr/>
        <w:t>“</w:t>
      </w:r>
      <w:r>
        <w:rPr>
          <w:rFonts w:ascii="Times New Roman;Times;serif" w:hAnsi="Times New Roman;Times;serif"/>
          <w:sz w:val="22"/>
          <w:u w:val="single"/>
        </w:rPr>
        <w:t>Rescindable Amount</w:t>
      </w:r>
      <w:r>
        <w:rPr>
          <w:rFonts w:ascii="Times New Roman;Times;serif" w:hAnsi="Times New Roman;Times;serif"/>
          <w:sz w:val="22"/>
        </w:rPr>
        <w:t xml:space="preserve">” has the meaning as specified in </w:t>
      </w:r>
      <w:r>
        <w:rPr>
          <w:rFonts w:ascii="Times New Roman;Times;serif" w:hAnsi="Times New Roman;Times;serif"/>
          <w:sz w:val="22"/>
          <w:u w:val="single"/>
        </w:rPr>
        <w:t>Section 2.12(b)(ii)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Resignation Effective Date</w:t>
      </w:r>
      <w:r>
        <w:rPr>
          <w:rFonts w:ascii="Times New Roman;Times;serif" w:hAnsi="Times New Roman;Times;serif"/>
          <w:sz w:val="22"/>
        </w:rPr>
        <w:t xml:space="preserve">” has the meaning specified in </w:t>
      </w:r>
      <w:r>
        <w:rPr>
          <w:rFonts w:ascii="Times New Roman;Times;serif" w:hAnsi="Times New Roman;Times;serif"/>
          <w:sz w:val="22"/>
          <w:u w:val="single"/>
        </w:rPr>
        <w:t>Section 9.06(a)</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Resolution Authority</w:t>
      </w:r>
      <w:r>
        <w:rPr>
          <w:rFonts w:ascii="Times New Roman;Times;serif" w:hAnsi="Times New Roman;Times;serif"/>
          <w:sz w:val="22"/>
        </w:rPr>
        <w:t>” 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New Roman;Times;serif" w:hAnsi="Times New Roman;Times;serif"/>
          <w:sz w:val="22"/>
          <w:u w:val="single"/>
        </w:rPr>
        <w:t>Responsible Officer</w:t>
      </w:r>
      <w:r>
        <w:rPr>
          <w:rFonts w:ascii="Times New Roman;Times;serif" w:hAnsi="Times New Roman;Times;serif"/>
          <w:sz w:val="22"/>
        </w:rPr>
        <w:t xml:space="preserve">” means (i) the chief executive officer, president, chief financial officer, treasurer or assistant treasurer of the Borrower or any other signatory authorized in writing by the board of directors, the managing member or comparable governing body or Person of the Borrower (each, an “Authorized Signatory”), (ii) solely for purposes of the delivery of incumbency certificates pursuant to </w:t>
      </w:r>
      <w:r>
        <w:rPr>
          <w:rFonts w:ascii="Times New Roman;Times;serif" w:hAnsi="Times New Roman;Times;serif"/>
          <w:sz w:val="22"/>
          <w:u w:val="single"/>
        </w:rPr>
        <w:t>Section 4.01</w:t>
      </w:r>
      <w:r>
        <w:rPr>
          <w:rFonts w:ascii="Times New Roman;Times;serif" w:hAnsi="Times New Roman;Times;serif"/>
          <w:sz w:val="22"/>
        </w:rPr>
        <w:t>, the secretary or any assistant secretary and any Authorized Signatory of the Borrower and (iii) solely for purposes of notices given pursuant to Article II, any officer or employee of the Borrower so designated by any of the foregoing officers in a notice to the Administrative Agent and any Authorized Signatory of the Borrower.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Restricted Payment</w:t>
      </w:r>
      <w:r>
        <w:rPr>
          <w:rFonts w:ascii="Times New Roman;Times;serif" w:hAnsi="Times New Roman;Times;serif"/>
          <w:sz w:val="22"/>
        </w:rPr>
        <w:t xml:space="preserve">”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 </w:t>
      </w:r>
      <w:r>
        <w:rPr>
          <w:rFonts w:ascii="Times New Roman;Times;serif" w:hAnsi="Times New Roman;Times;serif"/>
          <w:sz w:val="22"/>
          <w:u w:val="single"/>
        </w:rPr>
        <w:t>provided</w:t>
      </w:r>
      <w:r>
        <w:rPr>
          <w:rFonts w:ascii="Times New Roman;Times;serif" w:hAnsi="Times New Roman;Times;serif"/>
          <w:sz w:val="22"/>
        </w:rPr>
        <w:t xml:space="preserve"> that none of the following shall be deemed to be a Restricted Payment:  (w) the conversion of, or payment for, including payments of principal, payments upon redemption or repurchase, or payments of any interest with respect to, any convertible notes issued by the Borrower, in accordance with the terms of the indenture or other documentation governing such convertible notes, (x) the exchange of convertible notes issued by the Borrower for (1) new convertible notes of the Borrower, (2) Equity Interests of the Borrower, or (3) cash in respect of the accrued and unpaid interest on such exchanged convertible notes, (y) delivery of Equity Interests of the Borrower and cash in lieu of fractional shares or in respect of accrued and unpaid interest to any holder of convertible notes of the Borrower in order to induce such holder to convert such convertible notes in accordance with the terms of the indenture or other documentation governing such convertible notes, and (z) the purchase, redemption, retirement or other acquisition of shares of the Borrower’s capital stock or other Equity Interests in connection with any Swap Contract entered into by the Borrower substantially concurrently with any issuance of convertible notes.</w:t>
      </w:r>
    </w:p>
    <w:p>
      <w:pPr>
        <w:pStyle w:val="TextBody"/>
        <w:bidi w:val="0"/>
        <w:spacing w:before="0" w:after="240"/>
        <w:ind w:left="0" w:right="0" w:firstLine="720"/>
        <w:jc w:val="both"/>
        <w:rPr/>
      </w:pPr>
      <w:r>
        <w:rPr/>
        <w:t>“</w:t>
      </w:r>
      <w:r>
        <w:rPr>
          <w:rFonts w:ascii="Times New Roman;Times;serif" w:hAnsi="Times New Roman;Times;serif"/>
          <w:sz w:val="22"/>
          <w:u w:val="single"/>
        </w:rPr>
        <w:t>Revolving Credit Agreement</w:t>
      </w:r>
      <w:r>
        <w:rPr>
          <w:rFonts w:ascii="Times New Roman;Times;serif" w:hAnsi="Times New Roman;Times;serif"/>
          <w:sz w:val="22"/>
        </w:rPr>
        <w:t>” means that certain Third Amended and Restated Credit Agreement dated as of January 17, 2025, as amended, among the Borrower, the Subsidiaries of the Borrower from time to time party thereto, the lenders from time to time party thereto, and Bank of America, N.A., as administrative agent.  </w:t>
      </w:r>
    </w:p>
    <w:p>
      <w:pPr>
        <w:pStyle w:val="TextBody"/>
        <w:bidi w:val="0"/>
        <w:spacing w:before="0" w:after="240"/>
        <w:ind w:left="0" w:right="0" w:firstLine="720"/>
        <w:jc w:val="both"/>
        <w:rPr/>
      </w:pPr>
      <w:r>
        <w:rPr/>
        <w:t>“</w:t>
      </w:r>
      <w:r>
        <w:rPr>
          <w:rFonts w:ascii="Times New Roman;Times;serif" w:hAnsi="Times New Roman;Times;serif"/>
          <w:sz w:val="22"/>
          <w:u w:val="single"/>
        </w:rPr>
        <w:t>S&amp;P</w:t>
      </w:r>
      <w:r>
        <w:rPr>
          <w:rFonts w:ascii="Times New Roman;Times;serif" w:hAnsi="Times New Roman;Times;serif"/>
          <w:sz w:val="22"/>
        </w:rPr>
        <w:t>” means Standard &amp; Poor’s Financial Services LLC, a subsidiary of S&amp;P Global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Sanction</w:t>
      </w:r>
      <w:r>
        <w:rPr>
          <w:rFonts w:ascii="Times New Roman;Times;serif" w:hAnsi="Times New Roman;Times;serif"/>
          <w:sz w:val="22"/>
        </w:rPr>
        <w:t>(s)” means any economic, financial, trade or similar sanctions or embargoes administered or enforced by the United States Government (including, without limitation, OFAC), the United Nations Security Council, the European Union, His Majesty’s Treasury (“</w:t>
      </w:r>
      <w:r>
        <w:rPr>
          <w:rFonts w:ascii="Times New Roman;Times;serif" w:hAnsi="Times New Roman;Times;serif"/>
          <w:sz w:val="22"/>
          <w:u w:val="single"/>
        </w:rPr>
        <w:t>HMT</w:t>
      </w:r>
      <w:r>
        <w:rPr>
          <w:rFonts w:ascii="Times New Roman;Times;serif" w:hAnsi="Times New Roman;Times;serif"/>
          <w:sz w:val="22"/>
        </w:rPr>
        <w:t>”) or other relevant sanctions authority.</w:t>
      </w:r>
    </w:p>
    <w:p>
      <w:pPr>
        <w:pStyle w:val="TextBody"/>
        <w:bidi w:val="0"/>
        <w:spacing w:before="0" w:after="240"/>
        <w:ind w:left="0" w:right="0" w:firstLine="720"/>
        <w:jc w:val="both"/>
        <w:rPr/>
      </w:pPr>
      <w:r>
        <w:rPr/>
        <w:t>“</w:t>
      </w:r>
      <w:r>
        <w:rPr>
          <w:rFonts w:ascii="Times New Roman;Times;serif" w:hAnsi="Times New Roman;Times;serif"/>
          <w:sz w:val="22"/>
          <w:u w:val="single"/>
        </w:rPr>
        <w:t>Same Day Funds</w:t>
      </w:r>
      <w:r>
        <w:rPr>
          <w:rFonts w:ascii="Times New Roman;Times;serif" w:hAnsi="Times New Roman;Times;serif"/>
          <w:sz w:val="22"/>
        </w:rPr>
        <w:t>” means with respect to disbursements and payments in Dollars, immediately available funds.</w:t>
      </w:r>
    </w:p>
    <w:p>
      <w:pPr>
        <w:pStyle w:val="TextBody"/>
        <w:bidi w:val="0"/>
        <w:spacing w:before="0" w:after="240"/>
        <w:ind w:left="0" w:right="0" w:firstLine="720"/>
        <w:jc w:val="both"/>
        <w:rPr/>
      </w:pPr>
      <w:r>
        <w:rPr/>
        <w:t>“</w:t>
      </w:r>
      <w:r>
        <w:rPr>
          <w:rFonts w:ascii="Times New Roman;Times;serif" w:hAnsi="Times New Roman;Times;serif"/>
          <w:sz w:val="22"/>
          <w:u w:val="single"/>
        </w:rPr>
        <w:t>Sarbanes-Oxley</w:t>
      </w:r>
      <w:r>
        <w:rPr>
          <w:rFonts w:ascii="Times New Roman;Times;serif" w:hAnsi="Times New Roman;Times;serif"/>
          <w:sz w:val="22"/>
        </w:rPr>
        <w:t>” means the Sarbanes-Oxley Act of 2002.</w:t>
      </w:r>
    </w:p>
    <w:p>
      <w:pPr>
        <w:pStyle w:val="TextBody"/>
        <w:bidi w:val="0"/>
        <w:spacing w:before="0" w:after="240"/>
        <w:ind w:left="0" w:right="0" w:firstLine="720"/>
        <w:jc w:val="both"/>
        <w:rPr/>
      </w:pPr>
      <w:r>
        <w:rPr/>
        <w:t>“</w:t>
      </w:r>
      <w:r>
        <w:rPr>
          <w:rFonts w:ascii="Times New Roman;Times;serif" w:hAnsi="Times New Roman;Times;serif"/>
          <w:sz w:val="22"/>
          <w:u w:val="single"/>
        </w:rPr>
        <w:t>Scheduled Unavailability Date</w:t>
      </w:r>
      <w:r>
        <w:rPr>
          <w:rFonts w:ascii="Times New Roman;Times;serif" w:hAnsi="Times New Roman;Times;serif"/>
          <w:sz w:val="22"/>
        </w:rPr>
        <w:t xml:space="preserve">” has the meaning specified in </w:t>
      </w:r>
      <w:r>
        <w:rPr>
          <w:rFonts w:ascii="Times New Roman;Times;serif" w:hAnsi="Times New Roman;Times;serif"/>
          <w:sz w:val="22"/>
          <w:u w:val="single"/>
        </w:rPr>
        <w:t>Section 3.03(b)(ii)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SEC</w:t>
      </w:r>
      <w:r>
        <w:rPr>
          <w:rFonts w:ascii="Times New Roman;Times;serif" w:hAnsi="Times New Roman;Times;serif"/>
          <w:sz w:val="22"/>
        </w:rPr>
        <w:t>” means the Securities and Exchange Commission, or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sz w:val="22"/>
          <w:u w:val="single"/>
        </w:rPr>
        <w:t>Securities Exchange Act</w:t>
      </w:r>
      <w:r>
        <w:rPr>
          <w:rFonts w:ascii="Times New Roman;Times;serif" w:hAnsi="Times New Roman;Times;serif"/>
          <w:sz w:val="22"/>
        </w:rPr>
        <w:t>” means the Securities Exchange Act of 1934.</w:t>
      </w:r>
    </w:p>
    <w:p>
      <w:pPr>
        <w:pStyle w:val="TextBody"/>
        <w:bidi w:val="0"/>
        <w:spacing w:before="0" w:after="240"/>
        <w:ind w:left="0" w:right="0" w:firstLine="720"/>
        <w:jc w:val="both"/>
        <w:rPr/>
      </w:pPr>
      <w:r>
        <w:rPr/>
        <w:t>“</w:t>
      </w:r>
      <w:r>
        <w:rPr>
          <w:rFonts w:ascii="Times New Roman;Times;serif" w:hAnsi="Times New Roman;Times;serif"/>
          <w:sz w:val="22"/>
          <w:u w:val="single"/>
        </w:rPr>
        <w:t>Securities Laws</w:t>
      </w:r>
      <w:r>
        <w:rPr>
          <w:rFonts w:ascii="Times New Roman;Times;serif" w:hAnsi="Times New Roman;Times;serif"/>
          <w:sz w:val="22"/>
        </w:rPr>
        <w:t>” means the Securities Act of 1933, the Securities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pStyle w:val="TextBody"/>
        <w:bidi w:val="0"/>
        <w:spacing w:before="0" w:after="240"/>
        <w:ind w:left="0" w:right="0" w:firstLine="720"/>
        <w:jc w:val="both"/>
        <w:rPr/>
      </w:pPr>
      <w:r>
        <w:rPr/>
        <w:t>“</w:t>
      </w:r>
      <w:r>
        <w:rPr>
          <w:rFonts w:ascii="Times New Roman;Times;serif" w:hAnsi="Times New Roman;Times;serif"/>
          <w:sz w:val="22"/>
          <w:u w:val="single"/>
        </w:rPr>
        <w:t>Shareholders’ Equity</w:t>
      </w:r>
      <w:r>
        <w:rPr>
          <w:rFonts w:ascii="Times New Roman;Times;serif" w:hAnsi="Times New Roman;Times;serif"/>
          <w:sz w:val="22"/>
        </w:rPr>
        <w:t>” means, as of any date of determination, consolidated shareholders’ equity of the Borrower and its Subsidiaries as of that date determined in accordance with GAAP.</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SOFR</w:t>
      </w:r>
      <w:r>
        <w:rPr>
          <w:rFonts w:ascii="Times New Roman;Times;serif" w:hAnsi="Times New Roman;Times;serif"/>
          <w:sz w:val="22"/>
        </w:rPr>
        <w:t>” means the Secured Overnight Financing Rate as administered by the SOFR Administrator.</w:t>
      </w:r>
    </w:p>
    <w:p>
      <w:pPr>
        <w:pStyle w:val="TextBody"/>
        <w:bidi w:val="0"/>
        <w:spacing w:before="0" w:after="240"/>
        <w:ind w:left="0" w:right="0" w:firstLine="720"/>
        <w:jc w:val="both"/>
        <w:rPr/>
      </w:pPr>
      <w:r>
        <w:rPr/>
        <w:t>“</w:t>
      </w:r>
      <w:r>
        <w:rPr>
          <w:rFonts w:ascii="Times New Roman;Times;serif" w:hAnsi="Times New Roman;Times;serif"/>
          <w:sz w:val="22"/>
          <w:u w:val="single"/>
        </w:rPr>
        <w:t>SOFR Administrator</w:t>
      </w:r>
      <w:r>
        <w:rPr>
          <w:rFonts w:ascii="Times New Roman;Times;serif" w:hAnsi="Times New Roman;Times;serif"/>
          <w:sz w:val="22"/>
        </w:rPr>
        <w:t>” means the Federal Reserve Bank of New York, as the administrator of SOFR, or any successor administrator of SOFR designated by the Federal Reserve Bank of New York or other Person acting as the SOFR Administrator at such time.</w:t>
      </w:r>
    </w:p>
    <w:p>
      <w:pPr>
        <w:pStyle w:val="TextBody"/>
        <w:bidi w:val="0"/>
        <w:spacing w:before="0" w:after="240"/>
        <w:ind w:left="0" w:right="0" w:firstLine="720"/>
        <w:jc w:val="both"/>
        <w:rPr/>
      </w:pPr>
      <w:r>
        <w:rPr/>
        <w:t>“</w:t>
      </w:r>
      <w:r>
        <w:rPr>
          <w:rFonts w:ascii="Times New Roman;Times;serif" w:hAnsi="Times New Roman;Times;serif"/>
          <w:sz w:val="22"/>
          <w:u w:val="single"/>
        </w:rPr>
        <w:t>Solvent</w:t>
      </w:r>
      <w:r>
        <w:rPr>
          <w:rFonts w:ascii="Times New Roman;Times;serif" w:hAnsi="Times New Roman;Times;serif"/>
          <w:sz w:val="22"/>
        </w:rPr>
        <w:t>” means, with respect to any Person, that the value of the assets of such Person (both at fair value and present fair saleable value) is, on the date of determination, greater than the total amount of liabilities (including contingent and unliquidated liabilities) of such Person as of such date and that, as of such date, such Person is able to pay all liabilities of such Person as such liabilities mature and does not have unreasonably small capital.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w:t>
      </w:r>
    </w:p>
    <w:p>
      <w:pPr>
        <w:pStyle w:val="TextBody"/>
        <w:bidi w:val="0"/>
        <w:spacing w:before="0" w:after="240"/>
        <w:ind w:left="0" w:right="0" w:firstLine="720"/>
        <w:jc w:val="both"/>
        <w:rPr/>
      </w:pPr>
      <w:r>
        <w:rPr/>
        <w:t>“</w:t>
      </w:r>
      <w:r>
        <w:rPr>
          <w:rFonts w:ascii="Times New Roman;Times;serif" w:hAnsi="Times New Roman;Times;serif"/>
          <w:sz w:val="22"/>
          <w:u w:val="single"/>
        </w:rPr>
        <w:t>Special Purpose Finance Subsidiary</w:t>
      </w:r>
      <w:r>
        <w:rPr>
          <w:rFonts w:ascii="Times New Roman;Times;serif" w:hAnsi="Times New Roman;Times;serif"/>
          <w:sz w:val="22"/>
        </w:rPr>
        <w:t>” means any Subsidiary of the Borrower created solely for the purposes of, and whose sole activity shall consist of, acquiring and financing accounts receivable of the Borrower and its Subsidiaries pursuant to a Permitted Securitization Facility.</w:t>
      </w:r>
    </w:p>
    <w:p>
      <w:pPr>
        <w:pStyle w:val="TextBody"/>
        <w:bidi w:val="0"/>
        <w:spacing w:before="0" w:after="240"/>
        <w:ind w:left="0" w:right="0" w:firstLine="720"/>
        <w:jc w:val="both"/>
        <w:rPr/>
      </w:pPr>
      <w:r>
        <w:rPr/>
        <w:t>“</w:t>
      </w:r>
      <w:r>
        <w:rPr>
          <w:rFonts w:ascii="Times New Roman;Times;serif" w:hAnsi="Times New Roman;Times;serif"/>
          <w:sz w:val="22"/>
          <w:u w:val="single"/>
        </w:rPr>
        <w:t>Subsidiary</w:t>
      </w:r>
      <w:r>
        <w:rPr>
          <w:rFonts w:ascii="Times New Roman;Times;serif" w:hAnsi="Times New Roman;Times;serif"/>
          <w:sz w:val="22"/>
        </w:rPr>
        <w:t>” of a Person means a corporation, partnership, joint venture, limited liability company or other business entity (a)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(b) the accounts of which are consolidated with those of the Borrower in its consolidated financial statements.  Unless otherwise specified, all references herein to a “Subsidiary” or to “Subsidiaries” shall refer to a Subsidiary or Subsidiaries of the Borrower.</w:t>
      </w:r>
    </w:p>
    <w:p>
      <w:pPr>
        <w:pStyle w:val="TextBody"/>
        <w:bidi w:val="0"/>
        <w:spacing w:before="0" w:after="240"/>
        <w:ind w:left="0" w:right="0" w:firstLine="720"/>
        <w:jc w:val="both"/>
        <w:rPr/>
      </w:pPr>
      <w:r>
        <w:rPr/>
        <w:t>“</w:t>
      </w:r>
      <w:r>
        <w:rPr>
          <w:rFonts w:ascii="Times New Roman;Times;serif" w:hAnsi="Times New Roman;Times;serif"/>
          <w:sz w:val="22"/>
          <w:u w:val="single"/>
        </w:rPr>
        <w:t>Successor Rate</w:t>
      </w:r>
      <w:r>
        <w:rPr>
          <w:rFonts w:ascii="Times New Roman;Times;serif" w:hAnsi="Times New Roman;Times;serif"/>
          <w:sz w:val="22"/>
        </w:rPr>
        <w:t xml:space="preserve">” has the meaning specified in </w:t>
      </w:r>
      <w:r>
        <w:rPr>
          <w:rFonts w:ascii="Times New Roman;Times;serif" w:hAnsi="Times New Roman;Times;serif"/>
          <w:sz w:val="22"/>
          <w:u w:val="single"/>
        </w:rPr>
        <w:t>Section 3.03(b)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Swap Contract</w:t>
      </w:r>
      <w:r>
        <w:rPr>
          <w:rFonts w:ascii="Times New Roman;Times;serif" w:hAnsi="Times New Roman;Times;serif"/>
          <w:sz w:val="22"/>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bond hedging transactions or capped call transactions entered into substantially concurrently with any convertible notes issued by the Borrower,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pStyle w:val="TextBody"/>
        <w:bidi w:val="0"/>
        <w:spacing w:before="0" w:after="240"/>
        <w:ind w:left="0" w:right="0" w:firstLine="720"/>
        <w:jc w:val="both"/>
        <w:rPr/>
      </w:pPr>
      <w:r>
        <w:rPr/>
        <w:t>“</w:t>
      </w:r>
      <w:r>
        <w:rPr>
          <w:rFonts w:ascii="Times New Roman;Times;serif" w:hAnsi="Times New Roman;Times;serif"/>
          <w:sz w:val="22"/>
          <w:u w:val="single"/>
        </w:rPr>
        <w:t>Swap Termination Value</w:t>
      </w:r>
      <w:r>
        <w:rPr>
          <w:rFonts w:ascii="Times New Roman;Times;serif" w:hAnsi="Times New Roman;Times;serif"/>
          <w:sz w:val="22"/>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Times;serif" w:hAnsi="Times New Roman;Times;serif"/>
          <w:sz w:val="22"/>
          <w:u w:val="single"/>
        </w:rPr>
        <w:t>clause (a)</w:t>
      </w:r>
      <w:r>
        <w:rPr>
          <w:rFonts w:ascii="Times New Roman;Times;serif" w:hAnsi="Times New Roman;Times;serif"/>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0"/>
        <w:ind w:left="0" w:right="0" w:firstLine="720"/>
        <w:jc w:val="both"/>
        <w:rPr/>
      </w:pPr>
      <w:r>
        <w:rPr/>
        <w:t>“</w:t>
      </w:r>
      <w:r>
        <w:rPr>
          <w:rFonts w:ascii="Times New Roman;Times;serif" w:hAnsi="Times New Roman;Times;serif"/>
          <w:sz w:val="22"/>
          <w:u w:val="single"/>
        </w:rPr>
        <w:t>Synthetic Lease Obligation</w:t>
      </w:r>
      <w:r>
        <w:rPr>
          <w:rFonts w:ascii="Times New Roman;Times;serif" w:hAnsi="Times New Roman;Times;serif"/>
          <w:sz w:val="22"/>
        </w:rPr>
        <w:t xml:space="preserve">” means the monetary obligation of a Person under (a) a so-called synthetic, off-balance sheet or tax retention lease, or (b) an agreement for the use or possession of property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240"/>
        <w:ind w:left="0" w:right="0" w:firstLine="720"/>
        <w:jc w:val="both"/>
        <w:rPr/>
      </w:pPr>
      <w:r>
        <w:rPr/>
        <w:t>“</w:t>
      </w:r>
      <w:r>
        <w:rPr>
          <w:rFonts w:ascii="Times New Roman;Times;serif" w:hAnsi="Times New Roman;Times;serif"/>
          <w:sz w:val="22"/>
          <w:u w:val="single"/>
        </w:rPr>
        <w:t>Taxes</w:t>
      </w:r>
      <w:r>
        <w:rPr>
          <w:rFonts w:ascii="Times New Roman;Times;serif" w:hAnsi="Times New Roman;Times;serif"/>
          <w:sz w:val="22"/>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sz w:val="22"/>
          <w:u w:val="single"/>
        </w:rPr>
        <w:t>Term SOFR</w:t>
      </w:r>
      <w:r>
        <w:rPr>
          <w:rFonts w:ascii="Times New Roman;Times;serif" w:hAnsi="Times New Roman;Times;serif"/>
          <w:sz w:val="22"/>
        </w:rPr>
        <w:t>” means: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if the rate is not published prior to 11:00 a.m. on such determination date then Term SOFR means the Term SOFR Screen Rate on the first U.S. Government Securities Business Day immediately prior thereto;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(b)for any interest calculation with respect to a Base Rate Loan on any date, the rate per annum equal to the Term SOFR Screen Rate with a term of one month commencing that day;</w:t>
      </w:r>
      <w:r>
        <w:rPr>
          <w:rFonts w:ascii="Times New Roman;Times;serif" w:hAnsi="Times New Roman;Times;serif"/>
          <w:sz w:val="24"/>
        </w:rPr>
        <w:t xml:space="preserve">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if the rate is not published prior to 11:00 a.m. on such determination date then Term SOFR means the Term SOFR Screen Rate on the first U.S. Government Securities Business Day immediately prior thereto;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provided that if the Term SOFR determined in accordance with either of the foregoing provisions (a) or (b) of this definition would otherwise be less than zero, the Term SOFR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 xml:space="preserve">Term SOFR Loan” </w:t>
      </w:r>
      <w:r>
        <w:rPr>
          <w:rFonts w:ascii="Times New Roman;Times;serif" w:hAnsi="Times New Roman;Times;serif"/>
          <w:sz w:val="22"/>
        </w:rPr>
        <w:t>means a Loan that bears interest at a rate based on clause (a) of the definition of Term SOFR.</w:t>
      </w:r>
    </w:p>
    <w:p>
      <w:pPr>
        <w:pStyle w:val="TextBody"/>
        <w:bidi w:val="0"/>
        <w:spacing w:before="0" w:after="240"/>
        <w:ind w:left="0" w:right="0" w:firstLine="720"/>
        <w:jc w:val="both"/>
        <w:rPr/>
      </w:pPr>
      <w:r>
        <w:rPr/>
        <w:t>“</w:t>
      </w:r>
      <w:r>
        <w:rPr>
          <w:rFonts w:ascii="Times New Roman;Times;serif" w:hAnsi="Times New Roman;Times;serif"/>
          <w:sz w:val="22"/>
          <w:u w:val="single"/>
        </w:rPr>
        <w:t>Term SOFR Screen Rate</w:t>
      </w:r>
      <w:r>
        <w:rPr>
          <w:rFonts w:ascii="Times New Roman;Times;serif" w:hAnsi="Times New Roman;Times;serif"/>
          <w:sz w:val="22"/>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Total Outstandings</w:t>
      </w:r>
      <w:r>
        <w:rPr>
          <w:rFonts w:ascii="Times New Roman;Times;serif" w:hAnsi="Times New Roman;Times;serif"/>
          <w:sz w:val="22"/>
        </w:rPr>
        <w:t>” means the aggregate Outstanding Amount of all Loans.</w:t>
      </w:r>
    </w:p>
    <w:p>
      <w:pPr>
        <w:pStyle w:val="TextBody"/>
        <w:bidi w:val="0"/>
        <w:spacing w:before="0" w:after="240"/>
        <w:ind w:left="0" w:right="0" w:firstLine="720"/>
        <w:jc w:val="both"/>
        <w:rPr/>
      </w:pPr>
      <w:r>
        <w:rPr/>
        <w:t>“</w:t>
      </w:r>
      <w:r>
        <w:rPr>
          <w:rFonts w:ascii="Times New Roman;Times;serif" w:hAnsi="Times New Roman;Times;serif"/>
          <w:sz w:val="22"/>
          <w:u w:val="single"/>
        </w:rPr>
        <w:t>Type</w:t>
      </w:r>
      <w:r>
        <w:rPr>
          <w:rFonts w:ascii="Times New Roman;Times;serif" w:hAnsi="Times New Roman;Times;serif"/>
          <w:sz w:val="22"/>
        </w:rPr>
        <w:t>” means, with respect to a Loan, its character as a Base Rate Loan or a Term SOFR Loan.</w:t>
      </w:r>
    </w:p>
    <w:p>
      <w:pPr>
        <w:pStyle w:val="TextBody"/>
        <w:bidi w:val="0"/>
        <w:spacing w:before="0" w:after="240"/>
        <w:ind w:left="0" w:right="0" w:firstLine="720"/>
        <w:jc w:val="both"/>
        <w:rPr/>
      </w:pPr>
      <w:r>
        <w:rPr/>
        <w:t>“</w:t>
      </w:r>
      <w:r>
        <w:rPr>
          <w:rFonts w:ascii="Times New Roman;Times;serif" w:hAnsi="Times New Roman;Times;serif"/>
          <w:sz w:val="22"/>
          <w:u w:val="single"/>
        </w:rPr>
        <w:t>UK Financial Institution</w:t>
      </w:r>
      <w:r>
        <w:rPr>
          <w:rFonts w:ascii="Times New Roman;Times;serif" w:hAnsi="Times New Roman;Times;serif"/>
          <w:sz w:val="22"/>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sz w:val="22"/>
          <w:u w:val="single"/>
        </w:rPr>
        <w:t>UK Resolution Authority</w:t>
      </w:r>
      <w:r>
        <w:rPr>
          <w:rFonts w:ascii="Times New Roman;Times;serif" w:hAnsi="Times New Roman;Times;serif"/>
          <w:sz w:val="22"/>
        </w:rPr>
        <w:t>” 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United States</w:t>
      </w:r>
      <w:r>
        <w:rPr>
          <w:rFonts w:ascii="Times New Roman;Times;serif" w:hAnsi="Times New Roman;Times;serif"/>
          <w:sz w:val="22"/>
        </w:rPr>
        <w:t>” and “</w:t>
      </w:r>
      <w:r>
        <w:rPr>
          <w:rFonts w:ascii="Times New Roman;Times;serif" w:hAnsi="Times New Roman;Times;serif"/>
          <w:sz w:val="22"/>
          <w:u w:val="single"/>
        </w:rPr>
        <w:t>U.S.</w:t>
      </w:r>
      <w:r>
        <w:rPr>
          <w:rFonts w:ascii="Times New Roman;Times;serif" w:hAnsi="Times New Roman;Times;serif"/>
          <w:sz w:val="22"/>
        </w:rPr>
        <w:t>” mean the United States of America.</w:t>
      </w:r>
    </w:p>
    <w:p>
      <w:pPr>
        <w:pStyle w:val="TextBody"/>
        <w:bidi w:val="0"/>
        <w:spacing w:before="0" w:after="0"/>
        <w:ind w:left="0" w:right="0" w:firstLine="720"/>
        <w:jc w:val="both"/>
        <w:rPr/>
      </w:pPr>
      <w:r>
        <w:rPr/>
        <w:t>“</w:t>
      </w:r>
      <w:r>
        <w:rPr>
          <w:rFonts w:ascii="Times New Roman;Times;serif" w:hAnsi="Times New Roman;Times;serif"/>
          <w:sz w:val="22"/>
          <w:u w:val="single"/>
        </w:rPr>
        <w:t>U.S. Government Securities Business Day</w:t>
      </w:r>
      <w:r>
        <w:rPr>
          <w:rFonts w:ascii="Times New Roman;Times;serif" w:hAnsi="Times New Roman;Times;serif"/>
          <w:sz w:val="22"/>
        </w:rPr>
        <w:t xml:space="preserve">” means any day except for (a) a Saturday, (b) a Sunday or (c) a day on which the </w:t>
      </w:r>
      <w:bookmarkStart w:id="1757" w:name="_9kR3WTr2664BEbLct9y12ozeUw4KKKQA04XXC56"/>
      <w:bookmarkEnd w:id="1757"/>
      <w:r>
        <w:rPr>
          <w:rFonts w:ascii="Times New Roman;Times;serif" w:hAnsi="Times New Roman;Times;serif"/>
          <w:sz w:val="22"/>
        </w:rPr>
        <w:t xml:space="preserve">Securities Industry and Financial Markets Association recommends that the fixed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income departments of its members be closed for the entire day for purposes of trading in United States government securities.</w:t>
      </w:r>
    </w:p>
    <w:p>
      <w:pPr>
        <w:pStyle w:val="TextBody"/>
        <w:bidi w:val="0"/>
        <w:spacing w:before="0" w:after="240"/>
        <w:ind w:left="0" w:right="0" w:firstLine="720"/>
        <w:jc w:val="both"/>
        <w:rPr/>
      </w:pPr>
      <w:r>
        <w:rPr/>
        <w:t>“</w:t>
      </w:r>
      <w:r>
        <w:rPr>
          <w:rFonts w:ascii="Times New Roman;Times;serif" w:hAnsi="Times New Roman;Times;serif"/>
          <w:sz w:val="22"/>
          <w:u w:val="single"/>
        </w:rPr>
        <w:t>U.S. Person</w:t>
      </w:r>
      <w:r>
        <w:rPr>
          <w:rFonts w:ascii="Times New Roman;Times;serif" w:hAnsi="Times New Roman;Times;serif"/>
          <w:sz w:val="22"/>
        </w:rPr>
        <w:t>” means any Person that is a “United States Person” as defined in Section 7701(a)(30) of the Code.</w:t>
      </w:r>
    </w:p>
    <w:p>
      <w:pPr>
        <w:pStyle w:val="TextBody"/>
        <w:bidi w:val="0"/>
        <w:spacing w:before="0" w:after="240"/>
        <w:ind w:left="0" w:right="0" w:firstLine="720"/>
        <w:jc w:val="both"/>
        <w:rPr/>
      </w:pPr>
      <w:r>
        <w:rPr/>
        <w:t>“</w:t>
      </w:r>
      <w:r>
        <w:rPr>
          <w:rFonts w:ascii="Times New Roman;Times;serif" w:hAnsi="Times New Roman;Times;serif"/>
          <w:sz w:val="22"/>
          <w:u w:val="single"/>
        </w:rPr>
        <w:t>U.S. Tax Compliance Certificate</w:t>
      </w:r>
      <w:r>
        <w:rPr>
          <w:rFonts w:ascii="Times New Roman;Times;serif" w:hAnsi="Times New Roman;Times;serif"/>
          <w:sz w:val="22"/>
        </w:rPr>
        <w:t xml:space="preserve">” has the meaning specified in Section </w:t>
      </w:r>
      <w:r>
        <w:rPr>
          <w:rFonts w:ascii="Times New Roman;Times;serif" w:hAnsi="Times New Roman;Times;serif"/>
          <w:sz w:val="22"/>
          <w:u w:val="single"/>
        </w:rPr>
        <w:t>3.01(e)(ii)(B)(III)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Write-Down and Conversion Powers</w:t>
      </w:r>
      <w:r>
        <w:rPr>
          <w:rFonts w:ascii="Times New Roman;Times;serif" w:hAnsi="Times New Roman;Times;serif"/>
          <w:sz w:val="22"/>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1.02</w:t>
      </w:r>
      <w:bookmarkStart w:id="1758" w:name="_Toc107702228"/>
      <w:bookmarkStart w:id="1759" w:name="_Toc236686842"/>
      <w:bookmarkStart w:id="1760" w:name="_Toc184647577"/>
      <w:bookmarkStart w:id="1761" w:name="_Toc184646649"/>
      <w:bookmarkStart w:id="1762" w:name="_Toc184645710"/>
      <w:bookmarkStart w:id="1763" w:name="_Toc184644904"/>
      <w:bookmarkStart w:id="1764" w:name="_Toc184644100"/>
      <w:bookmarkStart w:id="1765" w:name="_Toc184643296"/>
      <w:bookmarkStart w:id="1766" w:name="_Toc184642864"/>
      <w:bookmarkEnd w:id="1758"/>
      <w:bookmarkEnd w:id="1759"/>
      <w:bookmarkEnd w:id="1760"/>
      <w:bookmarkEnd w:id="1761"/>
      <w:bookmarkEnd w:id="1762"/>
      <w:bookmarkEnd w:id="1763"/>
      <w:bookmarkEnd w:id="1764"/>
      <w:bookmarkEnd w:id="1765"/>
      <w:bookmarkEnd w:id="1766"/>
      <w:r>
        <w:rPr>
          <w:rFonts w:ascii="Times New Roman;Times;serif" w:hAnsi="Times New Roman;Times;serif"/>
          <w:b/>
          <w:sz w:val="22"/>
        </w:rPr>
        <w:t>Other Interpretive Provisions</w:t>
      </w:r>
      <w:r>
        <w:rPr>
          <w:rFonts w:ascii="Times New Roman;Times;serif" w:hAnsi="Times New Roman;Times;serif"/>
          <w:sz w:val="22"/>
        </w:rPr>
        <w:t>.  With reference to this Agreement and each other Loan Document, unless otherwise specified herein or in such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sz w:val="22"/>
          <w:u w:val="single"/>
        </w:rPr>
        <w:t>include</w:t>
      </w:r>
      <w:r>
        <w:rPr>
          <w:rFonts w:ascii="Times New Roman;Times;serif" w:hAnsi="Times New Roman;Times;serif"/>
          <w:sz w:val="22"/>
        </w:rPr>
        <w:t>,” “</w:t>
      </w:r>
      <w:r>
        <w:rPr>
          <w:rFonts w:ascii="Times New Roman;Times;serif" w:hAnsi="Times New Roman;Times;serif"/>
          <w:sz w:val="22"/>
          <w:u w:val="single"/>
        </w:rPr>
        <w:t>includes</w:t>
      </w:r>
      <w:r>
        <w:rPr>
          <w:rFonts w:ascii="Times New Roman;Times;serif" w:hAnsi="Times New Roman;Times;serif"/>
          <w:sz w:val="24"/>
        </w:rPr>
        <w:t xml:space="preserve">” </w:t>
      </w:r>
      <w:r>
        <w:rPr>
          <w:rFonts w:ascii="Times New Roman;Times;serif" w:hAnsi="Times New Roman;Times;serif"/>
          <w:sz w:val="22"/>
        </w:rPr>
        <w:t>and “</w:t>
      </w:r>
      <w:r>
        <w:rPr>
          <w:rFonts w:ascii="Times New Roman;Times;serif" w:hAnsi="Times New Roman;Times;serif"/>
          <w:sz w:val="22"/>
          <w:u w:val="single"/>
        </w:rPr>
        <w:t>including</w:t>
      </w:r>
      <w:r>
        <w:rPr>
          <w:rFonts w:ascii="Times New Roman;Times;serif" w:hAnsi="Times New Roman;Times;serif"/>
          <w:sz w:val="24"/>
        </w:rPr>
        <w:t xml:space="preserve">” </w:t>
      </w:r>
      <w:r>
        <w:rPr>
          <w:rFonts w:ascii="Times New Roman;Times;serif" w:hAnsi="Times New Roman;Times;serif"/>
          <w:sz w:val="22"/>
        </w:rPr>
        <w:t>shall be deemed to be followed by the phrase “without limitation.”  The word “</w:t>
      </w:r>
      <w:r>
        <w:rPr>
          <w:rFonts w:ascii="Times New Roman;Times;serif" w:hAnsi="Times New Roman;Times;serif"/>
          <w:sz w:val="22"/>
          <w:u w:val="single"/>
        </w:rPr>
        <w:t>will</w:t>
      </w:r>
      <w:r>
        <w:rPr>
          <w:rFonts w:ascii="Times New Roman;Times;serif" w:hAnsi="Times New Roman;Times;serif"/>
          <w:sz w:val="24"/>
        </w:rPr>
        <w:t xml:space="preserve">” </w:t>
      </w:r>
      <w:r>
        <w:rPr>
          <w:rFonts w:ascii="Times New Roman;Times;serif" w:hAnsi="Times New Roman;Times;serif"/>
          <w:sz w:val="22"/>
        </w:rPr>
        <w:t>shall be construed to have the same meaning and effect as the word “</w:t>
      </w:r>
      <w:r>
        <w:rPr>
          <w:rFonts w:ascii="Times New Roman;Times;serif" w:hAnsi="Times New Roman;Times;serif"/>
          <w:sz w:val="22"/>
          <w:u w:val="single"/>
        </w:rPr>
        <w:t>shall</w:t>
      </w:r>
      <w:r>
        <w:rPr>
          <w:rFonts w:ascii="Times New Roman;Times;serif" w:hAnsi="Times New Roman;Times;serif"/>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assigns, (iii) the words “</w:t>
      </w:r>
      <w:r>
        <w:rPr>
          <w:rFonts w:ascii="Times New Roman;Times;serif" w:hAnsi="Times New Roman;Times;serif"/>
          <w:sz w:val="22"/>
          <w:u w:val="single"/>
        </w:rPr>
        <w:t>hereto</w:t>
      </w:r>
      <w:r>
        <w:rPr>
          <w:rFonts w:ascii="Times New Roman;Times;serif" w:hAnsi="Times New Roman;Times;serif"/>
          <w:sz w:val="24"/>
        </w:rPr>
        <w:t>”</w:t>
      </w:r>
      <w:r>
        <w:rPr>
          <w:rFonts w:ascii="Times New Roman;Times;serif" w:hAnsi="Times New Roman;Times;serif"/>
          <w:sz w:val="22"/>
        </w:rPr>
        <w:t>, “</w:t>
      </w:r>
      <w:r>
        <w:rPr>
          <w:rFonts w:ascii="Times New Roman;Times;serif" w:hAnsi="Times New Roman;Times;serif"/>
          <w:sz w:val="22"/>
          <w:u w:val="single"/>
        </w:rPr>
        <w:t>herein</w:t>
      </w:r>
      <w:r>
        <w:rPr>
          <w:rFonts w:ascii="Times New Roman;Times;serif" w:hAnsi="Times New Roman;Times;serif"/>
          <w:sz w:val="22"/>
        </w:rPr>
        <w:t>,” “</w:t>
      </w:r>
      <w:r>
        <w:rPr>
          <w:rFonts w:ascii="Times New Roman;Times;serif" w:hAnsi="Times New Roman;Times;serif"/>
          <w:sz w:val="22"/>
          <w:u w:val="single"/>
        </w:rPr>
        <w:t>hereof</w:t>
      </w:r>
      <w:r>
        <w:rPr>
          <w:rFonts w:ascii="Times New Roman;Times;serif" w:hAnsi="Times New Roman;Times;serif"/>
          <w:sz w:val="24"/>
        </w:rPr>
        <w:t xml:space="preserve">” </w:t>
      </w:r>
      <w:r>
        <w:rPr>
          <w:rFonts w:ascii="Times New Roman;Times;serif" w:hAnsi="Times New Roman;Times;serif"/>
          <w:sz w:val="22"/>
        </w:rPr>
        <w:t>and “</w:t>
      </w:r>
      <w:r>
        <w:rPr>
          <w:rFonts w:ascii="Times New Roman;Times;serif" w:hAnsi="Times New Roman;Times;serif"/>
          <w:sz w:val="22"/>
          <w:u w:val="single"/>
        </w:rPr>
        <w:t>hereunder</w:t>
      </w:r>
      <w:r>
        <w:rPr>
          <w:rFonts w:ascii="Times New Roman;Times;serif" w:hAnsi="Times New Roman;Times;serif"/>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Times;serif" w:hAnsi="Times New Roman;Times;serif"/>
          <w:sz w:val="22"/>
          <w:u w:val="single"/>
        </w:rPr>
        <w:t>asset</w:t>
      </w:r>
      <w:r>
        <w:rPr>
          <w:rFonts w:ascii="Times New Roman;Times;serif" w:hAnsi="Times New Roman;Times;serif"/>
          <w:sz w:val="24"/>
        </w:rPr>
        <w:t xml:space="preserve">” </w:t>
      </w:r>
      <w:r>
        <w:rPr>
          <w:rFonts w:ascii="Times New Roman;Times;serif" w:hAnsi="Times New Roman;Times;serif"/>
          <w:sz w:val="22"/>
        </w:rPr>
        <w:t>and “</w:t>
      </w:r>
      <w:r>
        <w:rPr>
          <w:rFonts w:ascii="Times New Roman;Times;serif" w:hAnsi="Times New Roman;Times;serif"/>
          <w:sz w:val="22"/>
          <w:u w:val="single"/>
        </w:rPr>
        <w:t>property</w:t>
      </w:r>
      <w:r>
        <w:rPr>
          <w:rFonts w:ascii="Times New Roman;Times;serif" w:hAnsi="Times New Roman;Times;serif"/>
          <w:sz w:val="24"/>
        </w:rPr>
        <w:t xml:space="preserve">” </w:t>
      </w:r>
      <w:r>
        <w:rPr>
          <w:rFonts w:ascii="Times New Roman;Times;serif" w:hAnsi="Times New Roman;Times;serif"/>
          <w:sz w:val="22"/>
        </w:rPr>
        <w:t>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(b)In the computation of periods of time from a specified date to a later specified date, the word “</w:t>
      </w:r>
      <w:r>
        <w:rPr>
          <w:rFonts w:ascii="Times New Roman;Times;serif" w:hAnsi="Times New Roman;Times;serif"/>
          <w:sz w:val="22"/>
          <w:u w:val="single"/>
        </w:rPr>
        <w:t>from</w:t>
      </w:r>
      <w:r>
        <w:rPr>
          <w:rFonts w:ascii="Times New Roman;Times;serif" w:hAnsi="Times New Roman;Times;serif"/>
          <w:sz w:val="24"/>
        </w:rPr>
        <w:t xml:space="preserve">” </w:t>
      </w:r>
      <w:r>
        <w:rPr>
          <w:rFonts w:ascii="Times New Roman;Times;serif" w:hAnsi="Times New Roman;Times;serif"/>
          <w:sz w:val="22"/>
        </w:rPr>
        <w:t>means “</w:t>
      </w:r>
      <w:r>
        <w:rPr>
          <w:rFonts w:ascii="Times New Roman;Times;serif" w:hAnsi="Times New Roman;Times;serif"/>
          <w:sz w:val="22"/>
          <w:u w:val="single"/>
        </w:rPr>
        <w:t>from and including</w:t>
      </w:r>
      <w:r>
        <w:rPr>
          <w:rFonts w:ascii="Times New Roman;Times;serif" w:hAnsi="Times New Roman;Times;serif"/>
          <w:sz w:val="22"/>
        </w:rPr>
        <w:t>;” the words “</w:t>
      </w:r>
      <w:r>
        <w:rPr>
          <w:rFonts w:ascii="Times New Roman;Times;serif" w:hAnsi="Times New Roman;Times;serif"/>
          <w:sz w:val="22"/>
          <w:u w:val="single"/>
        </w:rPr>
        <w:t>to</w:t>
      </w:r>
      <w:r>
        <w:rPr>
          <w:rFonts w:ascii="Times New Roman;Times;serif" w:hAnsi="Times New Roman;Times;serif"/>
          <w:sz w:val="24"/>
        </w:rPr>
        <w:t xml:space="preserve">” </w:t>
      </w:r>
      <w:r>
        <w:rPr>
          <w:rFonts w:ascii="Times New Roman;Times;serif" w:hAnsi="Times New Roman;Times;serif"/>
          <w:sz w:val="22"/>
        </w:rPr>
        <w:t>and “</w:t>
      </w:r>
      <w:r>
        <w:rPr>
          <w:rFonts w:ascii="Times New Roman;Times;serif" w:hAnsi="Times New Roman;Times;serif"/>
          <w:sz w:val="22"/>
          <w:u w:val="single"/>
        </w:rPr>
        <w:t>until</w:t>
      </w:r>
      <w:r>
        <w:rPr>
          <w:rFonts w:ascii="Times New Roman;Times;serif" w:hAnsi="Times New Roman;Times;serif"/>
          <w:sz w:val="24"/>
        </w:rPr>
        <w:t xml:space="preserve">” </w:t>
      </w:r>
      <w:r>
        <w:rPr>
          <w:rFonts w:ascii="Times New Roman;Times;serif" w:hAnsi="Times New Roman;Times;serif"/>
          <w:sz w:val="22"/>
        </w:rPr>
        <w:t>each mean “</w:t>
      </w:r>
      <w:r>
        <w:rPr>
          <w:rFonts w:ascii="Times New Roman;Times;serif" w:hAnsi="Times New Roman;Times;serif"/>
          <w:sz w:val="22"/>
          <w:u w:val="single"/>
        </w:rPr>
        <w:t>to but excluding</w:t>
      </w:r>
      <w:r>
        <w:rPr>
          <w:rFonts w:ascii="Times New Roman;Times;serif" w:hAnsi="Times New Roman;Times;serif"/>
          <w:sz w:val="22"/>
        </w:rPr>
        <w:t>;” and the word “</w:t>
      </w:r>
      <w:r>
        <w:rPr>
          <w:rFonts w:ascii="Times New Roman;Times;serif" w:hAnsi="Times New Roman;Times;serif"/>
          <w:sz w:val="22"/>
          <w:u w:val="single"/>
        </w:rPr>
        <w:t>through</w:t>
      </w:r>
      <w:r>
        <w:rPr>
          <w:rFonts w:ascii="Times New Roman;Times;serif" w:hAnsi="Times New Roman;Times;serif"/>
          <w:sz w:val="24"/>
        </w:rPr>
        <w:t xml:space="preserve">” </w:t>
      </w:r>
      <w:r>
        <w:rPr>
          <w:rFonts w:ascii="Times New Roman;Times;serif" w:hAnsi="Times New Roman;Times;serif"/>
          <w:sz w:val="22"/>
        </w:rPr>
        <w:t>means “</w:t>
      </w:r>
      <w:r>
        <w:rPr>
          <w:rFonts w:ascii="Times New Roman;Times;serif" w:hAnsi="Times New Roman;Times;serif"/>
          <w:sz w:val="22"/>
          <w:u w:val="single"/>
        </w:rPr>
        <w:t>to and including</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(c)Section headings herein and in the other Loan Documents are included for convenience of reference only and shall not affect the interpretation of this Agreement or any other Loan Document.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(d)Any reference herein to a merger, consolidation, amalgamation, conveyance, assignment, sale, disposition or transfer, or similar term, shall be deemed to apply to a division of or by a limited liability company or a limited partnership, as applicable, or an allocation of assets to a series of a limited liability company or a limited partnership, as applicable (or the unwinding of such a division or allocation), as if it were a merger, consolidation, amalgamation, conveyance, assignment, sale, disposition or transfer, or similar term, as applicable, to, of or with a separate Person.  Any division of a limited liability company or a limited partnership, as applicable, shall constitute a separate Person hereunder (and each division of any limited liability company or any limited partnership, as applicable, that is a Subsidiary, joint venture or any other like term shall also constitute such a Person or entity).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1.03</w:t>
      </w:r>
      <w:bookmarkStart w:id="1767" w:name="_Toc107702229"/>
      <w:bookmarkStart w:id="1768" w:name="_Toc236686843"/>
      <w:bookmarkStart w:id="1769" w:name="_Toc184647578"/>
      <w:bookmarkStart w:id="1770" w:name="_Toc184646650"/>
      <w:bookmarkStart w:id="1771" w:name="_Toc184645711"/>
      <w:bookmarkStart w:id="1772" w:name="_Toc184644905"/>
      <w:bookmarkStart w:id="1773" w:name="_Toc184644101"/>
      <w:bookmarkStart w:id="1774" w:name="_Toc184643297"/>
      <w:bookmarkStart w:id="1775" w:name="_Toc184642865"/>
      <w:bookmarkEnd w:id="1767"/>
      <w:bookmarkEnd w:id="1768"/>
      <w:bookmarkEnd w:id="1769"/>
      <w:bookmarkEnd w:id="1770"/>
      <w:bookmarkEnd w:id="1771"/>
      <w:bookmarkEnd w:id="1772"/>
      <w:bookmarkEnd w:id="1773"/>
      <w:bookmarkEnd w:id="1774"/>
      <w:bookmarkEnd w:id="1775"/>
      <w:r>
        <w:rPr>
          <w:rFonts w:ascii="Times New Roman;Times;serif" w:hAnsi="Times New Roman;Times;serif"/>
          <w:b/>
          <w:sz w:val="22"/>
        </w:rPr>
        <w:t>Accounting Terms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Generally</w:t>
      </w:r>
      <w:r>
        <w:rPr>
          <w:rFonts w:ascii="Times New Roman;Times;serif" w:hAnsi="Times New Roman;Times;serif"/>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applied in a manner consistent with that used in preparing the Audited Financial Statements, </w:t>
      </w:r>
      <w:r>
        <w:rPr>
          <w:rFonts w:ascii="Times New Roman;Times;serif" w:hAnsi="Times New Roman;Times;serif"/>
          <w:sz w:val="22"/>
          <w:u w:val="single"/>
        </w:rPr>
        <w:t>except</w:t>
      </w:r>
      <w:r>
        <w:rPr>
          <w:rFonts w:ascii="Times New Roman;Times;serif" w:hAnsi="Times New Roman;Times;serif"/>
          <w:sz w:val="24"/>
        </w:rPr>
        <w:t xml:space="preserve"> </w:t>
      </w:r>
      <w:r>
        <w:rPr>
          <w:rFonts w:ascii="Times New Roman;Times;serif" w:hAnsi="Times New Roman;Times;serif"/>
          <w:sz w:val="22"/>
        </w:rPr>
        <w:t xml:space="preserve">as otherwise specifically prescribed herein.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Changes in GAAP</w:t>
      </w:r>
      <w:r>
        <w:rPr>
          <w:rFonts w:ascii="Times New Roman;Times;serif" w:hAnsi="Times New Roman;Times;serif"/>
          <w:sz w:val="22"/>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u w:val="single"/>
        </w:rPr>
        <w:t>that</w:t>
      </w:r>
      <w:r>
        <w:rPr>
          <w:rFonts w:ascii="Times New Roman;Times;serif" w:hAnsi="Times New Roman;Times;serif"/>
          <w:sz w:val="22"/>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Consolidation of Variable Interest Entities</w:t>
      </w:r>
      <w:r>
        <w:rPr>
          <w:rFonts w:ascii="Times New Roman;Times;serif" w:hAnsi="Times New Roman;Times;serif"/>
          <w:sz w:val="22"/>
        </w:rPr>
        <w:t xml:space="preserve">.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w:t>
      </w:r>
      <w:r>
        <w:rPr>
          <w:rFonts w:ascii="Times New Roman;Times;serif" w:hAnsi="Times New Roman;Times;serif"/>
          <w:sz w:val="22"/>
          <w:u w:val="single"/>
        </w:rPr>
        <w:t>Financial Accounting Standards Board’s Accounting Standards Codification 810</w:t>
      </w:r>
      <w:r>
        <w:rPr>
          <w:rFonts w:ascii="Times New Roman;Times;serif" w:hAnsi="Times New Roman;Times;serif"/>
          <w:sz w:val="24"/>
        </w:rPr>
        <w:t xml:space="preserve"> </w:t>
      </w:r>
      <w:r>
        <w:rPr>
          <w:rFonts w:ascii="Times New Roman;Times;serif" w:hAnsi="Times New Roman;Times;serif"/>
          <w:sz w:val="22"/>
        </w:rPr>
        <w:t>as if such variable interest entity were a Subsidiary as defined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Pro Forma Basis</w:t>
      </w:r>
      <w:r>
        <w:rPr>
          <w:rFonts w:ascii="Times New Roman;Times;serif" w:hAnsi="Times New Roman;Times;serif"/>
          <w:sz w:val="22"/>
        </w:rPr>
        <w:t>.  For purposes of computing the Consolidated Leverage Ratio, such ratio (and any financial calculations or components required to be made or included therein) shall be determined, with respect to the relevant period, after giving pro forma effect to each Acquisition consummated during such period (including any incurrence, assumption, refinancing or repayment of Indebtedness), as if such Acquisition had been consummated on the first day of such period, based on historical results accounted for in accordance with GAAP.</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1.04</w:t>
      </w:r>
      <w:bookmarkStart w:id="1776" w:name="_Toc107702231"/>
      <w:bookmarkStart w:id="1777" w:name="_Toc236686844"/>
      <w:bookmarkEnd w:id="1776"/>
      <w:bookmarkEnd w:id="1777"/>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1.05</w:t>
      </w:r>
      <w:bookmarkStart w:id="1778" w:name="_Toc236686845"/>
      <w:bookmarkEnd w:id="1778"/>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1.06</w:t>
      </w:r>
      <w:bookmarkStart w:id="1779" w:name="_Toc107702233"/>
      <w:bookmarkStart w:id="1780" w:name="_Toc184647582"/>
      <w:bookmarkStart w:id="1781" w:name="_Toc184646654"/>
      <w:bookmarkStart w:id="1782" w:name="_Toc184645715"/>
      <w:bookmarkStart w:id="1783" w:name="_Toc184644909"/>
      <w:bookmarkStart w:id="1784" w:name="_Toc184644105"/>
      <w:bookmarkStart w:id="1785" w:name="_Toc184643301"/>
      <w:bookmarkStart w:id="1786" w:name="_Toc184642869"/>
      <w:bookmarkStart w:id="1787" w:name="_Toc236686846"/>
      <w:bookmarkEnd w:id="1779"/>
      <w:bookmarkEnd w:id="1780"/>
      <w:bookmarkEnd w:id="1781"/>
      <w:bookmarkEnd w:id="1782"/>
      <w:bookmarkEnd w:id="1783"/>
      <w:bookmarkEnd w:id="1784"/>
      <w:bookmarkEnd w:id="1785"/>
      <w:bookmarkEnd w:id="1786"/>
      <w:bookmarkEnd w:id="1787"/>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1.07</w:t>
      </w:r>
      <w:bookmarkStart w:id="1788" w:name="_Toc236686847"/>
      <w:bookmarkEnd w:id="1788"/>
      <w:r>
        <w:rPr>
          <w:rFonts w:ascii="Times New Roman;Times;serif" w:hAnsi="Times New Roman;Times;serif"/>
          <w:b/>
          <w:sz w:val="22"/>
        </w:rPr>
        <w:t>Times of Day</w:t>
      </w:r>
      <w:r>
        <w:rPr>
          <w:rFonts w:ascii="Times New Roman;Times;serif" w:hAnsi="Times New Roman;Times;serif"/>
          <w:sz w:val="22"/>
        </w:rPr>
        <w:t>.  Unless otherwise specified, all references herein to times of day shall be references to Pacific time (daylight or standard, as applicable).</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1.08</w:t>
      </w:r>
      <w:bookmarkStart w:id="1789" w:name="_Toc107702234"/>
      <w:bookmarkStart w:id="1790" w:name="_Toc236686848"/>
      <w:bookmarkEnd w:id="1789"/>
      <w:bookmarkEnd w:id="1790"/>
      <w:r>
        <w:rPr>
          <w:rFonts w:ascii="Times New Roman;Times;serif" w:hAnsi="Times New Roman;Times;serif"/>
          <w:b/>
          <w:sz w:val="22"/>
        </w:rPr>
        <w:t>[Reserved]</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1.09</w:t>
      </w:r>
      <w:bookmarkStart w:id="1791" w:name="_Toc107702235"/>
      <w:bookmarkStart w:id="1792" w:name="_Toc236686849"/>
      <w:bookmarkStart w:id="1793" w:name="_Toc184647584"/>
      <w:bookmarkStart w:id="1794" w:name="_Toc184646656"/>
      <w:bookmarkStart w:id="1795" w:name="_Toc184645717"/>
      <w:bookmarkStart w:id="1796" w:name="_Toc184644911"/>
      <w:bookmarkStart w:id="1797" w:name="_Toc184644107"/>
      <w:bookmarkStart w:id="1798" w:name="_Toc184643303"/>
      <w:bookmarkStart w:id="1799" w:name="_Toc184642871"/>
      <w:bookmarkEnd w:id="1791"/>
      <w:bookmarkEnd w:id="1792"/>
      <w:bookmarkEnd w:id="1793"/>
      <w:bookmarkEnd w:id="1794"/>
      <w:bookmarkEnd w:id="1795"/>
      <w:bookmarkEnd w:id="1796"/>
      <w:bookmarkEnd w:id="1797"/>
      <w:bookmarkEnd w:id="1798"/>
      <w:bookmarkEnd w:id="1799"/>
      <w:r>
        <w:rPr>
          <w:rFonts w:ascii="Times New Roman;Times;serif" w:hAnsi="Times New Roman;Times;serif"/>
          <w:b/>
          <w:sz w:val="22"/>
        </w:rPr>
        <w:t>Rounding</w:t>
      </w:r>
      <w:r>
        <w:rPr>
          <w:rFonts w:ascii="Times New Roman;Times;serif" w:hAnsi="Times New Roman;Times;serif"/>
          <w:sz w:val="22"/>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1.10</w:t>
      </w:r>
      <w:bookmarkStart w:id="1800" w:name="_Toc107702236"/>
      <w:bookmarkStart w:id="1801" w:name="_Toc236686850"/>
      <w:bookmarkStart w:id="1802" w:name="_Toc184647585"/>
      <w:bookmarkStart w:id="1803" w:name="_Toc184646657"/>
      <w:bookmarkStart w:id="1804" w:name="_Toc184645718"/>
      <w:bookmarkStart w:id="1805" w:name="_Toc184644912"/>
      <w:bookmarkStart w:id="1806" w:name="_Toc184644108"/>
      <w:bookmarkStart w:id="1807" w:name="_Toc184643304"/>
      <w:bookmarkStart w:id="1808" w:name="_Toc184642872"/>
      <w:bookmarkEnd w:id="1800"/>
      <w:bookmarkEnd w:id="1801"/>
      <w:bookmarkEnd w:id="1802"/>
      <w:bookmarkEnd w:id="1803"/>
      <w:bookmarkEnd w:id="1804"/>
      <w:bookmarkEnd w:id="1805"/>
      <w:bookmarkEnd w:id="1806"/>
      <w:bookmarkEnd w:id="1807"/>
      <w:bookmarkEnd w:id="1808"/>
      <w:r>
        <w:rPr>
          <w:rFonts w:ascii="Times New Roman;Times;serif" w:hAnsi="Times New Roman;Times;serif"/>
          <w:b/>
          <w:sz w:val="22"/>
        </w:rPr>
        <w:t>Interest Rates.</w:t>
      </w:r>
      <w:r>
        <w:rPr>
          <w:rFonts w:ascii="Times New Roman;Times;serif" w:hAnsi="Times New Roman;Times;serif"/>
          <w:sz w:val="24"/>
        </w:rPr>
        <w:t xml:space="preserve">  </w:t>
      </w:r>
      <w:r>
        <w:rPr>
          <w:rFonts w:ascii="Times New Roman;Times;serif" w:hAnsi="Times New Roman;Times;serif"/>
          <w:sz w:val="22"/>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in each case in the absence of the Administrative Agent’s own gross negligence or willful misconduct as determined by a court of competent jurisdiction by final and nonappealable judgment.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Times;serif" w:hAnsi="Times New Roman;Times;serif"/>
          <w:b/>
          <w:sz w:val="22"/>
        </w:rPr>
        <w:t>(</w:t>
      </w:r>
      <w:r>
        <w:rPr>
          <w:rFonts w:ascii="Times New Roman;Times;serif" w:hAnsi="Times New Roman;Times;serif"/>
          <w:sz w:val="22"/>
        </w:rPr>
        <w:t>or any component of any of the foregoing), in each case pursuant to the terms of this Agreement, and shall have no liability to the Borrower, any Lender</w:t>
      </w:r>
      <w:r>
        <w:rPr>
          <w:rFonts w:ascii="Times New Roman;Times;serif" w:hAnsi="Times New Roman;Times;serif"/>
          <w:sz w:val="24"/>
        </w:rPr>
        <w:t xml:space="preserve"> </w:t>
      </w:r>
      <w:r>
        <w:rPr>
          <w:rFonts w:ascii="Times New Roman;Times;serif" w:hAnsi="Times New Roman;Times;serif"/>
          <w:sz w:val="22"/>
        </w:rPr>
        <w:t>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in each case in the absence of the Administrative Agent’s own gross negligence or willful misconduct as determined by a court of competent jurisdiction by final and nonappealable judgment.</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II.</w:t>
      </w:r>
      <w:bookmarkStart w:id="1809" w:name="_Toc236686851"/>
      <w:bookmarkStart w:id="1810" w:name="_Toc235705398"/>
      <w:bookmarkStart w:id="1811" w:name="_Toc207211134"/>
      <w:bookmarkStart w:id="1812" w:name="_Toc197360489"/>
      <w:bookmarkStart w:id="1813" w:name="_Toc197360138"/>
      <w:bookmarkStart w:id="1814" w:name="_Toc187311233"/>
      <w:bookmarkStart w:id="1815" w:name="_Toc184648373"/>
      <w:bookmarkStart w:id="1816" w:name="_Toc184648242"/>
      <w:bookmarkStart w:id="1817" w:name="_Toc184648111"/>
      <w:bookmarkStart w:id="1818" w:name="_Toc184647980"/>
      <w:bookmarkStart w:id="1819" w:name="_Toc184647849"/>
      <w:bookmarkStart w:id="1820" w:name="_Toc184647587"/>
      <w:bookmarkStart w:id="1821" w:name="_Toc184647454"/>
      <w:bookmarkStart w:id="1822" w:name="_Toc184647322"/>
      <w:bookmarkStart w:id="1823" w:name="_Toc184647190"/>
      <w:bookmarkStart w:id="1824" w:name="_Toc184647058"/>
      <w:bookmarkStart w:id="1825" w:name="_Toc184646926"/>
      <w:bookmarkStart w:id="1826" w:name="_Toc184646659"/>
      <w:bookmarkStart w:id="1827" w:name="_Toc184646525"/>
      <w:bookmarkStart w:id="1828" w:name="_Toc184646391"/>
      <w:bookmarkStart w:id="1829" w:name="_Toc184646257"/>
      <w:bookmarkStart w:id="1830" w:name="_Toc184646123"/>
      <w:bookmarkStart w:id="1831" w:name="_Toc184645989"/>
      <w:bookmarkStart w:id="1832" w:name="_Toc184645720"/>
      <w:bookmarkStart w:id="1833" w:name="_Toc184645586"/>
      <w:bookmarkStart w:id="1834" w:name="_Toc184645452"/>
      <w:bookmarkStart w:id="1835" w:name="_Toc184645318"/>
      <w:bookmarkStart w:id="1836" w:name="_Toc184645184"/>
      <w:bookmarkStart w:id="1837" w:name="_Toc184644914"/>
      <w:bookmarkStart w:id="1838" w:name="_Toc184644780"/>
      <w:bookmarkStart w:id="1839" w:name="_Toc184644646"/>
      <w:bookmarkStart w:id="1840" w:name="_Toc184644512"/>
      <w:bookmarkStart w:id="1841" w:name="_Toc184644378"/>
      <w:bookmarkStart w:id="1842" w:name="_Toc10770223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b/>
          <w:caps/>
          <w:sz w:val="24"/>
        </w:rPr>
        <w:t>​</w:t>
      </w:r>
      <w:r>
        <w:rPr>
          <w:rFonts w:ascii="Times New Roman;Times;serif" w:hAnsi="Times New Roman;Times;serif"/>
          <w:b/>
          <w:caps/>
          <w:sz w:val="22"/>
        </w:rPr>
        <w:br/>
      </w:r>
      <w:bookmarkStart w:id="1843" w:name="_Toc184644110"/>
      <w:bookmarkStart w:id="1844" w:name="_Toc184643976"/>
      <w:bookmarkStart w:id="1845" w:name="_Toc184643842"/>
      <w:bookmarkStart w:id="1846" w:name="_Toc184643708"/>
      <w:bookmarkStart w:id="1847" w:name="_Toc184643574"/>
      <w:bookmarkStart w:id="1848" w:name="_Toc184643306"/>
      <w:bookmarkStart w:id="1849" w:name="_Toc184643017"/>
      <w:bookmarkStart w:id="1850" w:name="_Toc184642874"/>
      <w:bookmarkEnd w:id="1843"/>
      <w:bookmarkEnd w:id="1844"/>
      <w:bookmarkEnd w:id="1845"/>
      <w:bookmarkEnd w:id="1846"/>
      <w:bookmarkEnd w:id="1847"/>
      <w:bookmarkEnd w:id="1848"/>
      <w:bookmarkEnd w:id="1849"/>
      <w:bookmarkEnd w:id="1850"/>
      <w:r>
        <w:rPr>
          <w:rFonts w:ascii="Times New Roman;Times;serif" w:hAnsi="Times New Roman;Times;serif"/>
          <w:b/>
          <w:caps/>
          <w:sz w:val="22"/>
        </w:rPr>
        <w:t>THE COMMITMENTS AND CREDIT EXTENSIONS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2.01</w:t>
      </w:r>
      <w:bookmarkStart w:id="1851" w:name="_Toc107702239"/>
      <w:bookmarkStart w:id="1852" w:name="_Toc236686852"/>
      <w:bookmarkStart w:id="1853" w:name="_Toc184647588"/>
      <w:bookmarkStart w:id="1854" w:name="_Toc184646660"/>
      <w:bookmarkStart w:id="1855" w:name="_Toc184645721"/>
      <w:bookmarkStart w:id="1856" w:name="_Toc184644915"/>
      <w:bookmarkStart w:id="1857" w:name="_Toc184644111"/>
      <w:bookmarkStart w:id="1858" w:name="_Toc184643307"/>
      <w:bookmarkStart w:id="1859" w:name="_Toc184642875"/>
      <w:bookmarkEnd w:id="1851"/>
      <w:bookmarkEnd w:id="1852"/>
      <w:bookmarkEnd w:id="1853"/>
      <w:bookmarkEnd w:id="1854"/>
      <w:bookmarkEnd w:id="1855"/>
      <w:bookmarkEnd w:id="1856"/>
      <w:bookmarkEnd w:id="1857"/>
      <w:bookmarkEnd w:id="1858"/>
      <w:bookmarkEnd w:id="1859"/>
      <w:r>
        <w:rPr>
          <w:rFonts w:ascii="Times New Roman;Times;serif" w:hAnsi="Times New Roman;Times;serif"/>
          <w:b/>
          <w:sz w:val="22"/>
        </w:rPr>
        <w:t>Loans.  </w:t>
      </w:r>
      <w:r>
        <w:rPr>
          <w:rFonts w:ascii="Times New Roman;Times;serif" w:hAnsi="Times New Roman;Times;serif"/>
          <w:sz w:val="22"/>
          <w:u w:val="single"/>
        </w:rPr>
        <w:t>Term Loan</w:t>
      </w:r>
      <w:r>
        <w:rPr>
          <w:rFonts w:ascii="Times New Roman;Times;serif" w:hAnsi="Times New Roman;Times;serif"/>
          <w:sz w:val="22"/>
        </w:rPr>
        <w:t xml:space="preserve">.   Subject to the terms and conditions set forth herein, each Lender severally agrees to make a loan to the Borrower in Dollars on the Closing Date, in an aggregate amount not to exceed at any time outstanding the amount of such Commitment.  Within the limits of each Lender’s Commitment, and subject to the other terms and conditions hereof, the Borrower may borrow under this </w:t>
      </w:r>
      <w:r>
        <w:rPr>
          <w:rFonts w:ascii="Times New Roman;Times;serif" w:hAnsi="Times New Roman;Times;serif"/>
          <w:sz w:val="22"/>
          <w:u w:val="single"/>
        </w:rPr>
        <w:t>Section 2.01</w:t>
      </w:r>
      <w:r>
        <w:rPr>
          <w:rFonts w:ascii="Times New Roman;Times;serif" w:hAnsi="Times New Roman;Times;serif"/>
          <w:sz w:val="24"/>
        </w:rPr>
        <w:t xml:space="preserve"> </w:t>
      </w:r>
      <w:r>
        <w:rPr>
          <w:rFonts w:ascii="Times New Roman;Times;serif" w:hAnsi="Times New Roman;Times;serif"/>
          <w:sz w:val="22"/>
        </w:rPr>
        <w:t xml:space="preserve">and prepay under </w:t>
      </w:r>
      <w:r>
        <w:rPr>
          <w:rFonts w:ascii="Times New Roman;Times;serif" w:hAnsi="Times New Roman;Times;serif"/>
          <w:sz w:val="22"/>
          <w:u w:val="single"/>
        </w:rPr>
        <w:t>Section 2.05</w:t>
      </w:r>
      <w:r>
        <w:rPr>
          <w:rFonts w:ascii="Times New Roman;Times;serif" w:hAnsi="Times New Roman;Times;serif"/>
          <w:sz w:val="22"/>
        </w:rPr>
        <w:t xml:space="preserve">. Amounts borrowed under this </w:t>
      </w:r>
      <w:r>
        <w:rPr>
          <w:rFonts w:ascii="Times New Roman;Times;serif" w:hAnsi="Times New Roman;Times;serif"/>
          <w:sz w:val="22"/>
          <w:u w:val="single"/>
        </w:rPr>
        <w:t>Section 2.01</w:t>
      </w:r>
      <w:r>
        <w:rPr>
          <w:rFonts w:ascii="Times New Roman;Times;serif" w:hAnsi="Times New Roman;Times;serif"/>
          <w:sz w:val="24"/>
        </w:rPr>
        <w:t xml:space="preserve"> </w:t>
      </w:r>
      <w:r>
        <w:rPr>
          <w:rFonts w:ascii="Times New Roman;Times;serif" w:hAnsi="Times New Roman;Times;serif"/>
          <w:sz w:val="22"/>
        </w:rPr>
        <w:t xml:space="preserve">and repaid or prepaid may not be reborrowed.  Loans shall be Term SOFR Loans or Base Rate Loans, as further provided herein.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2.02</w:t>
      </w:r>
      <w:bookmarkStart w:id="1860" w:name="_Toc107702240"/>
      <w:bookmarkStart w:id="1861" w:name="_Toc236686853"/>
      <w:bookmarkStart w:id="1862" w:name="_Toc184647589"/>
      <w:bookmarkStart w:id="1863" w:name="_Toc184646661"/>
      <w:bookmarkStart w:id="1864" w:name="_Toc184645722"/>
      <w:bookmarkStart w:id="1865" w:name="_Toc184644916"/>
      <w:bookmarkStart w:id="1866" w:name="_Toc184644112"/>
      <w:bookmarkStart w:id="1867" w:name="_Toc184643308"/>
      <w:bookmarkStart w:id="1868" w:name="_Toc184642876"/>
      <w:bookmarkEnd w:id="1860"/>
      <w:bookmarkEnd w:id="1861"/>
      <w:bookmarkEnd w:id="1862"/>
      <w:bookmarkEnd w:id="1863"/>
      <w:bookmarkEnd w:id="1864"/>
      <w:bookmarkEnd w:id="1865"/>
      <w:bookmarkEnd w:id="1866"/>
      <w:bookmarkEnd w:id="1867"/>
      <w:bookmarkEnd w:id="1868"/>
      <w:r>
        <w:rPr>
          <w:rFonts w:ascii="Times New Roman;Times;serif" w:hAnsi="Times New Roman;Times;serif"/>
          <w:b/>
          <w:sz w:val="22"/>
        </w:rPr>
        <w:t>Borrowings, Conversions and Continuations of Loans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(a)Each Borrowing of the Loans on the Closing Date, each conversion of Loans from one Type to the other, and each continuation of Term SOFR Loans shall be made upon the Borrower’s irrevocable notice to the Administrative Agent, which may be given by telephone.  Each such notice must be received by the Administrative Agent not later than 9:00 a.m. (i) two Business Days prior to the requested date of any Borrowing of, conversion to or continuation of Term SOFR Loans or of any conversion of Term SOFR Loans to Base Rate Loans and (ii) on the requested date of any Borrowing of Base Rate Loans.  Each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telephonic notice by the Borrower pursuant to this </w:t>
      </w:r>
      <w:r>
        <w:rPr>
          <w:rFonts w:ascii="Times New Roman;Times;serif" w:hAnsi="Times New Roman;Times;serif"/>
          <w:sz w:val="22"/>
          <w:u w:val="single"/>
        </w:rPr>
        <w:t>Section 2.02(a)</w:t>
      </w:r>
      <w:r>
        <w:rPr>
          <w:rFonts w:ascii="Times New Roman;Times;serif" w:hAnsi="Times New Roman;Times;serif"/>
          <w:sz w:val="24"/>
        </w:rPr>
        <w:t xml:space="preserve"> </w:t>
      </w:r>
      <w:r>
        <w:rPr>
          <w:rFonts w:ascii="Times New Roman;Times;serif" w:hAnsi="Times New Roman;Times;serif"/>
          <w:sz w:val="22"/>
        </w:rPr>
        <w:t>must be confirmed promptly by delivery to the Administrative Agent of a written Loan Notice.  Each Borrowing of, conversion to or continuation of Term SOFR Loans shall be in a principal amount of $5,000,000</w:t>
      </w:r>
      <w:r>
        <w:rPr>
          <w:rFonts w:ascii="Times New Roman;Times;serif" w:hAnsi="Times New Roman;Times;serif"/>
          <w:sz w:val="24"/>
        </w:rPr>
        <w:t xml:space="preserve"> </w:t>
      </w:r>
      <w:r>
        <w:rPr>
          <w:rFonts w:ascii="Times New Roman;Times;serif" w:hAnsi="Times New Roman;Times;serif"/>
          <w:sz w:val="22"/>
        </w:rPr>
        <w:t>or a whole multiple of $1,000,000</w:t>
      </w:r>
      <w:r>
        <w:rPr>
          <w:rFonts w:ascii="Times New Roman;Times;serif" w:hAnsi="Times New Roman;Times;serif"/>
          <w:sz w:val="24"/>
        </w:rPr>
        <w:t xml:space="preserve"> </w:t>
      </w:r>
      <w:r>
        <w:rPr>
          <w:rFonts w:ascii="Times New Roman;Times;serif" w:hAnsi="Times New Roman;Times;serif"/>
          <w:sz w:val="22"/>
        </w:rPr>
        <w:t>in excess thereof.  Each Borrowing of or conversion to Base Rate Loans shall be in a principal amount of $5,000,000 or a whole multiple of $1,000,000</w:t>
      </w:r>
      <w:r>
        <w:rPr>
          <w:rFonts w:ascii="Times New Roman;Times;serif" w:hAnsi="Times New Roman;Times;serif"/>
          <w:sz w:val="24"/>
        </w:rPr>
        <w:t xml:space="preserve"> </w:t>
      </w:r>
      <w:r>
        <w:rPr>
          <w:rFonts w:ascii="Times New Roman;Times;serif" w:hAnsi="Times New Roman;Times;serif"/>
          <w:sz w:val="22"/>
        </w:rPr>
        <w:t>in excess thereof.  Each Loan Notice shall specify (i) the requested date of the Borrowing, conversion or continuation, as the case may be (which shall be a Business Day), (ii) the principal amount of Loans to be borrowed, converted or continued, (iii) the Type of Loans to be borrowed or to which existing Loans are to be converted and (iv) if applicable, the duration of the Interest Period with respect thereto. If the Borrower fails to specify a Type of Loan in a Loan Notice or if the Borrower fails to give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Loans.  If the Borrower requests a Borrowing of, conversion to, or continuation of Term SOFR Loans in any such Loan Notice, but fails to specify an Interest Period, it will be deemed to have specified an Interest Period of one month.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(b)Following receipt of a Loan Notice, the Administrative Agent shall promptly notify each Lender of the amount (and currency) of its Applicable Percentage of the applicable Loans, and if no timely notice of a conversion or continuation is provided by the Borrower, the Administrative Agent shall notify each Lender of the details of any automatic conversion to Base Rate Loans as described in the preceding subsection.  In the case of a Borrowing, each Lender shall make the amount of its Loan available to the Administrative Agent in Same Day Funds at the Administrative Agent’s Office not later than 11:00 a.m. on the Business Day specified in the applicable Loan Notice.  Upon satisfaction of the applicable conditions set forth in </w:t>
      </w:r>
      <w:r>
        <w:rPr>
          <w:rFonts w:ascii="Times New Roman;Times;serif" w:hAnsi="Times New Roman;Times;serif"/>
          <w:sz w:val="22"/>
          <w:u w:val="single"/>
        </w:rPr>
        <w:t>Section 4.01</w:t>
      </w:r>
      <w:r>
        <w:rPr>
          <w:rFonts w:ascii="Times New Roman;Times;serif" w:hAnsi="Times New Roman;Times;serif"/>
          <w:sz w:val="22"/>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(c)Except as otherwise provided herein, a Term SOFR Loan may be continued or converted only on the last day of an Interest Period for such Term SOFR Loan.  During the existence of a Default, no Loans may be requested as, converted to or continued, if applicable, as Term SOFR Loans without the consent of the Required Lenders, and the Required Lenders may demand that any or all of the then outstanding Term SOFR Loans be prepaid on the last day of the then current Interest Period with respect thereto.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(d)The Administrative Agent shall promptly notify the Borrower and the Lenders of the interest rate applicable to any Interest Period for Term SOFR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(e)After giving effect to all Borrowings, all conversions of Loans from one Type to the other, and all continuations of Loans as the same Type, there shall not be more than ten Interest Periods in effect with respect to Loans.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(g)With respect to Term SOFR or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2.03</w:t>
      </w:r>
      <w:bookmarkStart w:id="1869" w:name="_Toc107702241"/>
      <w:bookmarkStart w:id="1870" w:name="_Toc236686854"/>
      <w:bookmarkEnd w:id="1869"/>
      <w:bookmarkEnd w:id="1870"/>
      <w:r>
        <w:rPr>
          <w:rFonts w:ascii="Times New Roman;Times;serif" w:hAnsi="Times New Roman;Times;serif"/>
          <w:b/>
          <w:sz w:val="22"/>
        </w:rPr>
        <w:t>[Reserved]</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2.04</w:t>
      </w:r>
      <w:bookmarkStart w:id="1871" w:name="_Toc236686855"/>
      <w:bookmarkEnd w:id="1871"/>
      <w:r>
        <w:rPr>
          <w:rFonts w:ascii="Times New Roman;Times;serif" w:hAnsi="Times New Roman;Times;serif"/>
          <w:b/>
          <w:sz w:val="22"/>
        </w:rPr>
        <w:t>[Reserved]</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2.05</w:t>
      </w:r>
      <w:bookmarkStart w:id="1872" w:name="_Toc107702243"/>
      <w:bookmarkStart w:id="1873" w:name="_Toc236686856"/>
      <w:bookmarkStart w:id="1874" w:name="_Toc184647592"/>
      <w:bookmarkStart w:id="1875" w:name="_Toc184646664"/>
      <w:bookmarkStart w:id="1876" w:name="_Toc184645725"/>
      <w:bookmarkStart w:id="1877" w:name="_Toc184644919"/>
      <w:bookmarkStart w:id="1878" w:name="_Toc184644115"/>
      <w:bookmarkStart w:id="1879" w:name="_Toc184643311"/>
      <w:bookmarkStart w:id="1880" w:name="_Toc184642879"/>
      <w:bookmarkEnd w:id="1872"/>
      <w:bookmarkEnd w:id="1873"/>
      <w:bookmarkEnd w:id="1874"/>
      <w:bookmarkEnd w:id="1875"/>
      <w:bookmarkEnd w:id="1876"/>
      <w:bookmarkEnd w:id="1877"/>
      <w:bookmarkEnd w:id="1878"/>
      <w:bookmarkEnd w:id="1879"/>
      <w:bookmarkEnd w:id="1880"/>
      <w:r>
        <w:rPr>
          <w:rFonts w:ascii="Times New Roman;Times;serif" w:hAnsi="Times New Roman;Times;serif"/>
          <w:b/>
          <w:sz w:val="22"/>
        </w:rPr>
        <w:t>Prepayments</w:t>
      </w:r>
      <w:r>
        <w:rPr>
          <w:rFonts w:ascii="Times New Roman;Times;serif" w:hAnsi="Times New Roman;Times;serif"/>
          <w:sz w:val="22"/>
        </w:rPr>
        <w:t>.  (a)</w:t>
      </w:r>
      <w:r>
        <w:rPr>
          <w:rFonts w:ascii="Times New Roman;Times;serif" w:hAnsi="Times New Roman;Times;serif"/>
          <w:sz w:val="24"/>
        </w:rPr>
        <w:t xml:space="preserve"> </w:t>
      </w:r>
      <w:r>
        <w:rPr>
          <w:rFonts w:ascii="Times New Roman;Times;serif" w:hAnsi="Times New Roman;Times;serif"/>
          <w:sz w:val="22"/>
        </w:rPr>
        <w:t xml:space="preserve">The Borrower may, upon notice from the Borrower to the Administrative Agent, at any time or from time to time voluntarily prepay Loans in whole or in part without premium or penalty;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(i) such notice must be received by the Administrative Agent not later than 8:00 a.m.</w:t>
      </w:r>
      <w:r>
        <w:rPr>
          <w:rFonts w:ascii="Times New Roman;Times;serif" w:hAnsi="Times New Roman;Times;serif"/>
          <w:sz w:val="24"/>
        </w:rPr>
        <w:t xml:space="preserve"> </w:t>
      </w:r>
      <w:r>
        <w:rPr>
          <w:rFonts w:ascii="Times New Roman;Times;serif" w:hAnsi="Times New Roman;Times;serif"/>
          <w:sz w:val="22"/>
        </w:rPr>
        <w:t>(A) two Business Days prior to any date of prepayment of Term SOFR Loans or  (B) on the date of prepayment of Base Rate Loans and (ii) any prepayment of Loans shall be in a principal amount of $5,000,000</w:t>
      </w:r>
      <w:r>
        <w:rPr>
          <w:rFonts w:ascii="Times New Roman;Times;serif" w:hAnsi="Times New Roman;Times;serif"/>
          <w:sz w:val="24"/>
        </w:rPr>
        <w:t xml:space="preserve"> </w:t>
      </w:r>
      <w:r>
        <w:rPr>
          <w:rFonts w:ascii="Times New Roman;Times;serif" w:hAnsi="Times New Roman;Times;serif"/>
          <w:sz w:val="22"/>
        </w:rPr>
        <w:t xml:space="preserve">or a whole multiple of $1,000,000 in excess thereof or,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(or other applicable share as provided herein) of such prepayment.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Times;serif" w:hAnsi="Times New Roman;Times;serif"/>
          <w:sz w:val="22"/>
          <w:u w:val="single"/>
        </w:rPr>
        <w:t>Section 3.05</w:t>
      </w:r>
      <w:r>
        <w:rPr>
          <w:rFonts w:ascii="Times New Roman;Times;serif" w:hAnsi="Times New Roman;Times;serif"/>
          <w:sz w:val="22"/>
        </w:rPr>
        <w:t xml:space="preserve">.  Subject to </w:t>
      </w:r>
      <w:r>
        <w:rPr>
          <w:rFonts w:ascii="Times New Roman;Times;serif" w:hAnsi="Times New Roman;Times;serif"/>
          <w:sz w:val="22"/>
          <w:u w:val="single"/>
        </w:rPr>
        <w:t>Section 2.17</w:t>
      </w:r>
      <w:r>
        <w:rPr>
          <w:rFonts w:ascii="Times New Roman;Times;serif" w:hAnsi="Times New Roman;Times;serif"/>
          <w:sz w:val="22"/>
        </w:rPr>
        <w:t>, each such prepayment shall be applied to the Loans of the Lenders in accordance with their respective Applicable Percentages.</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2.06</w:t>
      </w:r>
      <w:bookmarkStart w:id="1881" w:name="_Toc107702244"/>
      <w:bookmarkStart w:id="1882" w:name="_Toc236686857"/>
      <w:bookmarkStart w:id="1883" w:name="_Toc184647593"/>
      <w:bookmarkStart w:id="1884" w:name="_Toc184646665"/>
      <w:bookmarkStart w:id="1885" w:name="_Toc184645726"/>
      <w:bookmarkStart w:id="1886" w:name="_Toc184644920"/>
      <w:bookmarkStart w:id="1887" w:name="_Toc184644116"/>
      <w:bookmarkStart w:id="1888" w:name="_Toc184643312"/>
      <w:bookmarkStart w:id="1889" w:name="_Toc184642880"/>
      <w:bookmarkEnd w:id="1881"/>
      <w:bookmarkEnd w:id="1882"/>
      <w:bookmarkEnd w:id="1883"/>
      <w:bookmarkEnd w:id="1884"/>
      <w:bookmarkEnd w:id="1885"/>
      <w:bookmarkEnd w:id="1886"/>
      <w:bookmarkEnd w:id="1887"/>
      <w:bookmarkEnd w:id="1888"/>
      <w:bookmarkEnd w:id="1889"/>
      <w:r>
        <w:rPr>
          <w:rFonts w:ascii="Times New Roman;Times;serif" w:hAnsi="Times New Roman;Times;serif"/>
          <w:b/>
          <w:sz w:val="22"/>
        </w:rPr>
        <w:t>Termination or Reduction of Commitments</w:t>
      </w:r>
      <w:r>
        <w:rPr>
          <w:rFonts w:ascii="Times New Roman;Times;serif" w:hAnsi="Times New Roman;Times;serif"/>
          <w:sz w:val="22"/>
        </w:rPr>
        <w:t xml:space="preserve">.  The aggregate Commitments shall be automatically and permanently reduced to zero on the Closing Date upon the making of the Loans pursuant to </w:t>
      </w:r>
      <w:r>
        <w:rPr>
          <w:rFonts w:ascii="Times New Roman;Times;serif" w:hAnsi="Times New Roman;Times;serif"/>
          <w:sz w:val="22"/>
          <w:u w:val="single"/>
        </w:rPr>
        <w:t>Section 2.01</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2.07</w:t>
      </w:r>
      <w:bookmarkStart w:id="1890" w:name="_Toc107702245"/>
      <w:bookmarkStart w:id="1891" w:name="_Toc236686858"/>
      <w:bookmarkStart w:id="1892" w:name="_Toc184647594"/>
      <w:bookmarkStart w:id="1893" w:name="_Toc184646666"/>
      <w:bookmarkStart w:id="1894" w:name="_Toc184645727"/>
      <w:bookmarkStart w:id="1895" w:name="_Toc184644921"/>
      <w:bookmarkStart w:id="1896" w:name="_Toc184644117"/>
      <w:bookmarkStart w:id="1897" w:name="_Toc184643313"/>
      <w:bookmarkStart w:id="1898" w:name="_Toc184642881"/>
      <w:bookmarkEnd w:id="1890"/>
      <w:bookmarkEnd w:id="1891"/>
      <w:bookmarkEnd w:id="1892"/>
      <w:bookmarkEnd w:id="1893"/>
      <w:bookmarkEnd w:id="1894"/>
      <w:bookmarkEnd w:id="1895"/>
      <w:bookmarkEnd w:id="1896"/>
      <w:bookmarkEnd w:id="1897"/>
      <w:bookmarkEnd w:id="1898"/>
      <w:r>
        <w:rPr>
          <w:rFonts w:ascii="Times New Roman;Times;serif" w:hAnsi="Times New Roman;Times;serif"/>
          <w:b/>
          <w:sz w:val="22"/>
        </w:rPr>
        <w:t xml:space="preserve">Repayment of Loans. </w:t>
      </w:r>
      <w:r>
        <w:rPr>
          <w:rFonts w:ascii="Times New Roman;Times;serif" w:hAnsi="Times New Roman;Times;serif"/>
          <w:sz w:val="22"/>
        </w:rPr>
        <w:t>The Borrower shall repay to the Lenders on the Maturity Date the aggregate principal amount of Loans made to the Borrower and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2.08</w:t>
      </w:r>
      <w:bookmarkStart w:id="1899" w:name="_Toc107702246"/>
      <w:bookmarkStart w:id="1900" w:name="_Toc236686859"/>
      <w:bookmarkStart w:id="1901" w:name="_Toc184647595"/>
      <w:bookmarkStart w:id="1902" w:name="_Toc184646667"/>
      <w:bookmarkStart w:id="1903" w:name="_Toc184645728"/>
      <w:bookmarkStart w:id="1904" w:name="_Toc184644922"/>
      <w:bookmarkStart w:id="1905" w:name="_Toc184644118"/>
      <w:bookmarkStart w:id="1906" w:name="_Toc184643314"/>
      <w:bookmarkStart w:id="1907" w:name="_Toc184642882"/>
      <w:bookmarkEnd w:id="1899"/>
      <w:bookmarkEnd w:id="1900"/>
      <w:bookmarkEnd w:id="1901"/>
      <w:bookmarkEnd w:id="1902"/>
      <w:bookmarkEnd w:id="1903"/>
      <w:bookmarkEnd w:id="1904"/>
      <w:bookmarkEnd w:id="1905"/>
      <w:bookmarkEnd w:id="1906"/>
      <w:bookmarkEnd w:id="1907"/>
      <w:r>
        <w:rPr>
          <w:rFonts w:ascii="Times New Roman;Times;serif" w:hAnsi="Times New Roman;Times;serif"/>
          <w:b/>
          <w:sz w:val="22"/>
        </w:rPr>
        <w:t xml:space="preserve">Interest. </w:t>
      </w:r>
      <w:r>
        <w:rPr>
          <w:rFonts w:ascii="Times New Roman;Times;serif" w:hAnsi="Times New Roman;Times;serif"/>
          <w:sz w:val="22"/>
        </w:rPr>
        <w:t>(a)</w:t>
      </w:r>
      <w:r>
        <w:rPr>
          <w:rFonts w:ascii="Times New Roman;Times;serif" w:hAnsi="Times New Roman;Times;serif"/>
          <w:sz w:val="24"/>
        </w:rPr>
        <w:t xml:space="preserve"> </w:t>
      </w:r>
      <w:r>
        <w:rPr>
          <w:rFonts w:ascii="Times New Roman;Times;serif" w:hAnsi="Times New Roman;Times;serif"/>
          <w:sz w:val="22"/>
        </w:rPr>
        <w:t xml:space="preserve">Subject to the provisions of </w:t>
      </w:r>
      <w:r>
        <w:rPr>
          <w:rFonts w:ascii="Times New Roman;Times;serif" w:hAnsi="Times New Roman;Times;serif"/>
          <w:sz w:val="22"/>
          <w:u w:val="single"/>
        </w:rPr>
        <w:t>subsection (b)</w:t>
      </w:r>
      <w:r>
        <w:rPr>
          <w:rFonts w:ascii="Times New Roman;Times;serif" w:hAnsi="Times New Roman;Times;serif"/>
          <w:sz w:val="24"/>
        </w:rPr>
        <w:t xml:space="preserve"> </w:t>
      </w:r>
      <w:r>
        <w:rPr>
          <w:rFonts w:ascii="Times New Roman;Times;serif" w:hAnsi="Times New Roman;Times;serif"/>
          <w:sz w:val="22"/>
        </w:rPr>
        <w:t xml:space="preserve">below, (i) each Term SOFR Loan shall bear interest on the outstanding principal amount thereof for each Interest Period at a rate per annum equal to the Term SOFR for such Interest Period </w:t>
      </w:r>
      <w:r>
        <w:rPr>
          <w:rFonts w:ascii="Times New Roman;Times;serif" w:hAnsi="Times New Roman;Times;serif"/>
          <w:sz w:val="22"/>
          <w:u w:val="single"/>
        </w:rPr>
        <w:t>plus</w:t>
      </w:r>
      <w:r>
        <w:rPr>
          <w:rFonts w:ascii="Times New Roman;Times;serif" w:hAnsi="Times New Roman;Times;serif"/>
          <w:sz w:val="24"/>
        </w:rPr>
        <w:t xml:space="preserve"> </w:t>
      </w:r>
      <w:r>
        <w:rPr>
          <w:rFonts w:ascii="Times New Roman;Times;serif" w:hAnsi="Times New Roman;Times;serif"/>
          <w:sz w:val="22"/>
        </w:rPr>
        <w:t xml:space="preserve">the Applicable Rate; and (ii) each Base Rate Loan shall bear interest on the outstanding principal amount thereof from the applicable borrowing date at a rate per annum equal to the Base Rate </w:t>
      </w:r>
      <w:r>
        <w:rPr>
          <w:rFonts w:ascii="Times New Roman;Times;serif" w:hAnsi="Times New Roman;Times;serif"/>
          <w:sz w:val="22"/>
          <w:u w:val="single"/>
        </w:rPr>
        <w:t>plus</w:t>
      </w:r>
      <w:r>
        <w:rPr>
          <w:rFonts w:ascii="Times New Roman;Times;serif" w:hAnsi="Times New Roman;Times;serif"/>
          <w:sz w:val="24"/>
        </w:rPr>
        <w:t xml:space="preserve"> </w:t>
      </w:r>
      <w:r>
        <w:rPr>
          <w:rFonts w:ascii="Times New Roman;Times;serif" w:hAnsi="Times New Roman;Times;serif"/>
          <w:sz w:val="22"/>
        </w:rPr>
        <w:t>the Applicable Rate.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sz w:val="22"/>
        </w:rPr>
        <w:t>(b)</w:t>
      </w:r>
      <w:r>
        <w:rPr>
          <w:rFonts w:ascii="Times New Roman;Times;serif" w:hAnsi="Times New Roman;Times;serif"/>
          <w:caps/>
          <w:sz w:val="22"/>
        </w:rPr>
        <w:t xml:space="preserve">(i) </w:t>
      </w:r>
      <w:r>
        <w:rPr>
          <w:rFonts w:ascii="Times New Roman;Times;serif" w:hAnsi="Times New Roman;Times;serif"/>
          <w:sz w:val="22"/>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(ii)Upon the request of the Required Lenders, while any Event of Default under </w:t>
      </w:r>
      <w:r>
        <w:rPr>
          <w:rFonts w:ascii="Times New Roman;Times;serif" w:hAnsi="Times New Roman;Times;serif"/>
          <w:sz w:val="22"/>
          <w:u w:val="single"/>
        </w:rPr>
        <w:t>Section 8.01(a)</w:t>
      </w:r>
      <w:r>
        <w:rPr>
          <w:rFonts w:ascii="Times New Roman;Times;serif" w:hAnsi="Times New Roman;Times;serif"/>
          <w:sz w:val="22"/>
        </w:rPr>
        <w:t xml:space="preserve">, </w:t>
      </w:r>
      <w:r>
        <w:rPr>
          <w:rFonts w:ascii="Times New Roman;Times;serif" w:hAnsi="Times New Roman;Times;serif"/>
          <w:sz w:val="22"/>
          <w:u w:val="single"/>
        </w:rPr>
        <w:t>(f)</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(g)</w:t>
      </w:r>
      <w:r>
        <w:rPr>
          <w:rFonts w:ascii="Times New Roman;Times;serif" w:hAnsi="Times New Roman;Times;serif"/>
          <w:sz w:val="24"/>
        </w:rPr>
        <w:t xml:space="preserve"> </w:t>
      </w:r>
      <w:r>
        <w:rPr>
          <w:rFonts w:ascii="Times New Roman;Times;serif" w:hAnsi="Times New Roman;Times;serif"/>
          <w:sz w:val="22"/>
        </w:rPr>
        <w:t>exists, the Borrower shall pay interest on the principal amount of all outstanding Obligations hereunder at a fluctuating interest rate per annum at all times equal to the Default Rate to the fullest extent permitted by applicable Laws.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(iii)Accrued and unpaid interest on past due amounts (including interest on past due interest) shall be due and payable upon demand.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2.09</w:t>
      </w:r>
      <w:bookmarkStart w:id="1908" w:name="_Toc107702247"/>
      <w:bookmarkStart w:id="1909" w:name="_Toc236686860"/>
      <w:bookmarkStart w:id="1910" w:name="_Toc184647596"/>
      <w:bookmarkStart w:id="1911" w:name="_Toc184646668"/>
      <w:bookmarkStart w:id="1912" w:name="_Toc184645729"/>
      <w:bookmarkStart w:id="1913" w:name="_Toc184644923"/>
      <w:bookmarkStart w:id="1914" w:name="_Toc184644119"/>
      <w:bookmarkStart w:id="1915" w:name="_Toc184643315"/>
      <w:bookmarkStart w:id="1916" w:name="_Toc184642883"/>
      <w:bookmarkEnd w:id="1908"/>
      <w:bookmarkEnd w:id="1909"/>
      <w:bookmarkEnd w:id="1910"/>
      <w:bookmarkEnd w:id="1911"/>
      <w:bookmarkEnd w:id="1912"/>
      <w:bookmarkEnd w:id="1913"/>
      <w:bookmarkEnd w:id="1914"/>
      <w:bookmarkEnd w:id="1915"/>
      <w:bookmarkEnd w:id="1916"/>
      <w:r>
        <w:rPr>
          <w:rFonts w:ascii="Times New Roman;Times;serif" w:hAnsi="Times New Roman;Times;serif"/>
          <w:b/>
          <w:sz w:val="22"/>
        </w:rPr>
        <w:t>Fees</w:t>
      </w:r>
      <w:r>
        <w:rPr>
          <w:rFonts w:ascii="Times New Roman;Times;serif" w:hAnsi="Times New Roman;Times;serif"/>
          <w:sz w:val="22"/>
        </w:rPr>
        <w:t>.  The Borrower shall pay to the Lenders, in Dollars, such fees as shall have been separately agreed upon in writing in the amounts and at the times so specified.  Such fees shall be fully earned when paid and shall not be refundable for any reason whatsoever.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2.10</w:t>
      </w:r>
      <w:bookmarkStart w:id="1917" w:name="_Toc107702248"/>
      <w:bookmarkStart w:id="1918" w:name="_Toc236686861"/>
      <w:bookmarkStart w:id="1919" w:name="_Toc184647597"/>
      <w:bookmarkStart w:id="1920" w:name="_Toc184646669"/>
      <w:bookmarkStart w:id="1921" w:name="_Toc184645730"/>
      <w:bookmarkStart w:id="1922" w:name="_Toc184644924"/>
      <w:bookmarkStart w:id="1923" w:name="_Toc184644120"/>
      <w:bookmarkStart w:id="1924" w:name="_Toc184643316"/>
      <w:bookmarkStart w:id="1925" w:name="_Toc184642884"/>
      <w:bookmarkEnd w:id="1917"/>
      <w:bookmarkEnd w:id="1918"/>
      <w:bookmarkEnd w:id="1919"/>
      <w:bookmarkEnd w:id="1920"/>
      <w:bookmarkEnd w:id="1921"/>
      <w:bookmarkEnd w:id="1922"/>
      <w:bookmarkEnd w:id="1923"/>
      <w:bookmarkEnd w:id="1924"/>
      <w:bookmarkEnd w:id="1925"/>
      <w:r>
        <w:rPr>
          <w:rFonts w:ascii="Times New Roman;Times;serif" w:hAnsi="Times New Roman;Times;serif"/>
          <w:b/>
          <w:sz w:val="22"/>
        </w:rPr>
        <w:t>Computation of Interest and Fees</w:t>
      </w:r>
      <w:r>
        <w:rPr>
          <w:rFonts w:ascii="Times New Roman;Times;serif" w:hAnsi="Times New Roman;Times;serif"/>
          <w:sz w:val="22"/>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any Loan that is repaid on the same day on which it is made shall, subject to </w:t>
      </w:r>
      <w:r>
        <w:rPr>
          <w:rFonts w:ascii="Times New Roman;Times;serif" w:hAnsi="Times New Roman;Times;serif"/>
          <w:sz w:val="22"/>
          <w:u w:val="single"/>
        </w:rPr>
        <w:t>Section 2.12(a)</w:t>
      </w:r>
      <w:r>
        <w:rPr>
          <w:rFonts w:ascii="Times New Roman;Times;serif" w:hAnsi="Times New Roman;Times;serif"/>
          <w:sz w:val="22"/>
        </w:rPr>
        <w:t>, bear interest for one day.  Each determination by the Administrative Agent of an interest rate or fee hereunder shall be conclusive and binding for all purposes, absent manifest error.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2.11</w:t>
      </w:r>
      <w:bookmarkStart w:id="1926" w:name="_Toc107702249"/>
      <w:bookmarkStart w:id="1927" w:name="_Toc236686862"/>
      <w:bookmarkStart w:id="1928" w:name="_Toc184647598"/>
      <w:bookmarkStart w:id="1929" w:name="_Toc184646670"/>
      <w:bookmarkStart w:id="1930" w:name="_Toc184645731"/>
      <w:bookmarkStart w:id="1931" w:name="_Toc184644925"/>
      <w:bookmarkStart w:id="1932" w:name="_Toc184644121"/>
      <w:bookmarkStart w:id="1933" w:name="_Toc184643317"/>
      <w:bookmarkStart w:id="1934" w:name="_Toc184642885"/>
      <w:bookmarkEnd w:id="1926"/>
      <w:bookmarkEnd w:id="1927"/>
      <w:bookmarkEnd w:id="1928"/>
      <w:bookmarkEnd w:id="1929"/>
      <w:bookmarkEnd w:id="1930"/>
      <w:bookmarkEnd w:id="1931"/>
      <w:bookmarkEnd w:id="1932"/>
      <w:bookmarkEnd w:id="1933"/>
      <w:bookmarkEnd w:id="1934"/>
      <w:r>
        <w:rPr>
          <w:rFonts w:ascii="Times New Roman;Times;serif" w:hAnsi="Times New Roman;Times;serif"/>
          <w:b/>
          <w:sz w:val="22"/>
        </w:rPr>
        <w:t>Evidence of Debt</w:t>
      </w:r>
      <w:r>
        <w:rPr>
          <w:rFonts w:ascii="Times New Roman;Times;serif" w:hAnsi="Times New Roman;Times;serif"/>
          <w:sz w:val="22"/>
        </w:rPr>
        <w:t>.  (a)</w:t>
      </w:r>
      <w:r>
        <w:rPr>
          <w:rFonts w:ascii="Times New Roman;Times;serif" w:hAnsi="Times New Roman;Times;serif"/>
          <w:sz w:val="24"/>
        </w:rPr>
        <w:t xml:space="preserve"> </w:t>
      </w:r>
      <w:r>
        <w:rPr>
          <w:rFonts w:ascii="Times New Roman;Times;serif" w:hAnsi="Times New Roman;Times;serif"/>
          <w:sz w:val="22"/>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currency and maturity of its Loans and payments with respect thereto.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2.12</w:t>
      </w:r>
      <w:bookmarkStart w:id="1935" w:name="_Toc107702250"/>
      <w:bookmarkStart w:id="1936" w:name="_Toc236686863"/>
      <w:bookmarkStart w:id="1937" w:name="_Toc184647599"/>
      <w:bookmarkStart w:id="1938" w:name="_Toc184646671"/>
      <w:bookmarkStart w:id="1939" w:name="_Toc184645732"/>
      <w:bookmarkStart w:id="1940" w:name="_Toc184644926"/>
      <w:bookmarkStart w:id="1941" w:name="_Toc184644122"/>
      <w:bookmarkStart w:id="1942" w:name="_Toc184643318"/>
      <w:bookmarkStart w:id="1943" w:name="_Toc184642886"/>
      <w:bookmarkEnd w:id="1935"/>
      <w:bookmarkEnd w:id="1936"/>
      <w:bookmarkEnd w:id="1937"/>
      <w:bookmarkEnd w:id="1938"/>
      <w:bookmarkEnd w:id="1939"/>
      <w:bookmarkEnd w:id="1940"/>
      <w:bookmarkEnd w:id="1941"/>
      <w:bookmarkEnd w:id="1942"/>
      <w:bookmarkEnd w:id="1943"/>
      <w:r>
        <w:rPr>
          <w:rFonts w:ascii="Times New Roman;Times;serif" w:hAnsi="Times New Roman;Times;serif"/>
          <w:b/>
          <w:sz w:val="22"/>
        </w:rPr>
        <w:t>Payments Generally; Administrative Agent’s Clawback</w:t>
      </w:r>
      <w:r>
        <w:rPr>
          <w:rFonts w:ascii="Times New Roman;Times;serif" w:hAnsi="Times New Roman;Times;serif"/>
          <w:sz w:val="22"/>
        </w:rPr>
        <w:t>.  (a)</w:t>
      </w:r>
      <w:r>
        <w:rPr>
          <w:rFonts w:ascii="Times New Roman;Times;serif" w:hAnsi="Times New Roman;Times;serif"/>
          <w:sz w:val="24"/>
        </w:rPr>
        <w:t xml:space="preserve"> </w:t>
      </w:r>
      <w:r>
        <w:rPr>
          <w:rFonts w:ascii="Times New Roman;Times;serif" w:hAnsi="Times New Roman;Times;serif"/>
          <w:sz w:val="22"/>
          <w:u w:val="single"/>
        </w:rPr>
        <w:t>General</w:t>
      </w:r>
      <w:r>
        <w:rPr>
          <w:rFonts w:ascii="Times New Roman;Times;serif" w:hAnsi="Times New Roman;Times;serif"/>
          <w:sz w:val="22"/>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in Dollars and in Same Day Funds not later than 11:00 a.m. on the date specified herein. Without limiting the generality of the foregoing, the Administrative Agent may require that any payments due under this Agreement be made in the United States.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11:00 a.m. shall be deemed received on the next succeeding Business Day and any applicable interest or fee shall continue to accrue.  If any payment to be made by the Borrower shall come due on a day other than a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Business Day, payment shall be made on the next following Business Day, and such extension of time shall be reflected in computing interest or fees, as the case may be.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(b)(i)  </w:t>
      </w:r>
      <w:r>
        <w:rPr>
          <w:rFonts w:ascii="Times New Roman;Times;serif" w:hAnsi="Times New Roman;Times;serif"/>
          <w:sz w:val="22"/>
          <w:u w:val="single"/>
        </w:rPr>
        <w:t>Funding by Lenders; Presumption by Administrative Agent</w:t>
      </w:r>
      <w:r>
        <w:rPr>
          <w:rFonts w:ascii="Times New Roman;Times;serif" w:hAnsi="Times New Roman;Times;serif"/>
          <w:sz w:val="22"/>
        </w:rPr>
        <w:t xml:space="preserve">.  Unless the Administrative Agent shall have received notice from a Lender prior to the proposed date of any Borrowing (or, in the case of any Borrowing of Base Rate Loans requested on the same day that the applicable Loan Notice is delivered, by 9:00 a.m.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sz w:val="22"/>
          <w:u w:val="single"/>
        </w:rPr>
        <w:t>Section 2.02</w:t>
      </w:r>
      <w:r>
        <w:rPr>
          <w:rFonts w:ascii="Times New Roman;Times;serif" w:hAnsi="Times New Roman;Times;serif"/>
          <w:sz w:val="24"/>
        </w:rPr>
        <w:t xml:space="preserve"> </w:t>
      </w:r>
      <w:r>
        <w:rPr>
          <w:rFonts w:ascii="Times New Roman;Times;serif" w:hAnsi="Times New Roman;Times;serif"/>
          <w:sz w:val="22"/>
        </w:rPr>
        <w:t xml:space="preserve">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w:t>
      </w:r>
      <w:r>
        <w:rPr>
          <w:rFonts w:ascii="Times New Roman;Times;serif" w:hAnsi="Times New Roman;Times;serif"/>
          <w:sz w:val="22"/>
          <w:u w:val="single"/>
        </w:rPr>
        <w:t>plus</w:t>
      </w:r>
      <w:r>
        <w:rPr>
          <w:rFonts w:ascii="Times New Roman;Times;serif" w:hAnsi="Times New Roman;Times;serif"/>
          <w:sz w:val="24"/>
        </w:rPr>
        <w:t xml:space="preserve"> </w:t>
      </w:r>
      <w:r>
        <w:rPr>
          <w:rFonts w:ascii="Times New Roman;Times;serif" w:hAnsi="Times New Roman;Times;serif"/>
          <w:sz w:val="22"/>
        </w:rPr>
        <w:t>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(ii)</w:t>
      </w:r>
      <w:r>
        <w:rPr>
          <w:rFonts w:ascii="Times New Roman;Times;serif" w:hAnsi="Times New Roman;Times;serif"/>
          <w:sz w:val="22"/>
          <w:u w:val="single"/>
        </w:rPr>
        <w:t>Payments by Borrower; Presumptions by Administrative Agent</w:t>
      </w:r>
      <w:r>
        <w:rPr>
          <w:rFonts w:ascii="Times New Roman;Times;serif" w:hAnsi="Times New Roman;Times;serif"/>
          <w:sz w:val="22"/>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the case may be, the amount due. </w:t>
      </w:r>
    </w:p>
    <w:p>
      <w:pPr>
        <w:pStyle w:val="TextBody"/>
        <w:bidi w:val="0"/>
        <w:spacing w:before="0" w:after="240"/>
        <w:ind w:left="720" w:right="0" w:firstLine="720"/>
        <w:jc w:val="both"/>
        <w:rPr>
          <w:rFonts w:ascii="Times New Roman;Times;serif" w:hAnsi="Times New Roman;Times;serif"/>
          <w:sz w:val="22"/>
        </w:rPr>
      </w:pPr>
      <w:bookmarkStart w:id="1944" w:name="_Hlk67430642"/>
      <w:bookmarkEnd w:id="1944"/>
      <w:r>
        <w:rPr>
          <w:rFonts w:ascii="Times New Roman;Times;serif" w:hAnsi="Times New Roman;Times;serif"/>
          <w:sz w:val="22"/>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Times;serif" w:hAnsi="Times New Roman;Times;serif"/>
          <w:sz w:val="22"/>
          <w:u w:val="single"/>
        </w:rPr>
        <w:t>Rescindable Amount</w:t>
      </w:r>
      <w:r>
        <w:rPr>
          <w:rFonts w:ascii="Times New Roman;Times;serif" w:hAnsi="Times New Roman;Times;serif"/>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ind w:left="720" w:right="0" w:firstLine="21"/>
        <w:jc w:val="both"/>
        <w:rPr>
          <w:rFonts w:ascii="Times New Roman;Times;serif" w:hAnsi="Times New Roman;Times;serif"/>
          <w:sz w:val="22"/>
        </w:rPr>
      </w:pPr>
      <w:r>
        <w:rPr>
          <w:rFonts w:ascii="Times New Roman;Times;serif" w:hAnsi="Times New Roman;Times;serif"/>
          <w:sz w:val="22"/>
        </w:rPr>
        <w:t xml:space="preserve">A notice of the Administrative Agent to any Lender or the Borrower with respect to any amount owing under this </w:t>
      </w:r>
      <w:r>
        <w:rPr>
          <w:rFonts w:ascii="Times New Roman;Times;serif" w:hAnsi="Times New Roman;Times;serif"/>
          <w:sz w:val="22"/>
          <w:u w:val="single"/>
        </w:rPr>
        <w:t>subsection (b)</w:t>
      </w:r>
      <w:r>
        <w:rPr>
          <w:rFonts w:ascii="Times New Roman;Times;serif" w:hAnsi="Times New Roman;Times;serif"/>
          <w:sz w:val="22"/>
        </w:rPr>
        <w:t xml:space="preserve"> shall be conclusive, absent manifest error.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Failure to Satisfy Conditions Precedent</w:t>
      </w:r>
      <w:r>
        <w:rPr>
          <w:rFonts w:ascii="Times New Roman;Times;serif" w:hAnsi="Times New Roman;Times;serif"/>
          <w:sz w:val="22"/>
        </w:rPr>
        <w:t xml:space="preserve">.  If any Lender makes available to the Administrative Agent funds for any Loan to be made by such Lender to the Borrower as provided in the foregoing provisions of this </w:t>
      </w:r>
      <w:r>
        <w:rPr>
          <w:rFonts w:ascii="Times New Roman;Times;serif" w:hAnsi="Times New Roman;Times;serif"/>
          <w:sz w:val="22"/>
          <w:u w:val="single"/>
        </w:rPr>
        <w:t>Article II</w:t>
      </w:r>
      <w:r>
        <w:rPr>
          <w:rFonts w:ascii="Times New Roman;Times;serif" w:hAnsi="Times New Roman;Times;serif"/>
          <w:sz w:val="22"/>
        </w:rPr>
        <w:t xml:space="preserve">, and such funds are not made available to the Borrower by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Administrative Agent because the conditions to the applicable Credit Extension set forth in </w:t>
      </w:r>
      <w:r>
        <w:rPr>
          <w:rFonts w:ascii="Times New Roman;Times;serif" w:hAnsi="Times New Roman;Times;serif"/>
          <w:sz w:val="22"/>
          <w:u w:val="single"/>
        </w:rPr>
        <w:t>Article IV</w:t>
      </w:r>
      <w:r>
        <w:rPr>
          <w:rFonts w:ascii="Times New Roman;Times;serif" w:hAnsi="Times New Roman;Times;serif"/>
          <w:sz w:val="24"/>
        </w:rPr>
        <w:t xml:space="preserve"> </w:t>
      </w:r>
      <w:r>
        <w:rPr>
          <w:rFonts w:ascii="Times New Roman;Times;serif" w:hAnsi="Times New Roman;Times;serif"/>
          <w:sz w:val="22"/>
        </w:rPr>
        <w:t>are not satisfied or waived in accordance with the terms hereof, the Administrative Agent shall promptly return such funds (in like funds as received from such Lender) to such Lender, without interest.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Obligations of Lenders Several</w:t>
      </w:r>
      <w:r>
        <w:rPr>
          <w:rFonts w:ascii="Times New Roman;Times;serif" w:hAnsi="Times New Roman;Times;serif"/>
          <w:sz w:val="22"/>
        </w:rPr>
        <w:t xml:space="preserve">.  The obligations of the Lenders hereunder to make Loans and to make payments pursuant to </w:t>
      </w:r>
      <w:r>
        <w:rPr>
          <w:rFonts w:ascii="Times New Roman;Times;serif" w:hAnsi="Times New Roman;Times;serif"/>
          <w:sz w:val="22"/>
          <w:u w:val="single"/>
        </w:rPr>
        <w:t>Section 10.04(c)</w:t>
      </w:r>
      <w:r>
        <w:rPr>
          <w:rFonts w:ascii="Times New Roman;Times;serif" w:hAnsi="Times New Roman;Times;serif"/>
          <w:sz w:val="24"/>
        </w:rPr>
        <w:t xml:space="preserve"> </w:t>
      </w:r>
      <w:r>
        <w:rPr>
          <w:rFonts w:ascii="Times New Roman;Times;serif" w:hAnsi="Times New Roman;Times;serif"/>
          <w:sz w:val="22"/>
        </w:rPr>
        <w:t xml:space="preserve">are several and not joint.  The failure of any Lender to make any Loan, to fund any such participation or to make any payment under </w:t>
      </w:r>
      <w:r>
        <w:rPr>
          <w:rFonts w:ascii="Times New Roman;Times;serif" w:hAnsi="Times New Roman;Times;serif"/>
          <w:sz w:val="22"/>
          <w:u w:val="single"/>
        </w:rPr>
        <w:t>Section 10.04(c)</w:t>
      </w:r>
      <w:r>
        <w:rPr>
          <w:rFonts w:ascii="Times New Roman;Times;serif" w:hAnsi="Times New Roman;Times;serif"/>
          <w:sz w:val="24"/>
        </w:rPr>
        <w:t xml:space="preserve"> </w:t>
      </w:r>
      <w:r>
        <w:rPr>
          <w:rFonts w:ascii="Times New Roman;Times;serif" w:hAnsi="Times New Roman;Times;serif"/>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sz w:val="22"/>
          <w:u w:val="single"/>
        </w:rPr>
        <w:t>Section 10.04(c)</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Funding Source</w:t>
      </w:r>
      <w:r>
        <w:rPr>
          <w:rFonts w:ascii="Times New Roman;Times;serif" w:hAnsi="Times New Roman;Times;serif"/>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2.13</w:t>
      </w:r>
      <w:bookmarkStart w:id="1945" w:name="_Toc107702251"/>
      <w:bookmarkStart w:id="1946" w:name="_Toc236686864"/>
      <w:bookmarkStart w:id="1947" w:name="_Toc184647600"/>
      <w:bookmarkStart w:id="1948" w:name="_Toc184646672"/>
      <w:bookmarkStart w:id="1949" w:name="_Toc184645733"/>
      <w:bookmarkStart w:id="1950" w:name="_Toc184644927"/>
      <w:bookmarkStart w:id="1951" w:name="_Toc184644123"/>
      <w:bookmarkStart w:id="1952" w:name="_Toc184643319"/>
      <w:bookmarkStart w:id="1953" w:name="_Toc184642887"/>
      <w:bookmarkEnd w:id="1945"/>
      <w:bookmarkEnd w:id="1946"/>
      <w:bookmarkEnd w:id="1947"/>
      <w:bookmarkEnd w:id="1948"/>
      <w:bookmarkEnd w:id="1949"/>
      <w:bookmarkEnd w:id="1950"/>
      <w:bookmarkEnd w:id="1951"/>
      <w:bookmarkEnd w:id="1952"/>
      <w:bookmarkEnd w:id="1953"/>
      <w:r>
        <w:rPr>
          <w:rFonts w:ascii="Times New Roman;Times;serif" w:hAnsi="Times New Roman;Times;serif"/>
          <w:b/>
          <w:sz w:val="22"/>
        </w:rPr>
        <w:t>Sharing of Payments by Lenders</w:t>
      </w:r>
      <w:r>
        <w:rPr>
          <w:rFonts w:ascii="Times New Roman;Times;serif" w:hAnsi="Times New Roman;Times;serif"/>
          <w:sz w:val="22"/>
        </w:rPr>
        <w:t xml:space="preserve">.  If any Lender shall, by exercising any right of setoff or counterclaim or otherwise, obtain payment in respect of any principal of or interest on any of the Loans made by it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(ii)the provisions of this </w:t>
      </w:r>
      <w:r>
        <w:rPr>
          <w:rFonts w:ascii="Times New Roman;Times;serif" w:hAnsi="Times New Roman;Times;serif"/>
          <w:sz w:val="22"/>
          <w:u w:val="single"/>
        </w:rPr>
        <w:t>Section 2.13</w:t>
      </w:r>
      <w:r>
        <w:rPr>
          <w:rFonts w:ascii="Times New Roman;Times;serif" w:hAnsi="Times New Roman;Times;serif"/>
          <w:sz w:val="24"/>
        </w:rPr>
        <w:t xml:space="preserve"> </w:t>
      </w:r>
      <w:r>
        <w:rPr>
          <w:rFonts w:ascii="Times New Roman;Times;serif" w:hAnsi="Times New Roman;Times;serif"/>
          <w:sz w:val="22"/>
        </w:rPr>
        <w:t>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Subsidiary thereof (as to which the provisions of this Section shall apply).</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2.14</w:t>
      </w:r>
      <w:bookmarkStart w:id="1954" w:name="_Toc107702252"/>
      <w:bookmarkStart w:id="1955" w:name="_Toc236686865"/>
      <w:bookmarkEnd w:id="1954"/>
      <w:bookmarkEnd w:id="1955"/>
      <w:r>
        <w:rPr>
          <w:rFonts w:ascii="Times New Roman;Times;serif" w:hAnsi="Times New Roman;Times;serif"/>
          <w:b/>
          <w:sz w:val="22"/>
        </w:rPr>
        <w:t>[Reserved]</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2.15</w:t>
      </w:r>
      <w:bookmarkStart w:id="1956" w:name="_Toc236686866"/>
      <w:bookmarkEnd w:id="1956"/>
      <w:r>
        <w:rPr>
          <w:rFonts w:ascii="Times New Roman;Times;serif" w:hAnsi="Times New Roman;Times;serif"/>
          <w:b/>
          <w:sz w:val="22"/>
        </w:rPr>
        <w:t>[Reserved]</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2.16</w:t>
      </w:r>
      <w:bookmarkStart w:id="1957" w:name="_Toc236686867"/>
      <w:bookmarkEnd w:id="1957"/>
      <w:r>
        <w:rPr>
          <w:rFonts w:ascii="Times New Roman;Times;serif" w:hAnsi="Times New Roman;Times;serif"/>
          <w:b/>
          <w:sz w:val="22"/>
        </w:rPr>
        <w:t>[Reserved]</w:t>
      </w:r>
      <w:r>
        <w:rPr>
          <w:rFonts w:ascii="Times New Roman;Times;serif" w:hAnsi="Times New Roman;Times;serif"/>
          <w:sz w:val="22"/>
        </w:rPr>
        <w: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2.17</w:t>
      </w:r>
      <w:bookmarkStart w:id="1958" w:name="_Toc107702255"/>
      <w:bookmarkStart w:id="1959" w:name="_Toc236686868"/>
      <w:bookmarkStart w:id="1960" w:name="_Toc184647604"/>
      <w:bookmarkStart w:id="1961" w:name="_Toc184646676"/>
      <w:bookmarkStart w:id="1962" w:name="_Toc184645737"/>
      <w:bookmarkStart w:id="1963" w:name="_Toc184644931"/>
      <w:bookmarkStart w:id="1964" w:name="_Toc184644127"/>
      <w:bookmarkStart w:id="1965" w:name="_Toc184643323"/>
      <w:bookmarkStart w:id="1966" w:name="_Toc184642891"/>
      <w:bookmarkEnd w:id="1958"/>
      <w:bookmarkEnd w:id="1959"/>
      <w:bookmarkEnd w:id="1960"/>
      <w:bookmarkEnd w:id="1961"/>
      <w:bookmarkEnd w:id="1962"/>
      <w:bookmarkEnd w:id="1963"/>
      <w:bookmarkEnd w:id="1964"/>
      <w:bookmarkEnd w:id="1965"/>
      <w:bookmarkEnd w:id="1966"/>
      <w:r>
        <w:rPr>
          <w:rFonts w:ascii="Times New Roman;Times;serif" w:hAnsi="Times New Roman;Times;serif"/>
          <w:b/>
          <w:sz w:val="22"/>
        </w:rPr>
        <w:t>Defaulting Lenders.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Adjustments</w:t>
      </w:r>
      <w:r>
        <w:rPr>
          <w:rFonts w:ascii="Times New Roman;Times;serif" w:hAnsi="Times New Roman;Times;serif"/>
          <w:sz w:val="22"/>
        </w:rPr>
        <w:t xml:space="preserve">.  Notwithstanding anything to the contrary contained in this Agreement, if any Lender becomes a Defaulting Lender, then, until such time as that Lender is no longer a Defaulting Lender or is replaced pursuant to </w:t>
      </w:r>
      <w:r>
        <w:rPr>
          <w:rFonts w:ascii="Times New Roman;Times;serif" w:hAnsi="Times New Roman;Times;serif"/>
          <w:sz w:val="22"/>
          <w:u w:val="single"/>
        </w:rPr>
        <w:t>Section 10.13</w:t>
      </w:r>
      <w:r>
        <w:rPr>
          <w:rFonts w:ascii="Times New Roman;Times;serif" w:hAnsi="Times New Roman;Times;serif"/>
          <w:sz w:val="22"/>
        </w:rPr>
        <w:t>, to the extent permitted by applicable Law:</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w:t>
      </w:r>
      <w:r>
        <w:rPr>
          <w:rFonts w:ascii="Times New Roman;Times;serif" w:hAnsi="Times New Roman;Times;serif"/>
          <w:sz w:val="22"/>
          <w:u w:val="single"/>
        </w:rPr>
        <w:t>Waivers and Amendments</w:t>
      </w:r>
      <w:r>
        <w:rPr>
          <w:rFonts w:ascii="Times New Roman;Times;serif" w:hAnsi="Times New Roman;Times;serif"/>
          <w:sz w:val="22"/>
        </w:rPr>
        <w:t xml:space="preserve">.  That Defaulting Lender’s right to approve or disapprove any amendment, waiver or consent with respect to this Agreement shall be restricted as set forth in </w:t>
      </w:r>
      <w:r>
        <w:rPr>
          <w:rFonts w:ascii="Times New Roman;Times;serif" w:hAnsi="Times New Roman;Times;serif"/>
          <w:sz w:val="22"/>
          <w:u w:val="single"/>
        </w:rPr>
        <w:t>Section 10.01</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(ii)</w:t>
      </w:r>
      <w:r>
        <w:rPr>
          <w:rFonts w:ascii="Times New Roman;Times;serif" w:hAnsi="Times New Roman;Times;serif"/>
          <w:sz w:val="22"/>
          <w:u w:val="single"/>
        </w:rPr>
        <w:t>Reallocation of Payments</w:t>
      </w:r>
      <w:r>
        <w:rPr>
          <w:rFonts w:ascii="Times New Roman;Times;serif" w:hAnsi="Times New Roman;Times;serif"/>
          <w:sz w:val="22"/>
        </w:rPr>
        <w:t xml:space="preserve">.  Any payment of principal, interest, fees or other amounts received by the Administrative Agent for the account of that Defaulting Lender (whether voluntary or mandatory, at maturity, pursuant to </w:t>
      </w:r>
      <w:r>
        <w:rPr>
          <w:rFonts w:ascii="Times New Roman;Times;serif" w:hAnsi="Times New Roman;Times;serif"/>
          <w:sz w:val="22"/>
          <w:u w:val="single"/>
        </w:rPr>
        <w:t>Article VIII</w:t>
      </w:r>
      <w:r>
        <w:rPr>
          <w:rFonts w:ascii="Times New Roman;Times;serif" w:hAnsi="Times New Roman;Times;serif"/>
          <w:sz w:val="24"/>
        </w:rPr>
        <w:t xml:space="preserve"> </w:t>
      </w:r>
      <w:r>
        <w:rPr>
          <w:rFonts w:ascii="Times New Roman;Times;serif" w:hAnsi="Times New Roman;Times;serif"/>
          <w:sz w:val="22"/>
        </w:rPr>
        <w:t xml:space="preserve">or otherwise, and including any amounts made available to the Administrative Agent by that Defaulting Lender pursuant to </w:t>
      </w:r>
      <w:r>
        <w:rPr>
          <w:rFonts w:ascii="Times New Roman;Times;serif" w:hAnsi="Times New Roman;Times;serif"/>
          <w:sz w:val="22"/>
          <w:u w:val="single"/>
        </w:rPr>
        <w:t>Section 10.08</w:t>
      </w:r>
      <w:r>
        <w:rPr>
          <w:rFonts w:ascii="Times New Roman;Times;serif" w:hAnsi="Times New Roman;Times;serif"/>
          <w:sz w:val="22"/>
        </w:rPr>
        <w:t xml:space="preserve">), shall be applied at such time or times as may be determined by the Administrative Agent as follows: </w:t>
      </w:r>
      <w:r>
        <w:rPr>
          <w:rFonts w:ascii="Times New Roman;Times;serif" w:hAnsi="Times New Roman;Times;serif"/>
          <w:i/>
          <w:sz w:val="22"/>
        </w:rPr>
        <w:t>first</w:t>
      </w:r>
      <w:r>
        <w:rPr>
          <w:rFonts w:ascii="Times New Roman;Times;serif" w:hAnsi="Times New Roman;Times;serif"/>
          <w:sz w:val="22"/>
        </w:rPr>
        <w:t xml:space="preserve">, to the payment of any amounts owing by that Defaulting Lender to the Administrative Agent hereunder; </w:t>
      </w:r>
      <w:r>
        <w:rPr>
          <w:rFonts w:ascii="Times New Roman;Times;serif" w:hAnsi="Times New Roman;Times;serif"/>
          <w:i/>
          <w:sz w:val="22"/>
        </w:rPr>
        <w:t>second</w:t>
      </w:r>
      <w:r>
        <w:rPr>
          <w:rFonts w:ascii="Times New Roman;Times;serif" w:hAnsi="Times New Roman;Times;serif"/>
          <w:sz w:val="22"/>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Times;serif" w:hAnsi="Times New Roman;Times;serif"/>
          <w:i/>
          <w:sz w:val="22"/>
        </w:rPr>
        <w:t>third</w:t>
      </w:r>
      <w:r>
        <w:rPr>
          <w:rFonts w:ascii="Times New Roman;Times;serif" w:hAnsi="Times New Roman;Times;serif"/>
          <w:sz w:val="22"/>
        </w:rPr>
        <w:t xml:space="preserve">, if so determined by the Administrative Agent and the Borrower, to be held in a non-interest bearing deposit account and released pro rata in order to satisfy obligations of that Defaulting Lender to fund Loans under this Agreement; </w:t>
      </w:r>
      <w:r>
        <w:rPr>
          <w:rFonts w:ascii="Times New Roman;Times;serif" w:hAnsi="Times New Roman;Times;serif"/>
          <w:i/>
          <w:sz w:val="22"/>
        </w:rPr>
        <w:t>fourth</w:t>
      </w:r>
      <w:r>
        <w:rPr>
          <w:rFonts w:ascii="Times New Roman;Times;serif" w:hAnsi="Times New Roman;Times;serif"/>
          <w:sz w:val="22"/>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Times;serif" w:hAnsi="Times New Roman;Times;serif"/>
          <w:i/>
          <w:sz w:val="22"/>
        </w:rPr>
        <w:t>fifth</w:t>
      </w:r>
      <w:r>
        <w:rPr>
          <w:rFonts w:ascii="Times New Roman;Times;serif" w:hAnsi="Times New Roman;Times;serif"/>
          <w:sz w:val="22"/>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Times;serif" w:hAnsi="Times New Roman;Times;serif"/>
          <w:i/>
          <w:sz w:val="22"/>
        </w:rPr>
        <w:t>sixth</w:t>
      </w:r>
      <w:r>
        <w:rPr>
          <w:rFonts w:ascii="Times New Roman;Times;serif" w:hAnsi="Times New Roman;Times;serif"/>
          <w:sz w:val="22"/>
        </w:rPr>
        <w:t xml:space="preserve">, to that Defaulting Lender or as otherwise directed by a court of competent jurisdiction;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if (x) such payment is a payment of the principal amount of any Loans in respect of which that Defaulting Lender has not fully funded its appropriate share and (y) such Loans were made at a time when the conditions set forth in </w:t>
      </w:r>
      <w:r>
        <w:rPr>
          <w:rFonts w:ascii="Times New Roman;Times;serif" w:hAnsi="Times New Roman;Times;serif"/>
          <w:sz w:val="22"/>
          <w:u w:val="single"/>
        </w:rPr>
        <w:t>Section 4.01</w:t>
      </w:r>
      <w:r>
        <w:rPr>
          <w:rFonts w:ascii="Times New Roman;Times;serif" w:hAnsi="Times New Roman;Times;serif"/>
          <w:sz w:val="24"/>
        </w:rPr>
        <w:t xml:space="preserve"> </w:t>
      </w:r>
      <w:r>
        <w:rPr>
          <w:rFonts w:ascii="Times New Roman;Times;serif" w:hAnsi="Times New Roman;Times;serif"/>
          <w:sz w:val="22"/>
        </w:rPr>
        <w:t>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that Defaulting Lender, and each Lender irrevocably consents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Defaulting Lender Cure</w:t>
      </w:r>
      <w:r>
        <w:rPr>
          <w:rFonts w:ascii="Times New Roman;Times;serif" w:hAnsi="Times New Roman;Times;serif"/>
          <w:sz w:val="22"/>
        </w:rPr>
        <w:t>.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III.</w:t>
      </w:r>
      <w:bookmarkStart w:id="1967" w:name="_Toc236686869"/>
      <w:bookmarkStart w:id="1968" w:name="_Toc235705416"/>
      <w:bookmarkStart w:id="1969" w:name="_Toc207211152"/>
      <w:bookmarkStart w:id="1970" w:name="_Toc197360507"/>
      <w:bookmarkStart w:id="1971" w:name="_Toc197360156"/>
      <w:bookmarkStart w:id="1972" w:name="_Toc187311251"/>
      <w:bookmarkStart w:id="1973" w:name="_Toc184648391"/>
      <w:bookmarkStart w:id="1974" w:name="_Toc184648260"/>
      <w:bookmarkStart w:id="1975" w:name="_Toc184648129"/>
      <w:bookmarkStart w:id="1976" w:name="_Toc184647998"/>
      <w:bookmarkStart w:id="1977" w:name="_Toc184647867"/>
      <w:bookmarkStart w:id="1978" w:name="_Toc184647605"/>
      <w:bookmarkStart w:id="1979" w:name="_Toc184647472"/>
      <w:bookmarkStart w:id="1980" w:name="_Toc184647340"/>
      <w:bookmarkStart w:id="1981" w:name="_Toc184647208"/>
      <w:bookmarkStart w:id="1982" w:name="_Toc184647076"/>
      <w:bookmarkStart w:id="1983" w:name="_Toc184646944"/>
      <w:bookmarkStart w:id="1984" w:name="_Toc184646677"/>
      <w:bookmarkStart w:id="1985" w:name="_Toc184646543"/>
      <w:bookmarkStart w:id="1986" w:name="_Toc184646409"/>
      <w:bookmarkStart w:id="1987" w:name="_Toc184646275"/>
      <w:bookmarkStart w:id="1988" w:name="_Toc184646141"/>
      <w:bookmarkStart w:id="1989" w:name="_Toc184646007"/>
      <w:bookmarkStart w:id="1990" w:name="_Toc184645738"/>
      <w:bookmarkStart w:id="1991" w:name="_Toc184645604"/>
      <w:bookmarkStart w:id="1992" w:name="_Toc184645470"/>
      <w:bookmarkStart w:id="1993" w:name="_Toc184645336"/>
      <w:bookmarkStart w:id="1994" w:name="_Toc184645202"/>
      <w:bookmarkStart w:id="1995" w:name="_Toc184644932"/>
      <w:bookmarkStart w:id="1996" w:name="_Toc184644798"/>
      <w:bookmarkStart w:id="1997" w:name="_Toc184644664"/>
      <w:bookmarkStart w:id="1998" w:name="_Toc184644530"/>
      <w:bookmarkStart w:id="1999" w:name="_Toc184644396"/>
      <w:bookmarkStart w:id="2000" w:name="_Toc10770225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r>
        <w:rPr>
          <w:rFonts w:ascii="Times New Roman;Times;serif" w:hAnsi="Times New Roman;Times;serif"/>
          <w:b/>
          <w:caps/>
          <w:sz w:val="24"/>
        </w:rPr>
        <w:t>​</w:t>
      </w:r>
      <w:r>
        <w:rPr>
          <w:rFonts w:ascii="Times New Roman;Times;serif" w:hAnsi="Times New Roman;Times;serif"/>
          <w:b/>
          <w:caps/>
          <w:sz w:val="22"/>
        </w:rPr>
        <w:br/>
      </w:r>
      <w:bookmarkStart w:id="2001" w:name="_Toc184644128"/>
      <w:bookmarkStart w:id="2002" w:name="_Toc184643994"/>
      <w:bookmarkStart w:id="2003" w:name="_Toc184643860"/>
      <w:bookmarkStart w:id="2004" w:name="_Toc184643726"/>
      <w:bookmarkStart w:id="2005" w:name="_Toc184643592"/>
      <w:bookmarkStart w:id="2006" w:name="_Toc184643324"/>
      <w:bookmarkStart w:id="2007" w:name="_Toc184643018"/>
      <w:bookmarkStart w:id="2008" w:name="_Toc184642892"/>
      <w:bookmarkEnd w:id="2001"/>
      <w:bookmarkEnd w:id="2002"/>
      <w:bookmarkEnd w:id="2003"/>
      <w:bookmarkEnd w:id="2004"/>
      <w:bookmarkEnd w:id="2005"/>
      <w:bookmarkEnd w:id="2006"/>
      <w:bookmarkEnd w:id="2007"/>
      <w:bookmarkEnd w:id="2008"/>
      <w:r>
        <w:rPr>
          <w:rFonts w:ascii="Times New Roman;Times;serif" w:hAnsi="Times New Roman;Times;serif"/>
          <w:b/>
          <w:caps/>
          <w:sz w:val="22"/>
        </w:rPr>
        <w:t>TAXES, YIELD PROTECTION AND ILLEGALITY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3.01</w:t>
      </w:r>
      <w:bookmarkStart w:id="2009" w:name="_Toc107702257"/>
      <w:bookmarkStart w:id="2010" w:name="_Toc236686870"/>
      <w:bookmarkStart w:id="2011" w:name="_Toc184647606"/>
      <w:bookmarkStart w:id="2012" w:name="_Toc184646678"/>
      <w:bookmarkStart w:id="2013" w:name="_Toc184645739"/>
      <w:bookmarkStart w:id="2014" w:name="_Toc184644933"/>
      <w:bookmarkStart w:id="2015" w:name="_Toc184644129"/>
      <w:bookmarkStart w:id="2016" w:name="_Toc184643325"/>
      <w:bookmarkStart w:id="2017" w:name="_Toc184642893"/>
      <w:bookmarkEnd w:id="2009"/>
      <w:bookmarkEnd w:id="2010"/>
      <w:bookmarkEnd w:id="2011"/>
      <w:bookmarkEnd w:id="2012"/>
      <w:bookmarkEnd w:id="2013"/>
      <w:bookmarkEnd w:id="2014"/>
      <w:bookmarkEnd w:id="2015"/>
      <w:bookmarkEnd w:id="2016"/>
      <w:bookmarkEnd w:id="2017"/>
      <w:r>
        <w:rPr>
          <w:rFonts w:ascii="Times New Roman;Times;serif" w:hAnsi="Times New Roman;Times;serif"/>
          <w:b/>
          <w:sz w:val="22"/>
        </w:rPr>
        <w:t>Taxes.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Payments Free of Taxes; Obligation to Withhold; Payments on Account of Taxes</w:t>
      </w:r>
      <w:r>
        <w:rPr>
          <w:rFonts w:ascii="Times New Roman;Times;serif" w:hAnsi="Times New Roman;Times;serif"/>
          <w:sz w:val="22"/>
        </w:rPr>
        <w: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Times New Roman;Times;serif" w:hAnsi="Times New Roman;Times;serif"/>
          <w:sz w:val="22"/>
          <w:u w:val="single"/>
        </w:rPr>
        <w:t>subsection (e)</w:t>
      </w:r>
      <w:r>
        <w:rPr>
          <w:rFonts w:ascii="Times New Roman;Times;serif" w:hAnsi="Times New Roman;Times;serif"/>
          <w:sz w:val="24"/>
        </w:rPr>
        <w:t xml:space="preserve"> </w:t>
      </w:r>
      <w:r>
        <w:rPr>
          <w:rFonts w:ascii="Times New Roman;Times;serif" w:hAnsi="Times New Roman;Times;serif"/>
          <w:sz w:val="22"/>
        </w:rPr>
        <w:t>below.</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(ii)If the Borrower or the Administrative Agent shall be required by the Code to withhold or deduct any Taxes, including United States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Times;serif" w:hAnsi="Times New Roman;Times;serif"/>
          <w:sz w:val="22"/>
          <w:u w:val="single"/>
        </w:rPr>
        <w:t>subsection (e)</w:t>
      </w:r>
      <w:r>
        <w:rPr>
          <w:rFonts w:ascii="Times New Roman;Times;serif" w:hAnsi="Times New Roman;Times;serif"/>
          <w:sz w:val="24"/>
        </w:rPr>
        <w:t xml:space="preserve"> </w:t>
      </w:r>
      <w:r>
        <w:rPr>
          <w:rFonts w:ascii="Times New Roman;Times;serif" w:hAnsi="Times New Roman;Times;serif"/>
          <w:sz w:val="22"/>
        </w:rPr>
        <w:t xml:space="preserve">below, (B) the Administrative Agent shall timely pay the full amount withheld or deducted to the relevant Governmental Authority in accordance with the Code, and (C) to the extent such withholding or deduction is made on account of Indemnified Taxes, the sum payable by the Borrower shall be increased as necessary so that after such required withholding or the making of such required deductions (including deductions applicable to additional sums payable under this </w:t>
      </w:r>
      <w:r>
        <w:rPr>
          <w:rFonts w:ascii="Times New Roman;Times;serif" w:hAnsi="Times New Roman;Times;serif"/>
          <w:sz w:val="22"/>
          <w:u w:val="single"/>
        </w:rPr>
        <w:t>Section 3.01(a)(ii)</w:t>
      </w:r>
      <w:r>
        <w:rPr>
          <w:rFonts w:ascii="Times New Roman;Times;serif" w:hAnsi="Times New Roman;Times;serif"/>
          <w:sz w:val="22"/>
        </w:rPr>
        <w:t xml:space="preserve">) the applicable Recipient receives an amount equal to the sum it would have received had no such withholding or deduction been made.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(iii)If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Times;serif" w:hAnsi="Times New Roman;Times;serif"/>
          <w:sz w:val="22"/>
          <w:u w:val="single"/>
        </w:rPr>
        <w:t>subsection (e)</w:t>
      </w:r>
      <w:r>
        <w:rPr>
          <w:rFonts w:ascii="Times New Roman;Times;serif" w:hAnsi="Times New Roman;Times;serif"/>
          <w:sz w:val="24"/>
        </w:rPr>
        <w:t xml:space="preserve"> </w:t>
      </w:r>
      <w:r>
        <w:rPr>
          <w:rFonts w:ascii="Times New Roman;Times;serif" w:hAnsi="Times New Roman;Times;serif"/>
          <w:sz w:val="22"/>
        </w:rPr>
        <w:t>below, (B) the Borrower or the Administrative Agent, to the extent required by such Laws, shall timely pay the full amount so withheld or deducted to the relevant Governmental Authority in accordance with such Laws, and (C) to the extent that such withholding or deduction is made on account of Indemnified Taxes, the sum payable by the Borrower shall be increased as necessary so that after such required withholding or the making of such required deductions (including deductions applicable to additional sums payable under this Section 3.01(a)(iii)) the applicable Recipient receives an amount equal to the sum it would have received had no such withholding or deduction been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Payment of Other Taxes by the Borrower</w:t>
      </w:r>
      <w:r>
        <w:rPr>
          <w:rFonts w:ascii="Times New Roman;Times;serif" w:hAnsi="Times New Roman;Times;serif"/>
          <w:sz w:val="22"/>
        </w:rPr>
        <w:t xml:space="preserve">.  Without limiting the provisions of </w:t>
      </w:r>
      <w:r>
        <w:rPr>
          <w:rFonts w:ascii="Times New Roman;Times;serif" w:hAnsi="Times New Roman;Times;serif"/>
          <w:sz w:val="22"/>
          <w:u w:val="single"/>
        </w:rPr>
        <w:t>subsection (a)</w:t>
      </w:r>
      <w:r>
        <w:rPr>
          <w:rFonts w:ascii="Times New Roman;Times;serif" w:hAnsi="Times New Roman;Times;serif"/>
          <w:sz w:val="24"/>
        </w:rPr>
        <w:t xml:space="preserve"> </w:t>
      </w:r>
      <w:r>
        <w:rPr>
          <w:rFonts w:ascii="Times New Roman;Times;serif" w:hAnsi="Times New Roman;Times;serif"/>
          <w:sz w:val="22"/>
        </w:rPr>
        <w:t>above, the Borrower shall timely pay to the relevant Governmental Authority in accordance with applicable law, or at the option of the Administrative Agent timely reimburse it for the payment of, any Other Taxes.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Tax Indemnifications</w:t>
      </w:r>
      <w:r>
        <w:rPr>
          <w:rFonts w:ascii="Times New Roman;Times;serif" w:hAnsi="Times New Roman;Times;serif"/>
          <w:sz w:val="22"/>
        </w:rPr>
        <w: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(i)Without limiting the provisions of </w:t>
      </w:r>
      <w:r>
        <w:rPr>
          <w:rFonts w:ascii="Times New Roman;Times;serif" w:hAnsi="Times New Roman;Times;serif"/>
          <w:sz w:val="22"/>
          <w:u w:val="single"/>
        </w:rPr>
        <w:t>subsection (a)</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 xml:space="preserve">above, 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Times;serif" w:hAnsi="Times New Roman;Times;serif"/>
          <w:sz w:val="22"/>
          <w:u w:val="single"/>
        </w:rPr>
        <w:t>Section 3.01</w:t>
      </w:r>
      <w:r>
        <w:rPr>
          <w:rFonts w:ascii="Times New Roman;Times;serif" w:hAnsi="Times New Roman;Times;serif"/>
          <w:sz w:val="22"/>
        </w:rPr>
        <w:t xml:space="preserve">) payable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or paid by such Recipient or required to be withheld or deducted from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10 days after the Borrower’s receipt of such certificate, showing the amount of the payment requested, for any amount which a Lender for any reason fails to pay indefeasibly to the Administrative Agent as required pursuant to </w:t>
      </w:r>
      <w:r>
        <w:rPr>
          <w:rFonts w:ascii="Times New Roman;Times;serif" w:hAnsi="Times New Roman;Times;serif"/>
          <w:sz w:val="22"/>
          <w:u w:val="single"/>
        </w:rPr>
        <w:t>Section 3.01(c)(ii)</w:t>
      </w:r>
      <w:r>
        <w:rPr>
          <w:rFonts w:ascii="Times New Roman;Times;serif" w:hAnsi="Times New Roman;Times;serif"/>
          <w:sz w:val="24"/>
        </w:rPr>
        <w:t xml:space="preserve"> </w:t>
      </w:r>
      <w:r>
        <w:rPr>
          <w:rFonts w:ascii="Times New Roman;Times;serif" w:hAnsi="Times New Roman;Times;serif"/>
          <w:sz w:val="22"/>
        </w:rPr>
        <w:t>below.</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(ii)Each Lender shall, and does hereby, severally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Times New Roman;Times;serif" w:hAnsi="Times New Roman;Times;serif"/>
          <w:sz w:val="22"/>
          <w:u w:val="single"/>
        </w:rPr>
        <w:t>Section 10.06(e)</w:t>
      </w:r>
      <w:r>
        <w:rPr>
          <w:rFonts w:ascii="Times New Roman;Times;serif" w:hAnsi="Times New Roman;Times;serif"/>
          <w:sz w:val="24"/>
        </w:rPr>
        <w:t xml:space="preserve"> </w:t>
      </w:r>
      <w:r>
        <w:rPr>
          <w:rFonts w:ascii="Times New Roman;Times;serif" w:hAnsi="Times New Roman;Times;serif"/>
          <w:sz w:val="22"/>
        </w:rPr>
        <w:t xml:space="preserve">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as the case may be, under this Agreement or any other Loan Document against any amount due to the Administrative Agent under this </w:t>
      </w:r>
      <w:r>
        <w:rPr>
          <w:rFonts w:ascii="Times New Roman;Times;serif" w:hAnsi="Times New Roman;Times;serif"/>
          <w:sz w:val="22"/>
          <w:u w:val="single"/>
        </w:rPr>
        <w:t>clause (ii)</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(iii)Each Lender, and does hereby, severally indemnify, and shall make payment in respect thereof within 10 days after demand therefor, the Borrower for any loss incurred by the Borrower as a result of the Borrower being required to make a payment to the Administrative Agent pursuant to the last sentence of </w:t>
      </w:r>
      <w:r>
        <w:rPr>
          <w:rFonts w:ascii="Times New Roman;Times;serif" w:hAnsi="Times New Roman;Times;serif"/>
          <w:sz w:val="22"/>
          <w:u w:val="single"/>
        </w:rPr>
        <w:t>Section 3.01(c)(i)</w:t>
      </w:r>
      <w:r>
        <w:rPr>
          <w:rFonts w:ascii="Times New Roman;Times;serif" w:hAnsi="Times New Roman;Times;serif"/>
          <w:sz w:val="24"/>
        </w:rPr>
        <w:t xml:space="preserve"> </w:t>
      </w:r>
      <w:r>
        <w:rPr>
          <w:rFonts w:ascii="Times New Roman;Times;serif" w:hAnsi="Times New Roman;Times;serif"/>
          <w:sz w:val="22"/>
        </w:rPr>
        <w:t>with respect to such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Evidence of Payments</w:t>
      </w:r>
      <w:r>
        <w:rPr>
          <w:rFonts w:ascii="Times New Roman;Times;serif" w:hAnsi="Times New Roman;Times;serif"/>
          <w:sz w:val="22"/>
        </w:rPr>
        <w:t xml:space="preserve">.  Upon request by the Borrower or the Administrative Agent, as the case may be, after any payment of Taxes by the Borrower or by the Administrative Agent to a Governmental Authority as provided in this </w:t>
      </w:r>
      <w:r>
        <w:rPr>
          <w:rFonts w:ascii="Times New Roman;Times;serif" w:hAnsi="Times New Roman;Times;serif"/>
          <w:sz w:val="22"/>
          <w:u w:val="single"/>
        </w:rPr>
        <w:t>Section 3.01</w:t>
      </w:r>
      <w:r>
        <w:rPr>
          <w:rFonts w:ascii="Times New Roman;Times;serif" w:hAnsi="Times New Roman;Times;serif"/>
          <w:sz w:val="22"/>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Status of Lenders; Tax Documentation</w:t>
      </w:r>
      <w:r>
        <w:rPr>
          <w:rFonts w:ascii="Times New Roman;Times;serif" w:hAnsi="Times New Roman;Times;serif"/>
          <w:sz w:val="22"/>
        </w:rPr>
        <w:t xml:space="preserv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shall deliver such other documentation prescribed by applicable law or the taxing authority of a jurisdiction pursuant to such applicable law or reasonably requested by the Borrower or the Administrative Agent as will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Times;serif" w:hAnsi="Times New Roman;Times;serif"/>
          <w:sz w:val="22"/>
          <w:u w:val="single"/>
        </w:rPr>
        <w:t>Section 3.01(e)(ii)(A)</w:t>
      </w:r>
      <w:r>
        <w:rPr>
          <w:rFonts w:ascii="Times New Roman;Times;serif" w:hAnsi="Times New Roman;Times;serif"/>
          <w:sz w:val="22"/>
        </w:rPr>
        <w:t xml:space="preserve">, </w:t>
      </w:r>
      <w:r>
        <w:rPr>
          <w:rFonts w:ascii="Times New Roman;Times;serif" w:hAnsi="Times New Roman;Times;serif"/>
          <w:sz w:val="22"/>
          <w:u w:val="single"/>
        </w:rPr>
        <w:t>(ii)(B)</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(ii)(D)</w:t>
      </w:r>
      <w:r>
        <w:rPr>
          <w:rFonts w:ascii="Times New Roman;Times;serif" w:hAnsi="Times New Roman;Times;serif"/>
          <w:sz w:val="24"/>
        </w:rPr>
        <w:t xml:space="preserve"> </w:t>
      </w:r>
      <w:r>
        <w:rPr>
          <w:rFonts w:ascii="Times New Roman;Times;serif" w:hAnsi="Times New Roman;Times;serif"/>
          <w:sz w:val="22"/>
        </w:rPr>
        <w:t xml:space="preserve">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(ii)</w:t>
      </w:r>
      <w:r>
        <w:rPr>
          <w:rFonts w:ascii="Times New Roman;Times;serif" w:hAnsi="Times New Roman;Times;serif"/>
          <w:sz w:val="24"/>
        </w:rPr>
        <w:t xml:space="preserve"> </w:t>
      </w:r>
      <w:r>
        <w:rPr>
          <w:rFonts w:ascii="Times New Roman;Times;serif" w:hAnsi="Times New Roman;Times;serif"/>
          <w:sz w:val="22"/>
        </w:rPr>
        <w:t xml:space="preserve">Without limiting the generality of the foregoing, in the event that the Borrower is a U.S. Person, </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2"/>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2"/>
        </w:rPr>
        <w:t xml:space="preserve">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0" w:after="240"/>
        <w:ind w:left="2166" w:right="0" w:firstLine="741"/>
        <w:jc w:val="both"/>
        <w:rPr>
          <w:rFonts w:ascii="Times New Roman;Times;serif" w:hAnsi="Times New Roman;Times;serif"/>
          <w:sz w:val="22"/>
        </w:rPr>
      </w:pPr>
      <w:r>
        <w:rPr>
          <w:rFonts w:ascii="Times New Roman;Times;serif" w:hAnsi="Times New Roman;Times;serif"/>
          <w:sz w:val="22"/>
        </w:rPr>
        <w:t>(I)in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(II)executed copies of IRS Form W-8ECI;</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 xml:space="preserve">(III)in the case of a Foreign Lender claiming the benefits of the exemption for portfolio interest under Section 881(c) of the Code, (x) a certificate substantially in the form of </w:t>
      </w:r>
      <w:r>
        <w:rPr>
          <w:rFonts w:ascii="Times New Roman;Times;serif" w:hAnsi="Times New Roman;Times;serif"/>
          <w:sz w:val="22"/>
          <w:u w:val="single"/>
        </w:rPr>
        <w:t>Exhibit G-1</w:t>
      </w:r>
      <w:r>
        <w:rPr>
          <w:rFonts w:ascii="Times New Roman;Times;serif" w:hAnsi="Times New Roman;Times;serif"/>
          <w:sz w:val="22"/>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W-8BEN-E (or W-8BEN, as applicable); or</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 xml:space="preserve">(IV) to the extent a Foreign Lender is not the beneficial owner, executed copies of IRS Form W-8IMY, accompanied by IRS Form W-8ECI, IRS Form W-8BEN-E (or W-8BEN, as applicable), a U.S. Tax Compliance Certificate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 xml:space="preserve">substantially in the form of </w:t>
      </w:r>
      <w:r>
        <w:rPr>
          <w:rFonts w:ascii="Times New Roman;Times;serif" w:hAnsi="Times New Roman;Times;serif"/>
          <w:sz w:val="22"/>
          <w:u w:val="single"/>
        </w:rPr>
        <w:t>Exhibit G-2</w:t>
      </w:r>
      <w:r>
        <w:rPr>
          <w:rFonts w:ascii="Times New Roman;Times;serif" w:hAnsi="Times New Roman;Times;serif"/>
          <w:sz w:val="22"/>
        </w:rPr>
        <w:t xml:space="preserve"> or </w:t>
      </w:r>
      <w:r>
        <w:rPr>
          <w:rFonts w:ascii="Times New Roman;Times;serif" w:hAnsi="Times New Roman;Times;serif"/>
          <w:sz w:val="22"/>
          <w:u w:val="single"/>
        </w:rPr>
        <w:t>Exhibit G-3</w:t>
      </w:r>
      <w:r>
        <w:rPr>
          <w:rFonts w:ascii="Times New Roman;Times;serif" w:hAnsi="Times New Roman;Times;serif"/>
          <w:sz w:val="22"/>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2"/>
          <w:u w:val="single"/>
        </w:rPr>
        <w:t>Exhibit G-4</w:t>
      </w:r>
      <w:r>
        <w:rPr>
          <w:rFonts w:ascii="Times New Roman;Times;serif" w:hAnsi="Times New Roman;Times;serif"/>
          <w:sz w:val="22"/>
        </w:rPr>
        <w:t xml:space="preserve"> on behalf of each such direct and indirect partner;</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2"/>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sz w:val="22"/>
          <w:u w:val="single"/>
        </w:rPr>
        <w:t>clause (D)</w:t>
      </w:r>
      <w:r>
        <w:rPr>
          <w:rFonts w:ascii="Times New Roman;Times;serif" w:hAnsi="Times New Roman;Times;serif"/>
          <w:sz w:val="22"/>
        </w:rPr>
        <w:t>, “FATCA” shall include any amendments made to FATCA after the date of this Agreement.</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 xml:space="preserve">(iii) Each Lender shall promptly (A)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 </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Borrower  shall, to the extent it is legally entitled to do so, promptly deliver to the Administrative Agent or any Lender, as the Administrative Agent or such Lender shall reasonably request, on or prior to the Closing Date, and in a timely fashion thereafter, such documents and forms as are reasonably available to the Borrower and are required by any relevant taxing authorities under the Laws of any jurisdiction, duly executed and completed by the Borrower, as are required to be furnished by such Lender or the Administrative Agent under such Laws in connection with any payment by the Administrative Agent or any Lender of Taxes, or otherwise in connection with the Loan Documents, with respect to such jurisdiction.</w:t>
      </w:r>
    </w:p>
    <w:p>
      <w:pPr>
        <w:pStyle w:val="TextBody"/>
        <w:bidi w:val="0"/>
        <w:spacing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(v) </w:t>
      </w:r>
      <w:r>
        <w:rPr>
          <w:rFonts w:ascii="Times New Roman;Times;serif" w:hAnsi="Times New Roman;Times;serif"/>
          <w:sz w:val="22"/>
        </w:rPr>
        <w:t xml:space="preserve">Each Lender agrees that if any form or certification it previously delivered pursuant to this </w:t>
      </w:r>
      <w:r>
        <w:rPr>
          <w:rFonts w:ascii="Times New Roman;Times;serif" w:hAnsi="Times New Roman;Times;serif"/>
          <w:sz w:val="22"/>
          <w:u w:val="single"/>
        </w:rPr>
        <w:t>Section 3.01</w:t>
      </w:r>
      <w:r>
        <w:rPr>
          <w:rFonts w:ascii="Times New Roman;Times;serif" w:hAnsi="Times New Roman;Times;serif"/>
          <w:sz w:val="22"/>
        </w:rPr>
        <w:t xml:space="preserve"> expires or becomes obsolete or inaccurate in any respect, it shall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update such form or certification or promptly notify the Borrower and the Administrative Agent in writing of its legal inability to do so.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Treatment of Certain Refunds</w:t>
      </w:r>
      <w:r>
        <w:rPr>
          <w:rFonts w:ascii="Times New Roman;Times;serif" w:hAnsi="Times New Roman;Times;serif"/>
          <w:sz w:val="22"/>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that it has received a refund of any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3.01 with respect to the Taxes giving rise to such refund), net of all out-of-pocket expenses (including Taxes) incurred by such Recipient and net of any loss or gain realized in the conversion of such funds from or to another currency incurred by the Recipient, and without interest (other than any interest paid by the relevant Governmental Authority with respect to such refund),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the Borrower, upon the request of the Recipient shall repay the amount paid over to the Borrower (</w:t>
      </w:r>
      <w:r>
        <w:rPr>
          <w:rFonts w:ascii="Times New Roman;Times;serif" w:hAnsi="Times New Roman;Times;serif"/>
          <w:sz w:val="22"/>
          <w:u w:val="single"/>
        </w:rPr>
        <w:t>plus</w:t>
      </w:r>
      <w:r>
        <w:rPr>
          <w:rFonts w:ascii="Times New Roman;Times;serif" w:hAnsi="Times New Roman;Times;serif"/>
          <w:sz w:val="24"/>
        </w:rPr>
        <w:t xml:space="preserve"> </w:t>
      </w:r>
      <w:r>
        <w:rPr>
          <w:rFonts w:ascii="Times New Roman;Times;serif" w:hAnsi="Times New Roman;Times;serif"/>
          <w:sz w:val="22"/>
        </w:rPr>
        <w:t>any penalties, interest or other charges imposed by the relevant Governmental Authority) to the Recipient in the event the Recipient is required to repay such refund to such Governmental Authority.  Notwithstanding anything to the contrary in this subsection, in no event will the Recipient be required to pay any amount to the Borrower pursuant to this subsection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2"/>
          <w:u w:val="single"/>
        </w:rPr>
        <w:t>Survival</w:t>
      </w:r>
      <w:r>
        <w:rPr>
          <w:rFonts w:ascii="Times New Roman;Times;serif" w:hAnsi="Times New Roman;Times;serif"/>
          <w:sz w:val="22"/>
        </w:rPr>
        <w:t xml:space="preserve">.  Each party’s obligations under this </w:t>
      </w:r>
      <w:r>
        <w:rPr>
          <w:rFonts w:ascii="Times New Roman;Times;serif" w:hAnsi="Times New Roman;Times;serif"/>
          <w:sz w:val="22"/>
          <w:u w:val="single"/>
        </w:rPr>
        <w:t>Section 3.01</w:t>
      </w:r>
      <w:r>
        <w:rPr>
          <w:rFonts w:ascii="Times New Roman;Times;serif" w:hAnsi="Times New Roman;Times;serif"/>
          <w:sz w:val="24"/>
        </w:rPr>
        <w:t xml:space="preserve"> </w:t>
      </w:r>
      <w:r>
        <w:rPr>
          <w:rFonts w:ascii="Times New Roman;Times;serif" w:hAnsi="Times New Roman;Times;serif"/>
          <w:sz w:val="22"/>
        </w:rPr>
        <w:t>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3.02</w:t>
      </w:r>
      <w:bookmarkStart w:id="2018" w:name="_Toc107702258"/>
      <w:bookmarkStart w:id="2019" w:name="_Toc236686871"/>
      <w:bookmarkStart w:id="2020" w:name="_Toc184647607"/>
      <w:bookmarkStart w:id="2021" w:name="_Toc184646679"/>
      <w:bookmarkStart w:id="2022" w:name="_Toc184645740"/>
      <w:bookmarkStart w:id="2023" w:name="_Toc184644934"/>
      <w:bookmarkStart w:id="2024" w:name="_Toc184644130"/>
      <w:bookmarkStart w:id="2025" w:name="_Toc184643326"/>
      <w:bookmarkStart w:id="2026" w:name="_Toc184642894"/>
      <w:bookmarkEnd w:id="2018"/>
      <w:bookmarkEnd w:id="2019"/>
      <w:bookmarkEnd w:id="2020"/>
      <w:bookmarkEnd w:id="2021"/>
      <w:bookmarkEnd w:id="2022"/>
      <w:bookmarkEnd w:id="2023"/>
      <w:bookmarkEnd w:id="2024"/>
      <w:bookmarkEnd w:id="2025"/>
      <w:bookmarkEnd w:id="2026"/>
      <w:r>
        <w:rPr>
          <w:rFonts w:ascii="Times New Roman;Times;serif" w:hAnsi="Times New Roman;Times;serif"/>
          <w:b/>
          <w:sz w:val="22"/>
        </w:rPr>
        <w:t>Illegality</w:t>
      </w:r>
      <w:r>
        <w:rPr>
          <w:rFonts w:ascii="Times New Roman;Times;serif" w:hAnsi="Times New Roman;Times;serif"/>
          <w:sz w:val="22"/>
        </w:rPr>
        <w:t xml:space="preserve">.  If any Lender determines that any Law has made it unlawful, or that any Governmental Authority has asserted that it is unlawful, for any Lender or its applicable Lending Office to make, maintain or fund Loans whose interest is determined by reference to Term SOFR, or to determine or charge interest rates based upon Term SOFR, or any Governmental Authority has imposed material restrictions on the authority of such Lender to purchase or sell, or to take deposits of, Dollars in the applicable interbank market, then, on notice thereof by such Lender to the Borrower through the Administrative Agent, (i) any obligation of such Lender to make or maintain Term SOFR Loans or to convert Base Rate Loans to Term SOFR Loans, shall, in each case,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convert all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Term SOFR, the Administrative Agent shall during the period of such suspension compute the Base Rate applicable to such Lender without reference to the Term SOFR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together with any additional amounts required pursuant to </w:t>
      </w:r>
      <w:r>
        <w:rPr>
          <w:rFonts w:ascii="Times New Roman;Times;serif" w:hAnsi="Times New Roman;Times;serif"/>
          <w:sz w:val="22"/>
          <w:u w:val="single"/>
        </w:rPr>
        <w:t>Section 3.05</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3.03</w:t>
      </w:r>
      <w:bookmarkStart w:id="2027" w:name="_Toc107702259"/>
      <w:bookmarkStart w:id="2028" w:name="_Toc236686872"/>
      <w:bookmarkStart w:id="2029" w:name="_Toc184647608"/>
      <w:bookmarkStart w:id="2030" w:name="_Toc184646680"/>
      <w:bookmarkStart w:id="2031" w:name="_Toc184645741"/>
      <w:bookmarkStart w:id="2032" w:name="_Toc184644935"/>
      <w:bookmarkStart w:id="2033" w:name="_Toc184644131"/>
      <w:bookmarkStart w:id="2034" w:name="_Toc184643327"/>
      <w:bookmarkStart w:id="2035" w:name="_Toc184642895"/>
      <w:bookmarkEnd w:id="2027"/>
      <w:bookmarkEnd w:id="2028"/>
      <w:bookmarkEnd w:id="2029"/>
      <w:bookmarkEnd w:id="2030"/>
      <w:bookmarkEnd w:id="2031"/>
      <w:bookmarkEnd w:id="2032"/>
      <w:bookmarkEnd w:id="2033"/>
      <w:bookmarkEnd w:id="2034"/>
      <w:bookmarkEnd w:id="2035"/>
      <w:r>
        <w:rPr>
          <w:rFonts w:ascii="Times New Roman;Times;serif" w:hAnsi="Times New Roman;Times;serif"/>
          <w:b/>
          <w:sz w:val="22"/>
        </w:rPr>
        <w:t>Inability to Determine Rates</w:t>
      </w:r>
      <w:r>
        <w:rPr>
          <w:rFonts w:ascii="Times New Roman;Times;serif" w:hAnsi="Times New Roman;Times;serif"/>
          <w:sz w:val="22"/>
        </w:rPr>
        <w:t xml:space="preserve">.  (a)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for Term SOFR has been determined in accordance with </w:t>
      </w:r>
      <w:r>
        <w:rPr>
          <w:rFonts w:ascii="Times New Roman;Times;serif" w:hAnsi="Times New Roman;Times;serif"/>
          <w:sz w:val="22"/>
          <w:u w:val="single"/>
        </w:rPr>
        <w:t>Section 3.03(b)</w:t>
      </w:r>
      <w:r>
        <w:rPr>
          <w:rFonts w:ascii="Times New Roman;Times;serif" w:hAnsi="Times New Roman;Times;serif"/>
          <w:sz w:val="24"/>
        </w:rPr>
        <w:t xml:space="preserve"> </w:t>
      </w:r>
      <w:r>
        <w:rPr>
          <w:rFonts w:ascii="Times New Roman;Times;serif" w:hAnsi="Times New Roman;Times;serif"/>
          <w:sz w:val="22"/>
        </w:rPr>
        <w:t xml:space="preserve">and the circumstances under </w:t>
      </w:r>
      <w:r>
        <w:rPr>
          <w:rFonts w:ascii="Times New Roman;Times;serif" w:hAnsi="Times New Roman;Times;serif"/>
          <w:sz w:val="22"/>
          <w:u w:val="single"/>
        </w:rPr>
        <w:t>clause (i)</w:t>
      </w:r>
      <w:r>
        <w:rPr>
          <w:rFonts w:ascii="Times New Roman;Times;serif" w:hAnsi="Times New Roman;Times;serif"/>
          <w:sz w:val="24"/>
        </w:rPr>
        <w:t xml:space="preserve"> </w:t>
      </w:r>
      <w:r>
        <w:rPr>
          <w:rFonts w:ascii="Times New Roman;Times;serif" w:hAnsi="Times New Roman;Times;serif"/>
          <w:sz w:val="22"/>
        </w:rPr>
        <w:t xml:space="preserve">of </w:t>
      </w:r>
      <w:r>
        <w:rPr>
          <w:rFonts w:ascii="Times New Roman;Times;serif" w:hAnsi="Times New Roman;Times;serif"/>
          <w:sz w:val="22"/>
          <w:u w:val="single"/>
        </w:rPr>
        <w:t>Section 3.03(b)</w:t>
      </w:r>
      <w:r>
        <w:rPr>
          <w:rFonts w:ascii="Times New Roman;Times;serif" w:hAnsi="Times New Roman;Times;serif"/>
          <w:sz w:val="24"/>
        </w:rPr>
        <w:t xml:space="preserve"> </w:t>
      </w:r>
      <w:r>
        <w:rPr>
          <w:rFonts w:ascii="Times New Roman;Times;serif" w:hAnsi="Times New Roman;Times;serif"/>
          <w:sz w:val="22"/>
        </w:rPr>
        <w:t>or the Scheduled Unavailability Date has occurred with respect to Term SOFR (as applicable), or (B) adequate and reasonable means do not otherwise exist for determining Term SOFR for any determination date(s) or requested Interest Period, as applicable, with respect to a proposed Term SOFR Loan or in connection with an existing or proposed Base Rate Loan, or (ii) the Administrative Agent or the Required Lenders determine that for any reason that Term SOFR with respect to a proposed Loan for any requested Interest Period or determination date(s) does not adequately and fairly reflect the cost to such Lenders of funding such Loan, the Administrative Agent will promptly so notify the Borrower and each Lender.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Thereafter, (x) the obligation of the Lenders to make or maintain Loans in the affected currencies, as applicable, or to convert Base Rate Loans to Term SOFR Loans, shall be suspended in each case to the extent of the affected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Times;serif" w:hAnsi="Times New Roman;Times;serif"/>
          <w:sz w:val="22"/>
          <w:u w:val="single"/>
        </w:rPr>
        <w:t>clause (ii)</w:t>
      </w:r>
      <w:r>
        <w:rPr>
          <w:rFonts w:ascii="Times New Roman;Times;serif" w:hAnsi="Times New Roman;Times;serif"/>
          <w:sz w:val="22"/>
        </w:rPr>
        <w:t xml:space="preserve"> of this </w:t>
      </w:r>
      <w:r>
        <w:rPr>
          <w:rFonts w:ascii="Times New Roman;Times;serif" w:hAnsi="Times New Roman;Times;serif"/>
          <w:sz w:val="22"/>
          <w:u w:val="single"/>
        </w:rPr>
        <w:t>Section 3.03(a)</w:t>
      </w:r>
      <w:r>
        <w:rPr>
          <w:rFonts w:ascii="Times New Roman;Times;serif" w:hAnsi="Times New Roman;Times;serif"/>
          <w:sz w:val="22"/>
        </w:rPr>
        <w:t>, until the Administrative Agent upon instruction of the Required Lenders) revokes such notice.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Upon receipt of such notice, (i) the Borrower may revoke any pending request for a Borrowing of, or conversion to Term SOFR Loans, or continuation of Term SOFR Loans to the extent of the affected Term SOFR Loans or Interest Period or determination date(s), as applicable or, failing that, will be deemed to have converted such request into a request for a Borrowing of Base Rate Loans, and (ii) any outstanding Term SOFR Loans shall be deemed to have been converted to Base Rate Loans immediately.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Replacement of Term SOFR or Successor Rate</w:t>
      </w:r>
      <w:r>
        <w:rPr>
          <w:rFonts w:ascii="Times New Roman;Times;serif" w:hAnsi="Times New Roman;Times;serif"/>
          <w:sz w:val="22"/>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before="0" w:after="240"/>
        <w:ind w:left="1150" w:right="0" w:hanging="0"/>
        <w:jc w:val="both"/>
        <w:rPr>
          <w:rFonts w:ascii="Times New Roman;Times;serif" w:hAnsi="Times New Roman;Times;serif"/>
          <w:sz w:val="22"/>
        </w:rPr>
      </w:pPr>
      <w:r>
        <w:rPr>
          <w:rFonts w:ascii="Times New Roman;Times;serif" w:hAnsi="Times New Roman;Times;serif"/>
          <w:sz w:val="22"/>
        </w:rPr>
        <w:t>(i)adequate and reasonable means do not exist for ascertaining each of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240"/>
        <w:ind w:left="1150" w:right="0" w:hanging="0"/>
        <w:jc w:val="both"/>
        <w:rPr>
          <w:rFonts w:ascii="Times New Roman;Times;serif" w:hAnsi="Times New Roman;Times;serif"/>
          <w:sz w:val="24"/>
        </w:rPr>
      </w:pPr>
      <w:r>
        <w:rPr>
          <w:rFonts w:ascii="Times New Roman;Times;serif" w:hAnsi="Times New Roman;Times;serif"/>
          <w:sz w:val="22"/>
        </w:rPr>
        <w:t xml:space="preserve">(ii)CME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each of one month, three month and six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Times;serif" w:hAnsi="Times New Roman;Times;serif"/>
          <w:sz w:val="22"/>
          <w:u w:val="single"/>
        </w:rPr>
        <w:t>provided</w:t>
      </w:r>
      <w:r>
        <w:rPr>
          <w:rFonts w:ascii="Times New Roman;Times;serif" w:hAnsi="Times New Roman;Times;serif"/>
          <w:sz w:val="24"/>
        </w:rPr>
        <w:t xml:space="preserv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1150" w:right="0" w:hanging="0"/>
        <w:jc w:val="both"/>
        <w:rPr>
          <w:rFonts w:ascii="Times New Roman;Times;serif" w:hAnsi="Times New Roman;Times;serif"/>
          <w:sz w:val="24"/>
        </w:rPr>
      </w:pPr>
      <w:r>
        <w:rPr>
          <w:rFonts w:ascii="Times New Roman;Times;serif" w:hAnsi="Times New Roman;Times;serif"/>
          <w:sz w:val="22"/>
        </w:rPr>
        <w:t>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Times;serif" w:hAnsi="Times New Roman;Times;serif"/>
          <w:sz w:val="22"/>
          <w:u w:val="single"/>
        </w:rPr>
        <w:t>Scheduled Unavailability Date</w:t>
      </w:r>
      <w:r>
        <w:rPr>
          <w:rFonts w:ascii="Times New Roman;Times;serif" w:hAnsi="Times New Roman;Times;serif"/>
          <w:sz w:val="24"/>
        </w:rPr>
        <w:t>”</w:t>
      </w:r>
      <w:r>
        <w:rPr>
          <w:rFonts w:ascii="Times New Roman;Times;serif" w:hAnsi="Times New Roman;Times;serif"/>
          <w:sz w:val="22"/>
        </w:rPr>
        <w:t xml:space="preserve">).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then, on a date and time determined by the Administrative Agent (any such date, the “</w:t>
      </w:r>
      <w:r>
        <w:rPr>
          <w:rFonts w:ascii="Times New Roman;Times;serif" w:hAnsi="Times New Roman;Times;serif"/>
          <w:sz w:val="22"/>
          <w:u w:val="single"/>
        </w:rPr>
        <w:t>Term SOFR Replacement Date</w:t>
      </w:r>
      <w:r>
        <w:rPr>
          <w:rFonts w:ascii="Times New Roman;Times;serif" w:hAnsi="Times New Roman;Times;serif"/>
          <w:sz w:val="22"/>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Times;serif" w:hAnsi="Times New Roman;Times;serif"/>
          <w:sz w:val="22"/>
          <w:u w:val="single"/>
        </w:rPr>
        <w:t>Successor Rate</w:t>
      </w:r>
      <w:r>
        <w:rPr>
          <w:rFonts w:ascii="Times New Roman;Times;serif" w:hAnsi="Times New Roman;Times;serif"/>
          <w:sz w:val="22"/>
        </w:rPr>
        <w:t>”).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If the Successor Rate is Daily Simple SOFR, all interest payments will be payable on the last Business Day of each month.</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Times;serif" w:hAnsi="Times New Roman;Times;serif"/>
          <w:sz w:val="22"/>
          <w:u w:val="single"/>
        </w:rPr>
        <w:t>Section 3.03(b)(i)</w:t>
      </w:r>
      <w:r>
        <w:rPr>
          <w:rFonts w:ascii="Times New Roman;Times;serif" w:hAnsi="Times New Roman;Times;serif"/>
          <w:sz w:val="22"/>
        </w:rPr>
        <w:t xml:space="preserve"> or </w:t>
      </w:r>
      <w:r>
        <w:rPr>
          <w:rFonts w:ascii="Times New Roman;Times;serif" w:hAnsi="Times New Roman;Times;serif"/>
          <w:sz w:val="22"/>
          <w:u w:val="single"/>
        </w:rPr>
        <w:t>(ii)</w:t>
      </w:r>
      <w:r>
        <w:rPr>
          <w:rFonts w:ascii="Times New Roman;Times;serif" w:hAnsi="Times New Roman;Times;serif"/>
          <w:sz w:val="22"/>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Times;serif" w:hAnsi="Times New Roman;Times;serif"/>
          <w:sz w:val="22"/>
          <w:u w:val="single"/>
        </w:rPr>
        <w:t>Section 3.03</w:t>
      </w:r>
      <w:r>
        <w:rPr>
          <w:rFonts w:ascii="Times New Roman;Times;serif" w:hAnsi="Times New Roman;Times;serif"/>
          <w:sz w:val="22"/>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Successor Rate</w:t>
      </w:r>
      <w:r>
        <w:rPr>
          <w:rFonts w:ascii="Times New Roman;Times;serif" w:hAnsi="Times New Roman;Times;serif"/>
          <w:sz w:val="22"/>
        </w:rPr>
        <w:t>.  The Administrative Agent will promptly (in one or more notices) notify the Borrower and each Lender of the implementation of any Successor Rate.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Any Successor Rate shall be applied in a manner consistent with market practice; </w:t>
      </w:r>
      <w:r>
        <w:rPr>
          <w:rFonts w:ascii="Times New Roman;Times;serif" w:hAnsi="Times New Roman;Times;serif"/>
          <w:sz w:val="22"/>
          <w:u w:val="single"/>
        </w:rPr>
        <w:t>provided</w:t>
      </w:r>
      <w:r>
        <w:rPr>
          <w:rFonts w:ascii="Times New Roman;Times;serif" w:hAnsi="Times New Roman;Times;serif"/>
          <w:sz w:val="22"/>
        </w:rPr>
        <w:t xml:space="preserve">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In connection with the implementation of a Successor Rate, the Administrative Agent will have the right to make Conforming Changes from time to time and, notwithstanding anything to the contrary herein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or in any other Loan Document, any amendments implementing such Conforming Changes will become effective without any further action or consent of any other party to this Agreement; </w:t>
      </w:r>
      <w:r>
        <w:rPr>
          <w:rFonts w:ascii="Times New Roman;Times;serif" w:hAnsi="Times New Roman;Times;serif"/>
          <w:sz w:val="22"/>
          <w:u w:val="single"/>
        </w:rPr>
        <w:t>provided</w:t>
      </w:r>
      <w:r>
        <w:rPr>
          <w:rFonts w:ascii="Times New Roman;Times;serif" w:hAnsi="Times New Roman;Times;serif"/>
          <w:sz w:val="22"/>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(e)For purposes of this </w:t>
      </w:r>
      <w:r>
        <w:rPr>
          <w:rFonts w:ascii="Times New Roman;Times;serif" w:hAnsi="Times New Roman;Times;serif"/>
          <w:sz w:val="22"/>
          <w:u w:val="single"/>
        </w:rPr>
        <w:t>Section 3.03</w:t>
      </w:r>
      <w:r>
        <w:rPr>
          <w:rFonts w:ascii="Times New Roman;Times;serif" w:hAnsi="Times New Roman;Times;serif"/>
          <w:sz w:val="22"/>
        </w:rPr>
        <w:t>, those Lenders that either have not made, or do not have an obligation under this Agreement to make, the relevant Loans in Dollars shall be excluded from any determination of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3.04</w:t>
      </w:r>
      <w:bookmarkStart w:id="2036" w:name="_Toc107702260"/>
      <w:bookmarkStart w:id="2037" w:name="_Toc236686873"/>
      <w:bookmarkStart w:id="2038" w:name="_Toc184647609"/>
      <w:bookmarkStart w:id="2039" w:name="_Toc184646681"/>
      <w:bookmarkStart w:id="2040" w:name="_Toc184645742"/>
      <w:bookmarkStart w:id="2041" w:name="_Toc184644936"/>
      <w:bookmarkStart w:id="2042" w:name="_Toc184644132"/>
      <w:bookmarkStart w:id="2043" w:name="_Toc184643328"/>
      <w:bookmarkStart w:id="2044" w:name="_Toc184642896"/>
      <w:bookmarkEnd w:id="2036"/>
      <w:bookmarkEnd w:id="2037"/>
      <w:bookmarkEnd w:id="2038"/>
      <w:bookmarkEnd w:id="2039"/>
      <w:bookmarkEnd w:id="2040"/>
      <w:bookmarkEnd w:id="2041"/>
      <w:bookmarkEnd w:id="2042"/>
      <w:bookmarkEnd w:id="2043"/>
      <w:bookmarkEnd w:id="2044"/>
      <w:r>
        <w:rPr>
          <w:rFonts w:ascii="Times New Roman;Times;serif" w:hAnsi="Times New Roman;Times;serif"/>
          <w:b/>
          <w:sz w:val="22"/>
        </w:rPr>
        <w:t>Increased Costs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Increased Costs Generally</w:t>
      </w:r>
      <w:r>
        <w:rPr>
          <w:rFonts w:ascii="Times New Roman;Times;serif" w:hAnsi="Times New Roman;Times;serif"/>
          <w:sz w:val="22"/>
        </w:rPr>
        <w:t>.  If any Change in Law shall:</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(i)impose, modify or deem applicable any reserve, special deposit, compulsory loan, insurance charge or similar requirement against assets of, deposits with or for the account of, or credit extended or participated in by, any Lender;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(iii)impose on any Lender or any applicable interbank market any other condition, cost or expense affecting this Agreement or Term SOFR Loans made by such Lender or any participation therein;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and the result of any of the foregoing shall be to increase the cost to such Lender of making, converting to, continuing or maintaining any Loan (or of maintaining its obligation to make any such Loan), or to increase the cost to such Lender, or to reduce the amount of any sum received or receivable by such Lender hereunder (whether of principal, interest or any other amount) then, upon request of such Lender, the Borrower will pay to such Lender, as the case may be, such additional amount or amounts as will compensate such Lender, as the case may be, for such additional costs incurred or reduction suffered.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Capital Requirements</w:t>
      </w:r>
      <w:r>
        <w:rPr>
          <w:rFonts w:ascii="Times New Roman;Times;serif" w:hAnsi="Times New Roman;Times;serif"/>
          <w:sz w:val="22"/>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as the case may be, such additional amount or amounts as will compensate such Lender or such Lender’s holding company for any such reduction suffered.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Certificates for Reimbursement</w:t>
      </w:r>
      <w:r>
        <w:rPr>
          <w:rFonts w:ascii="Times New Roman;Times;serif" w:hAnsi="Times New Roman;Times;serif"/>
          <w:sz w:val="22"/>
        </w:rPr>
        <w:t xml:space="preserve">.  A certificate (which shall include calculations in reasonable detail) of a Lender setting forth the amount or amounts necessary to compensate such Lender or its holding company, as the case may be, as specified in </w:t>
      </w:r>
      <w:r>
        <w:rPr>
          <w:rFonts w:ascii="Times New Roman;Times;serif" w:hAnsi="Times New Roman;Times;serif"/>
          <w:sz w:val="22"/>
          <w:u w:val="single"/>
        </w:rPr>
        <w:t>subsection (a)</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of this Section (which notice shall contain an explanation of the computation of the requested compensation) shall be delivered to the Borrower and shall be conclusive absent manifest error.  The Borrower shall pay such Lender, as the case may be, the amount shown as due on any such certificate within 10 Business Days after receipt thereof.</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Delay in Requests</w:t>
      </w:r>
      <w:r>
        <w:rPr>
          <w:rFonts w:ascii="Times New Roman;Times;serif" w:hAnsi="Times New Roman;Times;serif"/>
          <w:sz w:val="22"/>
        </w:rPr>
        <w:t xml:space="preserve">.  Failure or delay on the part of any Lender to demand compensation pursuant to the foregoing provisions of this Section shall not constitute a waiver of such Lender’s right to demand such compensation;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Borrower shall not be required to compensate a Lender pursuant to the foregoing provisions of this Section for any increased costs incurred or reductions suffered more than six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3.05</w:t>
      </w:r>
      <w:bookmarkStart w:id="2045" w:name="_Toc107702261"/>
      <w:bookmarkStart w:id="2046" w:name="_Toc236686874"/>
      <w:bookmarkStart w:id="2047" w:name="_Toc184647610"/>
      <w:bookmarkStart w:id="2048" w:name="_Toc184646682"/>
      <w:bookmarkStart w:id="2049" w:name="_Toc184645743"/>
      <w:bookmarkStart w:id="2050" w:name="_Toc184644937"/>
      <w:bookmarkStart w:id="2051" w:name="_Toc184644133"/>
      <w:bookmarkStart w:id="2052" w:name="_Toc184643329"/>
      <w:bookmarkStart w:id="2053" w:name="_Toc184642897"/>
      <w:bookmarkEnd w:id="2045"/>
      <w:bookmarkEnd w:id="2046"/>
      <w:bookmarkEnd w:id="2047"/>
      <w:bookmarkEnd w:id="2048"/>
      <w:bookmarkEnd w:id="2049"/>
      <w:bookmarkEnd w:id="2050"/>
      <w:bookmarkEnd w:id="2051"/>
      <w:bookmarkEnd w:id="2052"/>
      <w:bookmarkEnd w:id="2053"/>
      <w:r>
        <w:rPr>
          <w:rFonts w:ascii="Times New Roman;Times;serif" w:hAnsi="Times New Roman;Times;serif"/>
          <w:b/>
          <w:sz w:val="22"/>
        </w:rPr>
        <w:t>Compensation for Losses</w:t>
      </w:r>
      <w:r>
        <w:rPr>
          <w:rFonts w:ascii="Times New Roman;Times;serif" w:hAnsi="Times New Roman;Times;serif"/>
          <w:sz w:val="22"/>
        </w:rPr>
        <w:t>.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(a)any continuation, conversion, payment or prepayment of any Loan other than a Base Rate Loan on a day other than the last day of the Interest Period for such Loan (whether voluntary, mandatory, automatic, by reason of acceleration, or otherwise, but excluding any conversion, payment or prepayment to the extent such Lender, pursuant to </w:t>
      </w:r>
      <w:r>
        <w:rPr>
          <w:rFonts w:ascii="Times New Roman;Times;serif" w:hAnsi="Times New Roman;Times;serif"/>
          <w:sz w:val="22"/>
          <w:u w:val="single"/>
        </w:rPr>
        <w:t>Section 3.03</w:t>
      </w:r>
      <w:r>
        <w:rPr>
          <w:rFonts w:ascii="Times New Roman;Times;serif" w:hAnsi="Times New Roman;Times;serif"/>
          <w:sz w:val="22"/>
        </w:rPr>
        <w:t>, has required the Borrower to make such conversion, payment or prepayment before the end of the applicable Interest Period with respect to such Loan);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assignment of a Term SOFR Loan on a day other than the last day of the Interest Period therefor as a result of a request by the Borrower pursuant to </w:t>
      </w:r>
      <w:r>
        <w:rPr>
          <w:rFonts w:ascii="Times New Roman;Times;serif" w:hAnsi="Times New Roman;Times;serif"/>
          <w:sz w:val="22"/>
          <w:u w:val="single"/>
        </w:rPr>
        <w:t>Section 10.13;</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but excluding any loss of anticipated profits.  The Borrower shall also pay any customary administrative fees charged by such Lender in connection with the foregoing.</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3.06</w:t>
      </w:r>
      <w:bookmarkStart w:id="2054" w:name="_Toc107702262"/>
      <w:bookmarkStart w:id="2055" w:name="_Toc236686875"/>
      <w:bookmarkStart w:id="2056" w:name="_Toc184647611"/>
      <w:bookmarkStart w:id="2057" w:name="_Toc184646683"/>
      <w:bookmarkStart w:id="2058" w:name="_Toc184645744"/>
      <w:bookmarkStart w:id="2059" w:name="_Toc184644938"/>
      <w:bookmarkStart w:id="2060" w:name="_Toc184644134"/>
      <w:bookmarkStart w:id="2061" w:name="_Toc184643330"/>
      <w:bookmarkStart w:id="2062" w:name="_Toc184642898"/>
      <w:bookmarkEnd w:id="2054"/>
      <w:bookmarkEnd w:id="2055"/>
      <w:bookmarkEnd w:id="2056"/>
      <w:bookmarkEnd w:id="2057"/>
      <w:bookmarkEnd w:id="2058"/>
      <w:bookmarkEnd w:id="2059"/>
      <w:bookmarkEnd w:id="2060"/>
      <w:bookmarkEnd w:id="2061"/>
      <w:bookmarkEnd w:id="2062"/>
      <w:r>
        <w:rPr>
          <w:rFonts w:ascii="Times New Roman;Times;serif" w:hAnsi="Times New Roman;Times;serif"/>
          <w:b/>
          <w:sz w:val="22"/>
        </w:rPr>
        <w:t>Mitigation Obligations; Replacement of Lenders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Designation of a Different Lending Office</w:t>
      </w:r>
      <w:r>
        <w:rPr>
          <w:rFonts w:ascii="Times New Roman;Times;serif" w:hAnsi="Times New Roman;Times;serif"/>
          <w:sz w:val="22"/>
        </w:rPr>
        <w:t xml:space="preserve">.  Each Lender may make any Credit Extension to the Borrower through any Lending Office,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exercise of this option shall not affect the obligation of the Borrower to repay the Credit Extension in accordance with the terms of this Agreement.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the Borrower is required to pay any Indemnified Taxes or additional amounts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2"/>
        </w:rPr>
        <w:t xml:space="preserve">, or if any Lender gives a notice pursuant to </w:t>
      </w:r>
      <w:r>
        <w:rPr>
          <w:rFonts w:ascii="Times New Roman;Times;serif" w:hAnsi="Times New Roman;Times;serif"/>
          <w:sz w:val="22"/>
          <w:u w:val="single"/>
        </w:rPr>
        <w:t>Section 3.02</w:t>
      </w:r>
      <w:r>
        <w:rPr>
          <w:rFonts w:ascii="Times New Roman;Times;serif" w:hAnsi="Times New Roman;Times;serif"/>
          <w:sz w:val="22"/>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sz w:val="22"/>
          <w:u w:val="single"/>
        </w:rPr>
        <w:t>Section 3.01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2"/>
        </w:rPr>
        <w:t xml:space="preserve">, as the case may be, in the future, or eliminate the need for the notice pursuant to </w:t>
      </w:r>
      <w:r>
        <w:rPr>
          <w:rFonts w:ascii="Times New Roman;Times;serif" w:hAnsi="Times New Roman;Times;serif"/>
          <w:sz w:val="22"/>
          <w:u w:val="single"/>
        </w:rPr>
        <w:t>Section 3.02</w:t>
      </w:r>
      <w:r>
        <w:rPr>
          <w:rFonts w:ascii="Times New Roman;Times;serif" w:hAnsi="Times New Roman;Times;serif"/>
          <w:sz w:val="22"/>
        </w:rPr>
        <w:t>, as applicable, and (ii) in each case, would not subject such Lender, as the case may be, to any unreimbursed cost or expense and would not otherwise be disadvantageous to such Lender, as the case may be.  The Borrower hereby agrees to pay all reasonable costs and expenses incurred by any Lender in connection with any such designation or assignment.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4"/>
        </w:rPr>
        <w:t xml:space="preserve"> </w:t>
      </w:r>
      <w:r>
        <w:rPr>
          <w:rFonts w:ascii="Times New Roman;Times;serif" w:hAnsi="Times New Roman;Times;serif"/>
          <w:sz w:val="22"/>
        </w:rPr>
        <w:t xml:space="preserve">and, in each case, such Lender has declined or is unable to designate a different Lending Office in accordance with </w:t>
      </w:r>
      <w:r>
        <w:rPr>
          <w:rFonts w:ascii="Times New Roman;Times;serif" w:hAnsi="Times New Roman;Times;serif"/>
          <w:sz w:val="22"/>
          <w:u w:val="single"/>
        </w:rPr>
        <w:t>Section 3.06(a)</w:t>
      </w:r>
      <w:r>
        <w:rPr>
          <w:rFonts w:ascii="Times New Roman;Times;serif" w:hAnsi="Times New Roman;Times;serif"/>
          <w:sz w:val="22"/>
        </w:rPr>
        <w:t xml:space="preserve">, the Borrower may replace such Lender in accordance with </w:t>
      </w:r>
      <w:r>
        <w:rPr>
          <w:rFonts w:ascii="Times New Roman;Times;serif" w:hAnsi="Times New Roman;Times;serif"/>
          <w:sz w:val="22"/>
          <w:u w:val="single"/>
        </w:rPr>
        <w:t>Section 10.13</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3.07</w:t>
      </w:r>
      <w:bookmarkStart w:id="2063" w:name="_Toc107702263"/>
      <w:bookmarkStart w:id="2064" w:name="_Toc236686876"/>
      <w:bookmarkStart w:id="2065" w:name="_Toc184647612"/>
      <w:bookmarkStart w:id="2066" w:name="_Toc184646684"/>
      <w:bookmarkStart w:id="2067" w:name="_Toc184645745"/>
      <w:bookmarkStart w:id="2068" w:name="_Toc184644939"/>
      <w:bookmarkStart w:id="2069" w:name="_Toc184644135"/>
      <w:bookmarkStart w:id="2070" w:name="_Toc184643331"/>
      <w:bookmarkStart w:id="2071" w:name="_Toc184642899"/>
      <w:bookmarkEnd w:id="2063"/>
      <w:bookmarkEnd w:id="2064"/>
      <w:bookmarkEnd w:id="2065"/>
      <w:bookmarkEnd w:id="2066"/>
      <w:bookmarkEnd w:id="2067"/>
      <w:bookmarkEnd w:id="2068"/>
      <w:bookmarkEnd w:id="2069"/>
      <w:bookmarkEnd w:id="2070"/>
      <w:bookmarkEnd w:id="2071"/>
      <w:r>
        <w:rPr>
          <w:rFonts w:ascii="Times New Roman;Times;serif" w:hAnsi="Times New Roman;Times;serif"/>
          <w:b/>
          <w:sz w:val="22"/>
        </w:rPr>
        <w:t>Survival</w:t>
      </w:r>
      <w:r>
        <w:rPr>
          <w:rFonts w:ascii="Times New Roman;Times;serif" w:hAnsi="Times New Roman;Times;serif"/>
          <w:sz w:val="22"/>
        </w:rPr>
        <w:t xml:space="preserve">.  All of the Borrower’s obligations under this </w:t>
      </w:r>
      <w:r>
        <w:rPr>
          <w:rFonts w:ascii="Times New Roman;Times;serif" w:hAnsi="Times New Roman;Times;serif"/>
          <w:sz w:val="22"/>
          <w:u w:val="single"/>
        </w:rPr>
        <w:t>Article III</w:t>
      </w:r>
      <w:r>
        <w:rPr>
          <w:rFonts w:ascii="Times New Roman;Times;serif" w:hAnsi="Times New Roman;Times;serif"/>
          <w:sz w:val="24"/>
        </w:rPr>
        <w:t xml:space="preserve"> </w:t>
      </w:r>
      <w:r>
        <w:rPr>
          <w:rFonts w:ascii="Times New Roman;Times;serif" w:hAnsi="Times New Roman;Times;serif"/>
          <w:sz w:val="22"/>
        </w:rPr>
        <w:t>shall survive termination of the Commitments, repayment of all other Obligations hereunder and resignation of the Administrative Agent.</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IV.</w:t>
      </w:r>
      <w:bookmarkStart w:id="2072" w:name="_Toc236686877"/>
      <w:bookmarkStart w:id="2073" w:name="_Toc235705424"/>
      <w:bookmarkStart w:id="2074" w:name="_Toc207211160"/>
      <w:bookmarkStart w:id="2075" w:name="_Toc197360515"/>
      <w:bookmarkStart w:id="2076" w:name="_Toc197360164"/>
      <w:bookmarkStart w:id="2077" w:name="_Toc187311259"/>
      <w:bookmarkStart w:id="2078" w:name="_Toc184648399"/>
      <w:bookmarkStart w:id="2079" w:name="_Toc184648268"/>
      <w:bookmarkStart w:id="2080" w:name="_Toc184648137"/>
      <w:bookmarkStart w:id="2081" w:name="_Toc184648006"/>
      <w:bookmarkStart w:id="2082" w:name="_Toc184647875"/>
      <w:bookmarkStart w:id="2083" w:name="_Toc184647613"/>
      <w:bookmarkStart w:id="2084" w:name="_Toc184647480"/>
      <w:bookmarkStart w:id="2085" w:name="_Toc184647348"/>
      <w:bookmarkStart w:id="2086" w:name="_Toc184647216"/>
      <w:bookmarkStart w:id="2087" w:name="_Toc184647084"/>
      <w:bookmarkStart w:id="2088" w:name="_Toc184646952"/>
      <w:bookmarkStart w:id="2089" w:name="_Toc184646685"/>
      <w:bookmarkStart w:id="2090" w:name="_Toc184646551"/>
      <w:bookmarkStart w:id="2091" w:name="_Toc184646417"/>
      <w:bookmarkStart w:id="2092" w:name="_Toc184646283"/>
      <w:bookmarkStart w:id="2093" w:name="_Toc184646149"/>
      <w:bookmarkStart w:id="2094" w:name="_Toc184646015"/>
      <w:bookmarkStart w:id="2095" w:name="_Toc184645746"/>
      <w:bookmarkStart w:id="2096" w:name="_Toc184645612"/>
      <w:bookmarkStart w:id="2097" w:name="_Toc184645478"/>
      <w:bookmarkStart w:id="2098" w:name="_Toc184645344"/>
      <w:bookmarkStart w:id="2099" w:name="_Toc184645210"/>
      <w:bookmarkStart w:id="2100" w:name="_Toc184644940"/>
      <w:bookmarkStart w:id="2101" w:name="_Toc184644806"/>
      <w:bookmarkStart w:id="2102" w:name="_Toc184644672"/>
      <w:bookmarkStart w:id="2103" w:name="_Toc184644538"/>
      <w:bookmarkStart w:id="2104" w:name="_Toc184644404"/>
      <w:bookmarkStart w:id="2105" w:name="_Toc107702264"/>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r>
        <w:rPr>
          <w:rFonts w:ascii="Times New Roman;Times;serif" w:hAnsi="Times New Roman;Times;serif"/>
          <w:b/>
          <w:caps/>
          <w:sz w:val="24"/>
        </w:rPr>
        <w:t>​</w:t>
      </w:r>
      <w:r>
        <w:rPr>
          <w:rFonts w:ascii="Times New Roman;Times;serif" w:hAnsi="Times New Roman;Times;serif"/>
          <w:b/>
          <w:caps/>
          <w:sz w:val="22"/>
        </w:rPr>
        <w:br/>
      </w:r>
      <w:bookmarkStart w:id="2106" w:name="_Toc184644136"/>
      <w:bookmarkStart w:id="2107" w:name="_Toc184644002"/>
      <w:bookmarkStart w:id="2108" w:name="_Toc184643868"/>
      <w:bookmarkStart w:id="2109" w:name="_Toc184643734"/>
      <w:bookmarkStart w:id="2110" w:name="_Toc184643600"/>
      <w:bookmarkStart w:id="2111" w:name="_Toc184643332"/>
      <w:bookmarkStart w:id="2112" w:name="_Toc184643019"/>
      <w:bookmarkStart w:id="2113" w:name="_Toc184642900"/>
      <w:bookmarkEnd w:id="2106"/>
      <w:bookmarkEnd w:id="2107"/>
      <w:bookmarkEnd w:id="2108"/>
      <w:bookmarkEnd w:id="2109"/>
      <w:bookmarkEnd w:id="2110"/>
      <w:bookmarkEnd w:id="2111"/>
      <w:bookmarkEnd w:id="2112"/>
      <w:bookmarkEnd w:id="2113"/>
      <w:r>
        <w:rPr>
          <w:rFonts w:ascii="Times New Roman;Times;serif" w:hAnsi="Times New Roman;Times;serif"/>
          <w:b/>
          <w:caps/>
          <w:sz w:val="22"/>
        </w:rPr>
        <w:t>CONDITIONS PRECEDENT TO EFFECTIVENESS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4.01</w:t>
      </w:r>
      <w:bookmarkStart w:id="2114" w:name="_Toc107702265"/>
      <w:bookmarkStart w:id="2115" w:name="_Toc236686878"/>
      <w:bookmarkStart w:id="2116" w:name="_Toc196802118"/>
      <w:bookmarkStart w:id="2117" w:name="_Toc184647614"/>
      <w:bookmarkStart w:id="2118" w:name="_Toc184646686"/>
      <w:bookmarkStart w:id="2119" w:name="_Toc184645747"/>
      <w:bookmarkStart w:id="2120" w:name="_Toc184644941"/>
      <w:bookmarkStart w:id="2121" w:name="_Toc184644137"/>
      <w:bookmarkStart w:id="2122" w:name="_Toc184643333"/>
      <w:bookmarkStart w:id="2123" w:name="_Toc184642901"/>
      <w:bookmarkEnd w:id="2114"/>
      <w:bookmarkEnd w:id="2115"/>
      <w:bookmarkEnd w:id="2116"/>
      <w:bookmarkEnd w:id="2117"/>
      <w:bookmarkEnd w:id="2118"/>
      <w:bookmarkEnd w:id="2119"/>
      <w:bookmarkEnd w:id="2120"/>
      <w:bookmarkEnd w:id="2121"/>
      <w:bookmarkEnd w:id="2122"/>
      <w:bookmarkEnd w:id="2123"/>
      <w:r>
        <w:rPr>
          <w:rFonts w:ascii="Times New Roman;Times;serif" w:hAnsi="Times New Roman;Times;serif"/>
          <w:b/>
          <w:sz w:val="22"/>
        </w:rPr>
        <w:t>Conditions of Effectiveness</w:t>
      </w:r>
      <w:r>
        <w:rPr>
          <w:rFonts w:ascii="Times New Roman;Times;serif" w:hAnsi="Times New Roman;Times;serif"/>
          <w:sz w:val="22"/>
        </w:rPr>
        <w:t>.  </w:t>
      </w:r>
      <w:r>
        <w:rPr>
          <w:rFonts w:ascii="Times New Roman;Times;serif" w:hAnsi="Times New Roman;Times;serif"/>
          <w:sz w:val="24"/>
        </w:rPr>
        <w:t>The effectiveness of this Agreement and the obligation of the Lenders to make the Loans on the Closing Date is subject to the satisfaction of each of the following conditions: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bookmarkStart w:id="2124" w:name="_Toc107702267"/>
      <w:bookmarkStart w:id="2125" w:name="_Toc187311262"/>
      <w:bookmarkStart w:id="2126" w:name="_Toc184648402"/>
      <w:bookmarkStart w:id="2127" w:name="_Toc184648271"/>
      <w:bookmarkStart w:id="2128" w:name="_Toc184648140"/>
      <w:bookmarkStart w:id="2129" w:name="_Toc184648009"/>
      <w:bookmarkStart w:id="2130" w:name="_Toc184647878"/>
      <w:bookmarkStart w:id="2131" w:name="_Toc184647616"/>
      <w:bookmarkStart w:id="2132" w:name="_Toc184647483"/>
      <w:bookmarkStart w:id="2133" w:name="_Toc184647351"/>
      <w:bookmarkStart w:id="2134" w:name="_Toc184647219"/>
      <w:bookmarkStart w:id="2135" w:name="_Toc184647087"/>
      <w:bookmarkStart w:id="2136" w:name="_Toc184646955"/>
      <w:bookmarkStart w:id="2137" w:name="_Toc184646688"/>
      <w:bookmarkStart w:id="2138" w:name="_Toc184646554"/>
      <w:bookmarkStart w:id="2139" w:name="_Toc184646420"/>
      <w:bookmarkStart w:id="2140" w:name="_Toc184646286"/>
      <w:bookmarkStart w:id="2141" w:name="_Toc184646152"/>
      <w:bookmarkStart w:id="2142" w:name="_Toc184646018"/>
      <w:bookmarkStart w:id="2143" w:name="_Toc184645749"/>
      <w:bookmarkStart w:id="2144" w:name="_Toc184645615"/>
      <w:bookmarkStart w:id="2145" w:name="_Toc184645481"/>
      <w:bookmarkStart w:id="2146" w:name="_Toc184645347"/>
      <w:bookmarkStart w:id="2147" w:name="_Toc184645213"/>
      <w:bookmarkStart w:id="2148" w:name="_Toc184644943"/>
      <w:bookmarkStart w:id="2149" w:name="_Toc184644809"/>
      <w:bookmarkStart w:id="2150" w:name="_Toc184644675"/>
      <w:bookmarkStart w:id="2151" w:name="_Toc184644541"/>
      <w:bookmarkStart w:id="2152" w:name="_Toc184644407"/>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r>
        <w:rPr>
          <w:rFonts w:ascii="Times New Roman;Times;serif" w:hAnsi="Times New Roman;Times;serif"/>
          <w:sz w:val="22"/>
        </w:rPr>
        <w:t>The Administrative Agent’s receipt of the following, each of which shall be originals or electronic copies unless otherwise specified, each properly executed by a Responsible Officer of the Borrower, each dated the Closing Date (or, in the case of certificates of governmental officials, a recent date before the Closing Date) and each in form and substance satisfactory to the Administrative Agent and each of the Lenders: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(i)executed counterparts of this Agreement sufficient in number for distribution to the Administrative Agent and the Borrower;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(ii)Notes executed by the Borrower in favor of each Lender requesting Notes;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(iii)such certificates of resolutions or other action, incumbency certificates and/or other certificates of Responsible Officers of the Borrower as the Administrative Agent may require evidencing the identity, authority and capacity of each Responsible Officer thereof authorized to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act as a Responsible Officer in connection with this Agreement and the other Loan Documents to which the Borrower is a party;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(iv)such documents and certifications as the Administrative Agent may reasonably require to evidence that the Borrower is duly organized or formed, and that the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(v)opinions of (A) Covington &amp; Burling LLP, counsel to the Borrower, and (B) the General Counsel and Chief Legal Officer of the Borrower, each addressed to the Administrative Agent and each Lender, in substantially the forms of </w:t>
      </w:r>
      <w:r>
        <w:rPr>
          <w:rFonts w:ascii="Times New Roman;Times;serif" w:hAnsi="Times New Roman;Times;serif"/>
          <w:sz w:val="22"/>
          <w:u w:val="single"/>
        </w:rPr>
        <w:t>Exhibits F-1</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F-2</w:t>
      </w:r>
      <w:r>
        <w:rPr>
          <w:rFonts w:ascii="Times New Roman;Times;serif" w:hAnsi="Times New Roman;Times;serif"/>
          <w:sz w:val="22"/>
        </w:rPr>
        <w:t>, respectively;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(vi)a certificate of a Responsible Officer of the Borrower either (A)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 (B) stating that no such consents, licenses or approvals are so required;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(vii)a certificate signed by a Responsible Officer of the Borrower certifying (A) that the conditions specified in </w:t>
      </w:r>
      <w:r>
        <w:rPr>
          <w:rFonts w:ascii="Times New Roman;Times;serif" w:hAnsi="Times New Roman;Times;serif"/>
          <w:sz w:val="22"/>
          <w:u w:val="single"/>
        </w:rPr>
        <w:t>Sections 4.01(d)</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(e)</w:t>
      </w:r>
      <w:r>
        <w:rPr>
          <w:rFonts w:ascii="Times New Roman;Times;serif" w:hAnsi="Times New Roman;Times;serif"/>
          <w:sz w:val="24"/>
        </w:rPr>
        <w:t xml:space="preserve"> </w:t>
      </w:r>
      <w:r>
        <w:rPr>
          <w:rFonts w:ascii="Times New Roman;Times;serif" w:hAnsi="Times New Roman;Times;serif"/>
          <w:sz w:val="22"/>
        </w:rPr>
        <w:t>have been satisfied, (B) that there has been no event or circumstance since the date of the Audited Financial Statements that has had or could be reasonably expected to have, either individually or in the aggregate, a material adverse change in, or a material adverse effect upon, the operations, business, properties or financial condition of the Borrower and its Subsidiaries taken as a whole, (C)</w:t>
      </w:r>
      <w:r>
        <w:rPr>
          <w:rFonts w:ascii="Times New Roman;Times;serif" w:hAnsi="Times New Roman;Times;serif"/>
          <w:color w:val="FF0000"/>
          <w:sz w:val="24"/>
        </w:rPr>
        <w:t xml:space="preserve"> </w:t>
      </w:r>
      <w:r>
        <w:rPr>
          <w:rFonts w:ascii="Times New Roman;Times;serif" w:hAnsi="Times New Roman;Times;serif"/>
          <w:sz w:val="22"/>
        </w:rPr>
        <w:t>the current Debt Ratings and (D) that there is no action, suit, investigation or proceeding pending or, to the knowledge of the Borrower, threatened in any court or before any arbitrator or Governmental Authority that has had or could be reasonably expected to have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(viii)evidence that all insurance required to be maintained pursuant to the Loan Documents has been obtained and is in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(ix)upon the reasonable request of any Lender made at least 10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days prior to the Closing Date; and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(x)such other assurances, certificates, documents, consents or opinions as the Administrative Agent or the Required Lenders reasonably may require.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(b)Any and all fees and expenses of the Administrative Agent, the Arrangers, the Lenders and their respective Affiliates required to be paid on or before the Closing Date shall have been paid.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(c)The Borrower shall have paid all reasonable and documented fees, expenses and disbursements of McGuireWoods LLP, as counsel to the Administrative Agent to the extent invoiced prior to the Closing Date (provided that the Borrower shall remain liable for any additional reasonable fees and expenses of such counsel to the Administrative Agent in accordance with </w:t>
      </w:r>
      <w:r>
        <w:rPr>
          <w:rFonts w:ascii="Times New Roman;Times;serif" w:hAnsi="Times New Roman;Times;serif"/>
          <w:sz w:val="22"/>
          <w:u w:val="single"/>
        </w:rPr>
        <w:t>Section 10.04</w:t>
      </w:r>
      <w:r>
        <w:rPr>
          <w:rFonts w:ascii="Times New Roman;Times;serif" w:hAnsi="Times New Roman;Times;serif"/>
          <w:sz w:val="22"/>
        </w:rPr>
        <w: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(d)The representations and warranties of (i) the Borrower contained in </w:t>
      </w:r>
      <w:r>
        <w:rPr>
          <w:rFonts w:ascii="Times New Roman;Times;serif" w:hAnsi="Times New Roman;Times;serif"/>
          <w:sz w:val="22"/>
          <w:u w:val="single"/>
        </w:rPr>
        <w:t>Article V</w:t>
      </w:r>
      <w:r>
        <w:rPr>
          <w:rFonts w:ascii="Times New Roman;Times;serif" w:hAnsi="Times New Roman;Times;serif"/>
          <w:sz w:val="24"/>
        </w:rPr>
        <w:t xml:space="preserve"> </w:t>
      </w:r>
      <w:r>
        <w:rPr>
          <w:rFonts w:ascii="Times New Roman;Times;serif" w:hAnsi="Times New Roman;Times;serif"/>
          <w:sz w:val="22"/>
        </w:rPr>
        <w:t xml:space="preserve">and (ii) the Borrower contained in each other Loan Document or in any document furnished at any time under or in connection herewith or therewith, shall be true and correct in all material respects (unless such representation or warranty is already qualified by materiality or Material Adverse Effect, in which case it shall be true and correct in all respects) on and as of the Closing Date, except to the extent that such representations and warranties specifically refer to an earlier date, in which case they shall be true and correct as of such earlier date, and except that for purposes of this </w:t>
      </w:r>
      <w:r>
        <w:rPr>
          <w:rFonts w:ascii="Times New Roman;Times;serif" w:hAnsi="Times New Roman;Times;serif"/>
          <w:sz w:val="22"/>
          <w:u w:val="single"/>
        </w:rPr>
        <w:t>Section 4.01(d)</w:t>
      </w:r>
      <w:r>
        <w:rPr>
          <w:rFonts w:ascii="Times New Roman;Times;serif" w:hAnsi="Times New Roman;Times;serif"/>
          <w:sz w:val="22"/>
        </w:rPr>
        <w:t xml:space="preserve">, the representations and warranties contained in </w:t>
      </w:r>
      <w:r>
        <w:rPr>
          <w:rFonts w:ascii="Times New Roman;Times;serif" w:hAnsi="Times New Roman;Times;serif"/>
          <w:sz w:val="22"/>
          <w:u w:val="single"/>
        </w:rPr>
        <w:t>subsections (a)</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 xml:space="preserve">of </w:t>
      </w:r>
      <w:r>
        <w:rPr>
          <w:rFonts w:ascii="Times New Roman;Times;serif" w:hAnsi="Times New Roman;Times;serif"/>
          <w:sz w:val="22"/>
          <w:u w:val="single"/>
        </w:rPr>
        <w:t>Section 5.05</w:t>
      </w:r>
      <w:r>
        <w:rPr>
          <w:rFonts w:ascii="Times New Roman;Times;serif" w:hAnsi="Times New Roman;Times;serif"/>
          <w:sz w:val="24"/>
        </w:rPr>
        <w:t xml:space="preserve"> </w:t>
      </w:r>
      <w:r>
        <w:rPr>
          <w:rFonts w:ascii="Times New Roman;Times;serif" w:hAnsi="Times New Roman;Times;serif"/>
          <w:sz w:val="22"/>
        </w:rPr>
        <w:t xml:space="preserve">shall be deemed to refer to the most recent statements furnished pursuant to </w:t>
      </w:r>
      <w:r>
        <w:rPr>
          <w:rFonts w:ascii="Times New Roman;Times;serif" w:hAnsi="Times New Roman;Times;serif"/>
          <w:sz w:val="22"/>
          <w:u w:val="single"/>
        </w:rPr>
        <w:t>clauses (a)</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xml:space="preserve">, respectively, of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(e)No Default shall exist, or would result from the Borrowing of the Loans on the Closing Date or the application of the proceeds thereof.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(f)The Administrative Agent shall have received a Request for Credit Extension in accordance with the requirements hereof.</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Without limiting the generality of the provisions of the last paragraph of </w:t>
      </w:r>
      <w:r>
        <w:rPr>
          <w:rFonts w:ascii="Times New Roman;Times;serif" w:hAnsi="Times New Roman;Times;serif"/>
          <w:sz w:val="22"/>
          <w:u w:val="single"/>
        </w:rPr>
        <w:t>Section 9.03</w:t>
      </w:r>
      <w:r>
        <w:rPr>
          <w:rFonts w:ascii="Times New Roman;Times;serif" w:hAnsi="Times New Roman;Times;serif"/>
          <w:sz w:val="22"/>
        </w:rPr>
        <w:t xml:space="preserve">, for purposes of determining compliance with the conditions specified in this </w:t>
      </w:r>
      <w:r>
        <w:rPr>
          <w:rFonts w:ascii="Times New Roman;Times;serif" w:hAnsi="Times New Roman;Times;serif"/>
          <w:sz w:val="22"/>
          <w:u w:val="single"/>
        </w:rPr>
        <w:t>Section 4.01</w:t>
      </w:r>
      <w:r>
        <w:rPr>
          <w:rFonts w:ascii="Times New Roman;Times;serif" w:hAnsi="Times New Roman;Times;serif"/>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w:t>
      </w:r>
      <w:bookmarkStart w:id="2153" w:name="_Toc236686879"/>
      <w:bookmarkStart w:id="2154" w:name="_Toc235705426"/>
      <w:bookmarkStart w:id="2155" w:name="_Toc207211162"/>
      <w:bookmarkStart w:id="2156" w:name="_Toc197360517"/>
      <w:bookmarkStart w:id="2157" w:name="_Toc197360166"/>
      <w:bookmarkEnd w:id="2153"/>
      <w:bookmarkEnd w:id="2154"/>
      <w:bookmarkEnd w:id="2155"/>
      <w:bookmarkEnd w:id="2156"/>
      <w:bookmarkEnd w:id="2157"/>
      <w:r>
        <w:rPr>
          <w:rFonts w:ascii="Times New Roman;Times;serif" w:hAnsi="Times New Roman;Times;serif"/>
          <w:b/>
          <w:caps/>
          <w:sz w:val="24"/>
        </w:rPr>
        <w:t>​</w:t>
      </w:r>
      <w:r>
        <w:rPr>
          <w:rFonts w:ascii="Times New Roman;Times;serif" w:hAnsi="Times New Roman;Times;serif"/>
          <w:b/>
          <w:caps/>
          <w:sz w:val="22"/>
        </w:rPr>
        <w:br/>
      </w:r>
      <w:bookmarkStart w:id="2158" w:name="_Toc184644139"/>
      <w:bookmarkStart w:id="2159" w:name="_Toc184644005"/>
      <w:bookmarkStart w:id="2160" w:name="_Toc184643871"/>
      <w:bookmarkStart w:id="2161" w:name="_Toc184643737"/>
      <w:bookmarkStart w:id="2162" w:name="_Toc184643603"/>
      <w:bookmarkStart w:id="2163" w:name="_Toc184643335"/>
      <w:bookmarkStart w:id="2164" w:name="_Toc184643020"/>
      <w:bookmarkStart w:id="2165" w:name="_Toc184642903"/>
      <w:bookmarkEnd w:id="2158"/>
      <w:bookmarkEnd w:id="2159"/>
      <w:bookmarkEnd w:id="2160"/>
      <w:bookmarkEnd w:id="2161"/>
      <w:bookmarkEnd w:id="2162"/>
      <w:bookmarkEnd w:id="2163"/>
      <w:bookmarkEnd w:id="2164"/>
      <w:bookmarkEnd w:id="2165"/>
      <w:r>
        <w:rPr>
          <w:rFonts w:ascii="Times New Roman;Times;serif" w:hAnsi="Times New Roman;Times;serif"/>
          <w:b/>
          <w:caps/>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 represents and warrants to the Administrative Agent and the Lenders 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5.01</w:t>
      </w:r>
      <w:bookmarkStart w:id="2166" w:name="_Toc107702268"/>
      <w:bookmarkStart w:id="2167" w:name="_Toc236686880"/>
      <w:bookmarkStart w:id="2168" w:name="_Toc184647617"/>
      <w:bookmarkStart w:id="2169" w:name="_Toc184646689"/>
      <w:bookmarkStart w:id="2170" w:name="_Toc184645750"/>
      <w:bookmarkStart w:id="2171" w:name="_Toc184644944"/>
      <w:bookmarkStart w:id="2172" w:name="_Toc184644140"/>
      <w:bookmarkStart w:id="2173" w:name="_Toc184643336"/>
      <w:bookmarkStart w:id="2174" w:name="_Toc184642904"/>
      <w:bookmarkEnd w:id="2166"/>
      <w:bookmarkEnd w:id="2167"/>
      <w:bookmarkEnd w:id="2168"/>
      <w:bookmarkEnd w:id="2169"/>
      <w:bookmarkEnd w:id="2170"/>
      <w:bookmarkEnd w:id="2171"/>
      <w:bookmarkEnd w:id="2172"/>
      <w:bookmarkEnd w:id="2173"/>
      <w:bookmarkEnd w:id="2174"/>
      <w:r>
        <w:rPr>
          <w:rFonts w:ascii="Times New Roman;Times;serif" w:hAnsi="Times New Roman;Times;serif"/>
          <w:b/>
          <w:sz w:val="22"/>
        </w:rPr>
        <w:t>Existence, Qualification and Power; Compliance with Laws</w:t>
      </w:r>
      <w:r>
        <w:rPr>
          <w:rFonts w:ascii="Times New Roman;Times;serif" w:hAnsi="Times New Roman;Times;serif"/>
          <w:sz w:val="22"/>
        </w:rPr>
        <w:t>.  The Borrower and each Subsidiary thereof</w:t>
      </w:r>
      <w:r>
        <w:rPr>
          <w:rFonts w:ascii="Times New Roman;Times;serif" w:hAnsi="Times New Roman;Times;serif"/>
          <w:sz w:val="24"/>
        </w:rPr>
        <w:t xml:space="preserve"> </w:t>
      </w:r>
      <w:r>
        <w:rPr>
          <w:rFonts w:ascii="Times New Roman;Times;serif" w:hAnsi="Times New Roman;Times;serif"/>
          <w:sz w:val="22"/>
        </w:rPr>
        <w:t xml:space="preserve">(a) is duly organized or formed, validly existing and (to the extent the concept of “good standing” exists under such Laws)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(c) is duly qualified and is licensed and (to the extent the concept of “good standing” exists under such Laws) in good standing under the Laws of each jurisdiction where its ownership, lease or operation of properties or the conduct of its business requires such qualification or license, and (d) is in compliance with all Laws; except in each case referred to in </w:t>
      </w:r>
      <w:r>
        <w:rPr>
          <w:rFonts w:ascii="Times New Roman;Times;serif" w:hAnsi="Times New Roman;Times;serif"/>
          <w:sz w:val="22"/>
          <w:u w:val="single"/>
        </w:rPr>
        <w:t>clause (b)(i)</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4"/>
        </w:rPr>
        <w:t xml:space="preserve"> </w:t>
      </w:r>
      <w:r>
        <w:rPr>
          <w:rFonts w:ascii="Times New Roman;Times;serif" w:hAnsi="Times New Roman;Times;serif"/>
          <w:sz w:val="22"/>
        </w:rPr>
        <w:t xml:space="preserve">(or, with respect to any Subsidiary, in each case referred to in </w:t>
      </w:r>
      <w:r>
        <w:rPr>
          <w:rFonts w:ascii="Times New Roman;Times;serif" w:hAnsi="Times New Roman;Times;serif"/>
          <w:sz w:val="22"/>
          <w:u w:val="single"/>
        </w:rPr>
        <w:t>clause (a)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2"/>
        </w:rPr>
        <w:t>), to the extent that failure to do so would not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5.02</w:t>
      </w:r>
      <w:bookmarkStart w:id="2175" w:name="_Toc107702269"/>
      <w:bookmarkStart w:id="2176" w:name="_Toc236686881"/>
      <w:bookmarkStart w:id="2177" w:name="_Toc184647618"/>
      <w:bookmarkStart w:id="2178" w:name="_Toc184646690"/>
      <w:bookmarkStart w:id="2179" w:name="_Toc184645751"/>
      <w:bookmarkStart w:id="2180" w:name="_Toc184644945"/>
      <w:bookmarkStart w:id="2181" w:name="_Toc184644141"/>
      <w:bookmarkStart w:id="2182" w:name="_Toc184643337"/>
      <w:bookmarkStart w:id="2183" w:name="_Toc184642905"/>
      <w:bookmarkEnd w:id="2175"/>
      <w:bookmarkEnd w:id="2176"/>
      <w:bookmarkEnd w:id="2177"/>
      <w:bookmarkEnd w:id="2178"/>
      <w:bookmarkEnd w:id="2179"/>
      <w:bookmarkEnd w:id="2180"/>
      <w:bookmarkEnd w:id="2181"/>
      <w:bookmarkEnd w:id="2182"/>
      <w:bookmarkEnd w:id="2183"/>
      <w:r>
        <w:rPr>
          <w:rFonts w:ascii="Times New Roman;Times;serif" w:hAnsi="Times New Roman;Times;serif"/>
          <w:b/>
          <w:sz w:val="22"/>
        </w:rPr>
        <w:t>Authorization; No Contravention</w:t>
      </w:r>
      <w:r>
        <w:rPr>
          <w:rFonts w:ascii="Times New Roman;Times;serif" w:hAnsi="Times New Roman;Times;serif"/>
          <w:sz w:val="22"/>
        </w:rPr>
        <w:t xml:space="preserve">.  The execution, delivery and performance by the Borrower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to which such Person or the properties of such Person or any of its Subsidiaries is subject or (ii) any order, injunction, writ or decree of any Governmental Authority or any arbitral award to which such Person or its property is subject; or (c) violate any Law in any material respect, except, in the case of immediately preceding </w:t>
      </w:r>
      <w:r>
        <w:rPr>
          <w:rFonts w:ascii="Times New Roman;Times;serif" w:hAnsi="Times New Roman;Times;serif"/>
          <w:sz w:val="22"/>
          <w:u w:val="single"/>
        </w:rPr>
        <w:t>clauses (b)</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(c)</w:t>
      </w:r>
      <w:r>
        <w:rPr>
          <w:rFonts w:ascii="Times New Roman;Times;serif" w:hAnsi="Times New Roman;Times;serif"/>
          <w:sz w:val="22"/>
        </w:rPr>
        <w:t xml:space="preserve">, to the extent that failure to do so would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not reasonably be expected to have a Material Adverse Effect.  The Borrower and each Subsidiary thereof is in compliance with all Contractual Obligations referred to in </w:t>
      </w:r>
      <w:r>
        <w:rPr>
          <w:rFonts w:ascii="Times New Roman;Times;serif" w:hAnsi="Times New Roman;Times;serif"/>
          <w:sz w:val="22"/>
          <w:u w:val="single"/>
        </w:rPr>
        <w:t>clause (b)(i)</w:t>
      </w:r>
      <w:r>
        <w:rPr>
          <w:rFonts w:ascii="Times New Roman;Times;serif" w:hAnsi="Times New Roman;Times;serif"/>
          <w:sz w:val="22"/>
        </w:rPr>
        <w:t>, except to the extent that failure to do so could not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5.03</w:t>
      </w:r>
      <w:bookmarkStart w:id="2184" w:name="_Toc107702270"/>
      <w:bookmarkStart w:id="2185" w:name="_Toc236686882"/>
      <w:bookmarkStart w:id="2186" w:name="_Toc184647619"/>
      <w:bookmarkStart w:id="2187" w:name="_Toc184646691"/>
      <w:bookmarkStart w:id="2188" w:name="_Toc184645752"/>
      <w:bookmarkStart w:id="2189" w:name="_Toc184644946"/>
      <w:bookmarkStart w:id="2190" w:name="_Toc184644142"/>
      <w:bookmarkStart w:id="2191" w:name="_Toc184643338"/>
      <w:bookmarkStart w:id="2192" w:name="_Toc184642906"/>
      <w:bookmarkEnd w:id="2184"/>
      <w:bookmarkEnd w:id="2185"/>
      <w:bookmarkEnd w:id="2186"/>
      <w:bookmarkEnd w:id="2187"/>
      <w:bookmarkEnd w:id="2188"/>
      <w:bookmarkEnd w:id="2189"/>
      <w:bookmarkEnd w:id="2190"/>
      <w:bookmarkEnd w:id="2191"/>
      <w:bookmarkEnd w:id="2192"/>
      <w:r>
        <w:rPr>
          <w:rFonts w:ascii="Times New Roman;Times;serif" w:hAnsi="Times New Roman;Times;serif"/>
          <w:b/>
          <w:sz w:val="22"/>
        </w:rPr>
        <w:t>Governmental Authorization; Other Consents</w:t>
      </w:r>
      <w:r>
        <w:rPr>
          <w:rFonts w:ascii="Times New Roman;Times;serif" w:hAnsi="Times New Roman;Times;serif"/>
          <w:sz w:val="22"/>
        </w:rPr>
        <w:t>.  No approval, consent, exemption, authorization, or other action by, or notice to, or filing with, any Governmental Authority or any other Person is necessary or required in connection with the execution, delivery or performance by, or enforcement against, the Borrower of this Agreement or any other Loan Document, except in the case where such approval, consent, exemption, authorization, notice, filing or other action has previously been completed and is in full force and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5.04</w:t>
      </w:r>
      <w:bookmarkStart w:id="2193" w:name="_Toc107702271"/>
      <w:bookmarkStart w:id="2194" w:name="_Toc236686883"/>
      <w:bookmarkStart w:id="2195" w:name="_Toc184647620"/>
      <w:bookmarkStart w:id="2196" w:name="_Toc184646692"/>
      <w:bookmarkStart w:id="2197" w:name="_Toc184645753"/>
      <w:bookmarkStart w:id="2198" w:name="_Toc184644947"/>
      <w:bookmarkStart w:id="2199" w:name="_Toc184644143"/>
      <w:bookmarkStart w:id="2200" w:name="_Toc184643339"/>
      <w:bookmarkStart w:id="2201" w:name="_Toc184642907"/>
      <w:bookmarkEnd w:id="2193"/>
      <w:bookmarkEnd w:id="2194"/>
      <w:bookmarkEnd w:id="2195"/>
      <w:bookmarkEnd w:id="2196"/>
      <w:bookmarkEnd w:id="2197"/>
      <w:bookmarkEnd w:id="2198"/>
      <w:bookmarkEnd w:id="2199"/>
      <w:bookmarkEnd w:id="2200"/>
      <w:bookmarkEnd w:id="2201"/>
      <w:r>
        <w:rPr>
          <w:rFonts w:ascii="Times New Roman;Times;serif" w:hAnsi="Times New Roman;Times;serif"/>
          <w:b/>
          <w:sz w:val="22"/>
        </w:rPr>
        <w:t>Binding Effect</w:t>
      </w:r>
      <w:r>
        <w:rPr>
          <w:rFonts w:ascii="Times New Roman;Times;serif" w:hAnsi="Times New Roman;Times;serif"/>
          <w:sz w:val="22"/>
        </w:rPr>
        <w: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5.05</w:t>
      </w:r>
      <w:bookmarkStart w:id="2202" w:name="_Toc107702272"/>
      <w:bookmarkStart w:id="2203" w:name="_Toc236686884"/>
      <w:bookmarkStart w:id="2204" w:name="_Toc184647621"/>
      <w:bookmarkStart w:id="2205" w:name="_Toc184646693"/>
      <w:bookmarkStart w:id="2206" w:name="_Toc184645754"/>
      <w:bookmarkStart w:id="2207" w:name="_Toc184644948"/>
      <w:bookmarkStart w:id="2208" w:name="_Toc184644144"/>
      <w:bookmarkStart w:id="2209" w:name="_Toc184643340"/>
      <w:bookmarkStart w:id="2210" w:name="_Toc184642908"/>
      <w:bookmarkEnd w:id="2202"/>
      <w:bookmarkEnd w:id="2203"/>
      <w:bookmarkEnd w:id="2204"/>
      <w:bookmarkEnd w:id="2205"/>
      <w:bookmarkEnd w:id="2206"/>
      <w:bookmarkEnd w:id="2207"/>
      <w:bookmarkEnd w:id="2208"/>
      <w:bookmarkEnd w:id="2209"/>
      <w:bookmarkEnd w:id="2210"/>
      <w:r>
        <w:rPr>
          <w:rFonts w:ascii="Times New Roman;Times;serif" w:hAnsi="Times New Roman;Times;serif"/>
          <w:b/>
          <w:sz w:val="22"/>
        </w:rPr>
        <w:t>Financial Statements; No Material Adverse Effect</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(b)The unaudited consolidated and consolidating</w:t>
      </w:r>
      <w:r>
        <w:rPr>
          <w:rFonts w:ascii="Times New Roman;Times;serif" w:hAnsi="Times New Roman;Times;serif"/>
          <w:sz w:val="24"/>
        </w:rPr>
        <w:t xml:space="preserve"> </w:t>
      </w:r>
      <w:r>
        <w:rPr>
          <w:rFonts w:ascii="Times New Roman;Times;serif" w:hAnsi="Times New Roman;Times;serif"/>
          <w:sz w:val="22"/>
        </w:rPr>
        <w:t>balance sheet of the Borrower and its Subsidiaries dated March 28, 2026, and the related consolidated statements of income or operations, shareholders’ equity and cash flows, and consolidating</w:t>
      </w:r>
      <w:r>
        <w:rPr>
          <w:rFonts w:ascii="Times New Roman;Times;serif" w:hAnsi="Times New Roman;Times;serif"/>
          <w:sz w:val="24"/>
        </w:rPr>
        <w:t xml:space="preserve"> </w:t>
      </w:r>
      <w:r>
        <w:rPr>
          <w:rFonts w:ascii="Times New Roman;Times;serif" w:hAnsi="Times New Roman;Times;serif"/>
          <w:sz w:val="22"/>
        </w:rPr>
        <w:t xml:space="preserve">statements of income or operations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subject, in the case of </w:t>
      </w:r>
      <w:r>
        <w:rPr>
          <w:rFonts w:ascii="Times New Roman;Times;serif" w:hAnsi="Times New Roman;Times;serif"/>
          <w:sz w:val="22"/>
          <w:u w:val="single"/>
        </w:rPr>
        <w:t>clauses (i)</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(ii)</w:t>
      </w:r>
      <w:r>
        <w:rPr>
          <w:rFonts w:ascii="Times New Roman;Times;serif" w:hAnsi="Times New Roman;Times;serif"/>
          <w:sz w:val="22"/>
        </w:rPr>
        <w:t>, to the absence of footnotes and to normal year-end audit adjustments.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(c)Since the date of the Audited Financial Statements, there has been no event or circumstance, either individually or in the aggregate, that has had or could reasonably be expected to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5.06</w:t>
      </w:r>
      <w:bookmarkStart w:id="2211" w:name="_Toc107702273"/>
      <w:bookmarkStart w:id="2212" w:name="_Toc236686885"/>
      <w:bookmarkStart w:id="2213" w:name="_Toc184647622"/>
      <w:bookmarkStart w:id="2214" w:name="_Toc184646694"/>
      <w:bookmarkStart w:id="2215" w:name="_Toc184645755"/>
      <w:bookmarkStart w:id="2216" w:name="_Toc184644949"/>
      <w:bookmarkStart w:id="2217" w:name="_Toc184644145"/>
      <w:bookmarkStart w:id="2218" w:name="_Toc184643341"/>
      <w:bookmarkStart w:id="2219" w:name="_Toc184642909"/>
      <w:bookmarkEnd w:id="2211"/>
      <w:bookmarkEnd w:id="2212"/>
      <w:bookmarkEnd w:id="2213"/>
      <w:bookmarkEnd w:id="2214"/>
      <w:bookmarkEnd w:id="2215"/>
      <w:bookmarkEnd w:id="2216"/>
      <w:bookmarkEnd w:id="2217"/>
      <w:bookmarkEnd w:id="2218"/>
      <w:bookmarkEnd w:id="2219"/>
      <w:r>
        <w:rPr>
          <w:rFonts w:ascii="Times New Roman;Times;serif" w:hAnsi="Times New Roman;Times;serif"/>
          <w:b/>
          <w:sz w:val="22"/>
        </w:rPr>
        <w:t>Litigation</w:t>
      </w:r>
      <w:r>
        <w:rPr>
          <w:rFonts w:ascii="Times New Roman;Times;serif" w:hAnsi="Times New Roman;Times;serif"/>
          <w:sz w:val="22"/>
        </w:rPr>
        <w:t xml:space="preserve">.  Except as disclosed on </w:t>
      </w:r>
      <w:r>
        <w:rPr>
          <w:rFonts w:ascii="Times New Roman;Times;serif" w:hAnsi="Times New Roman;Times;serif"/>
          <w:sz w:val="22"/>
          <w:u w:val="single"/>
        </w:rPr>
        <w:t>Schedule 5.06</w:t>
      </w:r>
      <w:r>
        <w:rPr>
          <w:rFonts w:ascii="Times New Roman;Times;serif" w:hAnsi="Times New Roman;Times;serif"/>
          <w:sz w:val="22"/>
        </w:rPr>
        <w:t>, there are no actions, suits, proceedings, claims or disputes pending or, to the knowledge of the Borrower after due and diligent investigation, threatened, at law, in equity, in arbitration or before any Governmental Authority, by or against the Borrower or any of its Subsidiaries or against any of their properties or revenues that (a) purport to affect or pertain to this Agreement or any other Loan Document, or any of the transactions contemplated hereby, or (b) either individually or in the aggregate, is reasonably likely to be determined adversely and, if so determined,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5.07</w:t>
      </w:r>
      <w:bookmarkStart w:id="2220" w:name="_Toc107702274"/>
      <w:bookmarkStart w:id="2221" w:name="_Toc236686886"/>
      <w:bookmarkStart w:id="2222" w:name="_Toc184647623"/>
      <w:bookmarkStart w:id="2223" w:name="_Toc184646695"/>
      <w:bookmarkStart w:id="2224" w:name="_Toc184645756"/>
      <w:bookmarkStart w:id="2225" w:name="_Toc184644950"/>
      <w:bookmarkStart w:id="2226" w:name="_Toc184644146"/>
      <w:bookmarkStart w:id="2227" w:name="_Toc184643342"/>
      <w:bookmarkStart w:id="2228" w:name="_Toc184642910"/>
      <w:bookmarkEnd w:id="2220"/>
      <w:bookmarkEnd w:id="2221"/>
      <w:bookmarkEnd w:id="2222"/>
      <w:bookmarkEnd w:id="2223"/>
      <w:bookmarkEnd w:id="2224"/>
      <w:bookmarkEnd w:id="2225"/>
      <w:bookmarkEnd w:id="2226"/>
      <w:bookmarkEnd w:id="2227"/>
      <w:bookmarkEnd w:id="2228"/>
      <w:r>
        <w:rPr>
          <w:rFonts w:ascii="Times New Roman;Times;serif" w:hAnsi="Times New Roman;Times;serif"/>
          <w:b/>
          <w:sz w:val="22"/>
        </w:rPr>
        <w:t>No Default</w:t>
      </w:r>
      <w:r>
        <w:rPr>
          <w:rFonts w:ascii="Times New Roman;Times;serif" w:hAnsi="Times New Roman;Times;serif"/>
          <w:sz w:val="22"/>
        </w:rPr>
        <w:t>.  No Default has occurred and is continuing or would result from the consummation of the transactions contemplated by this Agreement or any other Loan Document.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5.08</w:t>
      </w:r>
      <w:bookmarkStart w:id="2229" w:name="_Toc107702275"/>
      <w:bookmarkStart w:id="2230" w:name="_Toc236686887"/>
      <w:bookmarkStart w:id="2231" w:name="_Toc184647624"/>
      <w:bookmarkStart w:id="2232" w:name="_Toc184646696"/>
      <w:bookmarkStart w:id="2233" w:name="_Toc184645757"/>
      <w:bookmarkStart w:id="2234" w:name="_Toc184644951"/>
      <w:bookmarkStart w:id="2235" w:name="_Toc184644147"/>
      <w:bookmarkStart w:id="2236" w:name="_Toc184643343"/>
      <w:bookmarkStart w:id="2237" w:name="_Toc184642911"/>
      <w:bookmarkEnd w:id="2229"/>
      <w:bookmarkEnd w:id="2230"/>
      <w:bookmarkEnd w:id="2231"/>
      <w:bookmarkEnd w:id="2232"/>
      <w:bookmarkEnd w:id="2233"/>
      <w:bookmarkEnd w:id="2234"/>
      <w:bookmarkEnd w:id="2235"/>
      <w:bookmarkEnd w:id="2236"/>
      <w:bookmarkEnd w:id="2237"/>
      <w:r>
        <w:rPr>
          <w:rFonts w:ascii="Times New Roman;Times;serif" w:hAnsi="Times New Roman;Times;serif"/>
          <w:b/>
          <w:sz w:val="22"/>
        </w:rPr>
        <w:t>Ownership of Property; Liens</w:t>
      </w:r>
      <w:r>
        <w:rPr>
          <w:rFonts w:ascii="Times New Roman;Times;serif" w:hAnsi="Times New Roman;Times;serif"/>
          <w:sz w:val="22"/>
        </w:rPr>
        <w:t xml:space="preserve">.  The Borrower and each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w:t>
      </w:r>
      <w:r>
        <w:rPr>
          <w:rFonts w:ascii="Times New Roman;Times;serif" w:hAnsi="Times New Roman;Times;serif"/>
          <w:sz w:val="22"/>
          <w:u w:val="single"/>
        </w:rPr>
        <w:t>Section 7.01</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5.09</w:t>
      </w:r>
      <w:bookmarkStart w:id="2238" w:name="_Toc107702276"/>
      <w:bookmarkStart w:id="2239" w:name="_Toc236686888"/>
      <w:bookmarkStart w:id="2240" w:name="_Toc184647625"/>
      <w:bookmarkStart w:id="2241" w:name="_Toc184646697"/>
      <w:bookmarkStart w:id="2242" w:name="_Toc184645758"/>
      <w:bookmarkStart w:id="2243" w:name="_Toc184644952"/>
      <w:bookmarkStart w:id="2244" w:name="_Toc184644148"/>
      <w:bookmarkStart w:id="2245" w:name="_Toc184643344"/>
      <w:bookmarkStart w:id="2246" w:name="_Toc184642912"/>
      <w:bookmarkEnd w:id="2238"/>
      <w:bookmarkEnd w:id="2239"/>
      <w:bookmarkEnd w:id="2240"/>
      <w:bookmarkEnd w:id="2241"/>
      <w:bookmarkEnd w:id="2242"/>
      <w:bookmarkEnd w:id="2243"/>
      <w:bookmarkEnd w:id="2244"/>
      <w:bookmarkEnd w:id="2245"/>
      <w:bookmarkEnd w:id="2246"/>
      <w:r>
        <w:rPr>
          <w:rFonts w:ascii="Times New Roman;Times;serif" w:hAnsi="Times New Roman;Times;serif"/>
          <w:b/>
          <w:sz w:val="22"/>
        </w:rPr>
        <w:t>Environmental Compliance</w:t>
      </w:r>
      <w:r>
        <w:rPr>
          <w:rFonts w:ascii="Times New Roman;Times;serif" w:hAnsi="Times New Roman;Times;serif"/>
          <w:sz w:val="22"/>
        </w:rPr>
        <w:t>.  The Borrower and its Material Subsidiaries conduct in the ordinary course of business a review of the effect of existing Environmental Laws and claims alleging potential liability or responsibility for violation of any Environmental Law on their and the other Subsidiaries, respective businesses, operations and properties, and as a result thereof the Borrower has reasonably concluded that such Environmental Laws and claims could not, individually or in the aggregate,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5.10</w:t>
      </w:r>
      <w:bookmarkStart w:id="2247" w:name="_Toc107702277"/>
      <w:bookmarkStart w:id="2248" w:name="_Toc236686889"/>
      <w:bookmarkStart w:id="2249" w:name="_Toc184647626"/>
      <w:bookmarkStart w:id="2250" w:name="_Toc184646698"/>
      <w:bookmarkStart w:id="2251" w:name="_Toc184645759"/>
      <w:bookmarkStart w:id="2252" w:name="_Toc184644953"/>
      <w:bookmarkStart w:id="2253" w:name="_Toc184644149"/>
      <w:bookmarkStart w:id="2254" w:name="_Toc184643345"/>
      <w:bookmarkStart w:id="2255" w:name="_Toc184642913"/>
      <w:bookmarkEnd w:id="2247"/>
      <w:bookmarkEnd w:id="2248"/>
      <w:bookmarkEnd w:id="2249"/>
      <w:bookmarkEnd w:id="2250"/>
      <w:bookmarkEnd w:id="2251"/>
      <w:bookmarkEnd w:id="2252"/>
      <w:bookmarkEnd w:id="2253"/>
      <w:bookmarkEnd w:id="2254"/>
      <w:bookmarkEnd w:id="2255"/>
      <w:r>
        <w:rPr>
          <w:rFonts w:ascii="Times New Roman;Times;serif" w:hAnsi="Times New Roman;Times;serif"/>
          <w:b/>
          <w:sz w:val="22"/>
        </w:rPr>
        <w:t>Taxes</w:t>
      </w:r>
      <w:r>
        <w:rPr>
          <w:rFonts w:ascii="Times New Roman;Times;serif" w:hAnsi="Times New Roman;Times;serif"/>
          <w:sz w:val="22"/>
        </w:rPr>
        <w:t>.  The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and except where the failure to file such returns or reports or to make such payments could not reasonably be expected to have a Material Adverse Effect.  To the knowledge of the Borrower, there is no proposed tax assessment against the Borrower or any Subsidiary that would, if made, have a Material Adverse Effect.  Neither the Borrower nor any Material Subsidiary thereof is party to any tax sharing agreement.  No Non-Material Subsidiary is a party to any tax sharing agreement that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5.11</w:t>
      </w:r>
      <w:bookmarkStart w:id="2256" w:name="_Toc107702278"/>
      <w:bookmarkStart w:id="2257" w:name="_Toc236686890"/>
      <w:bookmarkStart w:id="2258" w:name="_Toc184647627"/>
      <w:bookmarkStart w:id="2259" w:name="_Toc184646699"/>
      <w:bookmarkStart w:id="2260" w:name="_Toc184645760"/>
      <w:bookmarkStart w:id="2261" w:name="_Toc184644954"/>
      <w:bookmarkStart w:id="2262" w:name="_Toc184644150"/>
      <w:bookmarkStart w:id="2263" w:name="_Toc184643346"/>
      <w:bookmarkStart w:id="2264" w:name="_Toc184642914"/>
      <w:bookmarkEnd w:id="2256"/>
      <w:bookmarkEnd w:id="2257"/>
      <w:bookmarkEnd w:id="2258"/>
      <w:bookmarkEnd w:id="2259"/>
      <w:bookmarkEnd w:id="2260"/>
      <w:bookmarkEnd w:id="2261"/>
      <w:bookmarkEnd w:id="2262"/>
      <w:bookmarkEnd w:id="2263"/>
      <w:bookmarkEnd w:id="2264"/>
      <w:r>
        <w:rPr>
          <w:rFonts w:ascii="Times New Roman;Times;serif" w:hAnsi="Times New Roman;Times;serif"/>
          <w:b/>
          <w:sz w:val="22"/>
        </w:rPr>
        <w:t>ERISA Compliance</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(a)Each Plan is in compliance in all material respects with the applicable provisions of ERISA, the Code and other U.S. Federal or state Laws.  Each </w:t>
      </w:r>
      <w:bookmarkStart w:id="2265" w:name="_DV_C23"/>
      <w:bookmarkEnd w:id="2265"/>
      <w:r>
        <w:rPr>
          <w:rFonts w:ascii="Times New Roman;Times;serif" w:hAnsi="Times New Roman;Times;serif"/>
          <w:sz w:val="22"/>
        </w:rPr>
        <w:t xml:space="preserve">Pension </w:t>
      </w:r>
      <w:bookmarkStart w:id="2266" w:name="_DV_M726"/>
      <w:bookmarkEnd w:id="2266"/>
      <w:r>
        <w:rPr>
          <w:rFonts w:ascii="Times New Roman;Times;serif" w:hAnsi="Times New Roman;Times;serif"/>
          <w:sz w:val="22"/>
        </w:rPr>
        <w:t>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with respect thereto.  To the best knowledge of the Borrower, nothing has occurred which would cause the loss of such qualification that could reasonably be expected to have a Material Adverse Effect.  The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(b)There are no pending or, to the best knowledge of the Borrower, threatened claims, actions or lawsuits, or action by any Governmental Authority, with respect to any Plan that could reasonably be expected to have a Material Adverse Effect.  There has been no prohibited transaction under ERISA or violation of ERISA’s fiduciary responsibility rules with respect to any Plan that has resulted or could reasonably be expected to result in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(c)(i) No ERISA Event has occurred, and neither</w:t>
      </w:r>
      <w:bookmarkStart w:id="2267" w:name="_DV_C36"/>
      <w:bookmarkEnd w:id="2267"/>
      <w:r>
        <w:rPr>
          <w:rFonts w:ascii="Times New Roman;Times;serif" w:hAnsi="Times New Roman;Times;serif"/>
          <w:sz w:val="24"/>
        </w:rPr>
        <w:t xml:space="preserve"> </w:t>
      </w:r>
      <w:r>
        <w:rPr>
          <w:rFonts w:ascii="Times New Roman;Times;serif" w:hAnsi="Times New Roman;Times;serif"/>
          <w:sz w:val="22"/>
        </w:rPr>
        <w:t xml:space="preserve">the Borrower nor any ERISA Affiliate is aware of any fact, event or circumstance that is reasonably expected to constitute or result in an ERISA Event with respect to any </w:t>
      </w:r>
      <w:bookmarkStart w:id="2268" w:name="_DV_C38"/>
      <w:bookmarkEnd w:id="2268"/>
      <w:r>
        <w:rPr>
          <w:rFonts w:ascii="Times New Roman;Times;serif" w:hAnsi="Times New Roman;Times;serif"/>
          <w:sz w:val="22"/>
        </w:rPr>
        <w:t xml:space="preserve">Pension Plan; (ii) the Borrower and each ERISA Affiliate has met all applicable requirements under the Pension Funding Rules in respect of each </w:t>
      </w:r>
      <w:bookmarkStart w:id="2269" w:name="_DV_C22"/>
      <w:bookmarkEnd w:id="2269"/>
      <w:r>
        <w:rPr>
          <w:rFonts w:ascii="Times New Roman;Times;serif" w:hAnsi="Times New Roman;Times;serif"/>
          <w:sz w:val="22"/>
        </w:rPr>
        <w:t>Pension Plan</w:t>
      </w:r>
      <w:bookmarkStart w:id="2270" w:name="_DV_M725"/>
      <w:bookmarkEnd w:id="2270"/>
      <w:r>
        <w:rPr>
          <w:rFonts w:ascii="Times New Roman;Times;serif" w:hAnsi="Times New Roman;Times;serif"/>
          <w:sz w:val="22"/>
        </w:rPr>
        <w:t xml:space="preserve">, and no waiver of the minimum funding standards under the Pension Funding Rules has been applied for or obtained; (iii) </w:t>
      </w:r>
      <w:bookmarkStart w:id="2271" w:name="_DV_C26"/>
      <w:bookmarkEnd w:id="2271"/>
      <w:r>
        <w:rPr>
          <w:rFonts w:ascii="Times New Roman;Times;serif" w:hAnsi="Times New Roman;Times;serif"/>
          <w:sz w:val="22"/>
        </w:rPr>
        <w:t xml:space="preserve">as of the most recent valuation date for any Pension Plan, the funding target attainment percentage (as defined in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Section 430(d)(2) of the Code) is 60% or higher and </w:t>
      </w:r>
      <w:bookmarkStart w:id="2272" w:name="_DV_M729"/>
      <w:bookmarkEnd w:id="2272"/>
      <w:r>
        <w:rPr>
          <w:rFonts w:ascii="Times New Roman;Times;serif" w:hAnsi="Times New Roman;Times;serif"/>
          <w:sz w:val="22"/>
        </w:rPr>
        <w:t xml:space="preserve">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w:t>
      </w:r>
      <w:bookmarkStart w:id="2273" w:name="_DV_C24"/>
      <w:bookmarkEnd w:id="2273"/>
      <w:r>
        <w:rPr>
          <w:rFonts w:ascii="Times New Roman;Times;serif" w:hAnsi="Times New Roman;Times;serif"/>
          <w:sz w:val="22"/>
        </w:rPr>
        <w:t xml:space="preserve">Pension </w:t>
      </w:r>
      <w:bookmarkStart w:id="2274" w:name="_DV_M727"/>
      <w:bookmarkEnd w:id="2274"/>
      <w:r>
        <w:rPr>
          <w:rFonts w:ascii="Times New Roman;Times;serif" w:hAnsi="Times New Roman;Times;serif"/>
          <w:sz w:val="22"/>
        </w:rPr>
        <w:t xml:space="preserve">Plan has been terminated by the plan administrator thereof nor by the PBGC, and no event or circumstance has occurred or exists that could reasonably be expected to cause the PBGC to institute proceedings under Title IV of ERISA to terminate any </w:t>
      </w:r>
      <w:bookmarkStart w:id="2275" w:name="_DV_C25"/>
      <w:bookmarkEnd w:id="2275"/>
      <w:r>
        <w:rPr>
          <w:rFonts w:ascii="Times New Roman;Times;serif" w:hAnsi="Times New Roman;Times;serif"/>
          <w:sz w:val="22"/>
        </w:rPr>
        <w:t>Pension</w:t>
      </w:r>
      <w:bookmarkStart w:id="2276" w:name="_DV_M728"/>
      <w:bookmarkEnd w:id="2276"/>
      <w:r>
        <w:rPr>
          <w:rFonts w:ascii="Times New Roman;Times;serif" w:hAnsi="Times New Roman;Times;serif"/>
          <w:sz w:val="24"/>
        </w:rPr>
        <w:t xml:space="preserve"> </w:t>
      </w:r>
      <w:r>
        <w:rPr>
          <w:rFonts w:ascii="Times New Roman;Times;serif" w:hAnsi="Times New Roman;Times;serif"/>
          <w:sz w:val="22"/>
        </w:rPr>
        <w:t>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5.12</w:t>
      </w:r>
      <w:bookmarkStart w:id="2277" w:name="_Toc107702279"/>
      <w:bookmarkStart w:id="2278" w:name="_Toc236686891"/>
      <w:bookmarkStart w:id="2279" w:name="_Toc184647628"/>
      <w:bookmarkStart w:id="2280" w:name="_Toc184646700"/>
      <w:bookmarkStart w:id="2281" w:name="_Toc184645761"/>
      <w:bookmarkStart w:id="2282" w:name="_Toc184644955"/>
      <w:bookmarkStart w:id="2283" w:name="_Toc184644151"/>
      <w:bookmarkStart w:id="2284" w:name="_Toc184643347"/>
      <w:bookmarkStart w:id="2285" w:name="_Toc184642915"/>
      <w:bookmarkEnd w:id="2277"/>
      <w:bookmarkEnd w:id="2278"/>
      <w:bookmarkEnd w:id="2279"/>
      <w:bookmarkEnd w:id="2280"/>
      <w:bookmarkEnd w:id="2281"/>
      <w:bookmarkEnd w:id="2282"/>
      <w:bookmarkEnd w:id="2283"/>
      <w:bookmarkEnd w:id="2284"/>
      <w:bookmarkEnd w:id="2285"/>
      <w:r>
        <w:rPr>
          <w:rFonts w:ascii="Times New Roman;Times;serif" w:hAnsi="Times New Roman;Times;serif"/>
          <w:b/>
          <w:sz w:val="22"/>
        </w:rPr>
        <w:t>Subsidiaries; Equity Interests.  </w:t>
      </w:r>
      <w:r>
        <w:rPr>
          <w:rFonts w:ascii="Times New Roman;Times;serif" w:hAnsi="Times New Roman;Times;serif"/>
          <w:sz w:val="22"/>
        </w:rPr>
        <w:t xml:space="preserve">As of the Closing Date, the Borrower has no Subsidiaries with any material assets, material liabilities or ongoing operations other than those specifically disclosed in Part (a) of </w:t>
      </w:r>
      <w:r>
        <w:rPr>
          <w:rFonts w:ascii="Times New Roman;Times;serif" w:hAnsi="Times New Roman;Times;serif"/>
          <w:sz w:val="22"/>
          <w:u w:val="single"/>
        </w:rPr>
        <w:t>Schedule 5.12</w:t>
      </w:r>
      <w:r>
        <w:rPr>
          <w:rFonts w:ascii="Times New Roman;Times;serif" w:hAnsi="Times New Roman;Times;serif"/>
          <w:sz w:val="22"/>
        </w:rPr>
        <w:t xml:space="preserve">, and all of the outstanding Equity Interests in such Subsidiaries have been validly issued, are fully paid and nonassessable and are owned by the Borrower in the amounts specified on Part (a) of </w:t>
      </w:r>
      <w:r>
        <w:rPr>
          <w:rFonts w:ascii="Times New Roman;Times;serif" w:hAnsi="Times New Roman;Times;serif"/>
          <w:sz w:val="22"/>
          <w:u w:val="single"/>
        </w:rPr>
        <w:t>Schedule 5.12</w:t>
      </w:r>
      <w:r>
        <w:rPr>
          <w:rFonts w:ascii="Times New Roman;Times;serif" w:hAnsi="Times New Roman;Times;serif"/>
          <w:sz w:val="24"/>
        </w:rPr>
        <w:t xml:space="preserve"> </w:t>
      </w:r>
      <w:r>
        <w:rPr>
          <w:rFonts w:ascii="Times New Roman;Times;serif" w:hAnsi="Times New Roman;Times;serif"/>
          <w:sz w:val="22"/>
        </w:rPr>
        <w:t xml:space="preserve">free and clear of all Liens.  As of the Closing Date, the Borrower has no equity investments in any other corporation or entity other than (a) those specifically disclosed in Part (b) of </w:t>
      </w:r>
      <w:r>
        <w:rPr>
          <w:rFonts w:ascii="Times New Roman;Times;serif" w:hAnsi="Times New Roman;Times;serif"/>
          <w:sz w:val="22"/>
          <w:u w:val="single"/>
        </w:rPr>
        <w:t>Schedule 5.12</w:t>
      </w:r>
      <w:r>
        <w:rPr>
          <w:rFonts w:ascii="Times New Roman;Times;serif" w:hAnsi="Times New Roman;Times;serif"/>
          <w:sz w:val="24"/>
        </w:rPr>
        <w:t xml:space="preserve"> </w:t>
      </w:r>
      <w:r>
        <w:rPr>
          <w:rFonts w:ascii="Times New Roman;Times;serif" w:hAnsi="Times New Roman;Times;serif"/>
          <w:sz w:val="22"/>
        </w:rPr>
        <w:t>and (b) equity investments in any corporation or entity where the aggregate amount invested in such Person by the Borrower is less than $5,000,000.  All of the outstanding Equity Interests in the Borrower have been validly issued, and are fully paid and nonassessable.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5.13</w:t>
      </w:r>
      <w:bookmarkStart w:id="2286" w:name="_Toc107702280"/>
      <w:bookmarkStart w:id="2287" w:name="_Toc236686892"/>
      <w:bookmarkStart w:id="2288" w:name="_Toc184647629"/>
      <w:bookmarkStart w:id="2289" w:name="_Toc184646701"/>
      <w:bookmarkStart w:id="2290" w:name="_Toc184645762"/>
      <w:bookmarkStart w:id="2291" w:name="_Toc184644956"/>
      <w:bookmarkStart w:id="2292" w:name="_Toc184644152"/>
      <w:bookmarkStart w:id="2293" w:name="_Toc184643348"/>
      <w:bookmarkStart w:id="2294" w:name="_Toc184642916"/>
      <w:bookmarkEnd w:id="2286"/>
      <w:bookmarkEnd w:id="2287"/>
      <w:bookmarkEnd w:id="2288"/>
      <w:bookmarkEnd w:id="2289"/>
      <w:bookmarkEnd w:id="2290"/>
      <w:bookmarkEnd w:id="2291"/>
      <w:bookmarkEnd w:id="2292"/>
      <w:bookmarkEnd w:id="2293"/>
      <w:bookmarkEnd w:id="2294"/>
      <w:r>
        <w:rPr>
          <w:rFonts w:ascii="Times New Roman;Times;serif" w:hAnsi="Times New Roman;Times;serif"/>
          <w:b/>
          <w:sz w:val="22"/>
        </w:rPr>
        <w:t>Margin Regulations; Investment Company Act</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(b)Neither the Borrower, any Person Controlling the Borrower, nor any Subsidiary is or is required to be registered as an “investment company” under the Investment Company Act of 1940.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5.14</w:t>
      </w:r>
      <w:bookmarkStart w:id="2295" w:name="_Toc107702281"/>
      <w:bookmarkStart w:id="2296" w:name="_Toc236686893"/>
      <w:bookmarkStart w:id="2297" w:name="_Toc184647630"/>
      <w:bookmarkStart w:id="2298" w:name="_Toc184646702"/>
      <w:bookmarkStart w:id="2299" w:name="_Toc184645763"/>
      <w:bookmarkStart w:id="2300" w:name="_Toc184644957"/>
      <w:bookmarkStart w:id="2301" w:name="_Toc184644153"/>
      <w:bookmarkStart w:id="2302" w:name="_Toc184643349"/>
      <w:bookmarkStart w:id="2303" w:name="_Toc184642917"/>
      <w:bookmarkEnd w:id="2295"/>
      <w:bookmarkEnd w:id="2296"/>
      <w:bookmarkEnd w:id="2297"/>
      <w:bookmarkEnd w:id="2298"/>
      <w:bookmarkEnd w:id="2299"/>
      <w:bookmarkEnd w:id="2300"/>
      <w:bookmarkEnd w:id="2301"/>
      <w:bookmarkEnd w:id="2302"/>
      <w:bookmarkEnd w:id="2303"/>
      <w:r>
        <w:rPr>
          <w:rFonts w:ascii="Times New Roman;Times;serif" w:hAnsi="Times New Roman;Times;serif"/>
          <w:b/>
          <w:sz w:val="22"/>
        </w:rPr>
        <w:t>Disclosure</w:t>
      </w:r>
      <w:r>
        <w:rPr>
          <w:rFonts w:ascii="Times New Roman;Times;serif" w:hAnsi="Times New Roman;Times;serif"/>
          <w:sz w:val="22"/>
        </w:rPr>
        <w:t xml:space="preserve">.  No report, financial statement, certificate or other written information furnished by or on behalf of the Borrower to the Administrative Agent or any Lender in connection with the transactions contemplated hereby and the negotiation of this Agreement or delivered hereunder or under any other Loan Document (in each case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with respect to projected financial information, the Borrower represents only that such information was prepared in good faith based upon assumptions believed to be reasonable at the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5.15</w:t>
      </w:r>
      <w:bookmarkStart w:id="2304" w:name="_Toc107702282"/>
      <w:bookmarkStart w:id="2305" w:name="_Toc236686894"/>
      <w:bookmarkStart w:id="2306" w:name="_Toc184647631"/>
      <w:bookmarkStart w:id="2307" w:name="_Toc184646703"/>
      <w:bookmarkStart w:id="2308" w:name="_Toc184645764"/>
      <w:bookmarkStart w:id="2309" w:name="_Toc184644958"/>
      <w:bookmarkStart w:id="2310" w:name="_Toc184644154"/>
      <w:bookmarkStart w:id="2311" w:name="_Toc184643350"/>
      <w:bookmarkStart w:id="2312" w:name="_Toc184642918"/>
      <w:bookmarkEnd w:id="2304"/>
      <w:bookmarkEnd w:id="2305"/>
      <w:bookmarkEnd w:id="2306"/>
      <w:bookmarkEnd w:id="2307"/>
      <w:bookmarkEnd w:id="2308"/>
      <w:bookmarkEnd w:id="2309"/>
      <w:bookmarkEnd w:id="2310"/>
      <w:bookmarkEnd w:id="2311"/>
      <w:bookmarkEnd w:id="2312"/>
      <w:r>
        <w:rPr>
          <w:rFonts w:ascii="Times New Roman;Times;serif" w:hAnsi="Times New Roman;Times;serif"/>
          <w:b/>
          <w:sz w:val="22"/>
        </w:rPr>
        <w:t>Compliance with Laws</w:t>
      </w:r>
      <w:r>
        <w:rPr>
          <w:rFonts w:ascii="Times New Roman;Times;serif" w:hAnsi="Times New Roman;Times;serif"/>
          <w:sz w:val="22"/>
        </w:rPr>
        <w:t>.  The Borrower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5.16</w:t>
      </w:r>
      <w:bookmarkStart w:id="2313" w:name="_Toc107702283"/>
      <w:bookmarkStart w:id="2314" w:name="_Toc236686895"/>
      <w:bookmarkStart w:id="2315" w:name="_Toc184647632"/>
      <w:bookmarkStart w:id="2316" w:name="_Toc184646704"/>
      <w:bookmarkStart w:id="2317" w:name="_Toc184645765"/>
      <w:bookmarkStart w:id="2318" w:name="_Toc184644959"/>
      <w:bookmarkStart w:id="2319" w:name="_Toc184644155"/>
      <w:bookmarkStart w:id="2320" w:name="_Toc184643351"/>
      <w:bookmarkStart w:id="2321" w:name="_Toc184642919"/>
      <w:bookmarkEnd w:id="2313"/>
      <w:bookmarkEnd w:id="2314"/>
      <w:bookmarkEnd w:id="2315"/>
      <w:bookmarkEnd w:id="2316"/>
      <w:bookmarkEnd w:id="2317"/>
      <w:bookmarkEnd w:id="2318"/>
      <w:bookmarkEnd w:id="2319"/>
      <w:bookmarkEnd w:id="2320"/>
      <w:bookmarkEnd w:id="2321"/>
      <w:r>
        <w:rPr>
          <w:rFonts w:ascii="Times New Roman;Times;serif" w:hAnsi="Times New Roman;Times;serif"/>
          <w:b/>
          <w:sz w:val="22"/>
        </w:rPr>
        <w:t>Intellectual Property; Licenses, Etc</w:t>
      </w:r>
      <w:r>
        <w:rPr>
          <w:rFonts w:ascii="Times New Roman;Times;serif" w:hAnsi="Times New Roman;Times;serif"/>
          <w:sz w:val="22"/>
        </w:rPr>
        <w:t>.  The Borrower and its Subsidiaries own, or possess the right to use, all of the trademarks, service marks, trade names, copyrights, patents, patent rights, franchises, licenses and other intellectual property rights (collectively, “</w:t>
      </w:r>
      <w:r>
        <w:rPr>
          <w:rFonts w:ascii="Times New Roman;Times;serif" w:hAnsi="Times New Roman;Times;serif"/>
          <w:sz w:val="22"/>
          <w:u w:val="single"/>
        </w:rPr>
        <w:t>IP Rights</w:t>
      </w:r>
      <w:r>
        <w:rPr>
          <w:rFonts w:ascii="Times New Roman;Times;serif" w:hAnsi="Times New Roman;Times;serif"/>
          <w:sz w:val="24"/>
        </w:rPr>
        <w:t>”</w:t>
      </w:r>
      <w:r>
        <w:rPr>
          <w:rFonts w:ascii="Times New Roman;Times;serif" w:hAnsi="Times New Roman;Times;serif"/>
          <w:sz w:val="22"/>
        </w:rPr>
        <w:t xml:space="preserve">) that are reasonably necessary for the operation of their respective businesses, without conflict with the rights of any other Person, except as could not reasonably be expected to have a Material Adverse Effect.  No claim or litigation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regarding any of the foregoing is pending or, to the best knowledge of the Borrower, threatened, which, either individually or in the aggregate, could reasonably be expected to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5.17</w:t>
      </w:r>
      <w:bookmarkStart w:id="2322" w:name="_Toc107702284"/>
      <w:bookmarkStart w:id="2323" w:name="_Toc236686896"/>
      <w:bookmarkStart w:id="2324" w:name="_Toc184647633"/>
      <w:bookmarkStart w:id="2325" w:name="_Toc184646705"/>
      <w:bookmarkStart w:id="2326" w:name="_Toc184645766"/>
      <w:bookmarkStart w:id="2327" w:name="_Toc184644960"/>
      <w:bookmarkStart w:id="2328" w:name="_Toc184644156"/>
      <w:bookmarkStart w:id="2329" w:name="_Toc184643352"/>
      <w:bookmarkStart w:id="2330" w:name="_Toc184642920"/>
      <w:bookmarkEnd w:id="2322"/>
      <w:bookmarkEnd w:id="2323"/>
      <w:bookmarkEnd w:id="2324"/>
      <w:bookmarkEnd w:id="2325"/>
      <w:bookmarkEnd w:id="2326"/>
      <w:bookmarkEnd w:id="2327"/>
      <w:bookmarkEnd w:id="2328"/>
      <w:bookmarkEnd w:id="2329"/>
      <w:bookmarkEnd w:id="2330"/>
      <w:r>
        <w:rPr>
          <w:rFonts w:ascii="Times New Roman;Times;serif" w:hAnsi="Times New Roman;Times;serif"/>
          <w:b/>
          <w:sz w:val="22"/>
        </w:rPr>
        <w:t>Solvency</w:t>
      </w:r>
      <w:r>
        <w:rPr>
          <w:rFonts w:ascii="Times New Roman;Times;serif" w:hAnsi="Times New Roman;Times;serif"/>
          <w:sz w:val="22"/>
        </w:rPr>
        <w:t>.  On the Closing Date, the Borrower and its Subsidiaries on a consolidated basis are Solvent, both before and after giving effect to the Borrowing of the Loans and the disbursements of the proceeds thereof on such date.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5.18</w:t>
      </w:r>
      <w:bookmarkStart w:id="2331" w:name="_Toc107702285"/>
      <w:bookmarkStart w:id="2332" w:name="_Toc236686897"/>
      <w:bookmarkStart w:id="2333" w:name="_Toc184647634"/>
      <w:bookmarkStart w:id="2334" w:name="_Toc184646706"/>
      <w:bookmarkStart w:id="2335" w:name="_Toc184645767"/>
      <w:bookmarkStart w:id="2336" w:name="_Toc184644961"/>
      <w:bookmarkStart w:id="2337" w:name="_Toc184644157"/>
      <w:bookmarkStart w:id="2338" w:name="_Toc184643353"/>
      <w:bookmarkStart w:id="2339" w:name="_Toc184642921"/>
      <w:bookmarkEnd w:id="2331"/>
      <w:bookmarkEnd w:id="2332"/>
      <w:bookmarkEnd w:id="2333"/>
      <w:bookmarkEnd w:id="2334"/>
      <w:bookmarkEnd w:id="2335"/>
      <w:bookmarkEnd w:id="2336"/>
      <w:bookmarkEnd w:id="2337"/>
      <w:bookmarkEnd w:id="2338"/>
      <w:bookmarkEnd w:id="2339"/>
      <w:r>
        <w:rPr>
          <w:rFonts w:ascii="Times New Roman;Times;serif" w:hAnsi="Times New Roman;Times;serif"/>
          <w:b/>
          <w:sz w:val="22"/>
        </w:rPr>
        <w:t>Taxpayer Identification Number; Other Identifying Information</w:t>
      </w:r>
      <w:r>
        <w:rPr>
          <w:rFonts w:ascii="Times New Roman;Times;serif" w:hAnsi="Times New Roman;Times;serif"/>
          <w:sz w:val="22"/>
        </w:rPr>
        <w:t xml:space="preserve">.  The true and correct U.S. taxpayer identification number of the Borrower is set forth on </w:t>
      </w:r>
      <w:r>
        <w:rPr>
          <w:rFonts w:ascii="Times New Roman;Times;serif" w:hAnsi="Times New Roman;Times;serif"/>
          <w:sz w:val="22"/>
          <w:u w:val="single"/>
        </w:rPr>
        <w:t>Schedule 10.02</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5.19</w:t>
      </w:r>
      <w:bookmarkStart w:id="2340" w:name="_Toc236686898"/>
      <w:bookmarkStart w:id="2341" w:name="_Toc107702286"/>
      <w:bookmarkStart w:id="2342" w:name="_Toc184647635"/>
      <w:bookmarkStart w:id="2343" w:name="_Toc184646707"/>
      <w:bookmarkStart w:id="2344" w:name="_Toc184645768"/>
      <w:bookmarkStart w:id="2345" w:name="_Toc184644962"/>
      <w:bookmarkStart w:id="2346" w:name="_Toc184644158"/>
      <w:bookmarkStart w:id="2347" w:name="_Toc184643354"/>
      <w:bookmarkStart w:id="2348" w:name="_Toc184642922"/>
      <w:bookmarkEnd w:id="2340"/>
      <w:bookmarkEnd w:id="2341"/>
      <w:bookmarkEnd w:id="2342"/>
      <w:bookmarkEnd w:id="2343"/>
      <w:bookmarkEnd w:id="2344"/>
      <w:bookmarkEnd w:id="2345"/>
      <w:bookmarkEnd w:id="2346"/>
      <w:bookmarkEnd w:id="2347"/>
      <w:bookmarkEnd w:id="2348"/>
      <w:r>
        <w:rPr>
          <w:rFonts w:ascii="Times New Roman;Times;serif" w:hAnsi="Times New Roman;Times;serif"/>
          <w:b/>
          <w:sz w:val="22"/>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5.20</w:t>
      </w:r>
      <w:bookmarkStart w:id="2349" w:name="_Toc107702287"/>
      <w:bookmarkStart w:id="2350" w:name="_Toc236686899"/>
      <w:bookmarkStart w:id="2351" w:name="_Toc184647636"/>
      <w:bookmarkStart w:id="2352" w:name="_Toc184646708"/>
      <w:bookmarkStart w:id="2353" w:name="_Toc184645769"/>
      <w:bookmarkStart w:id="2354" w:name="_Toc184644963"/>
      <w:bookmarkStart w:id="2355" w:name="_Toc184644159"/>
      <w:bookmarkStart w:id="2356" w:name="_Toc184643355"/>
      <w:bookmarkStart w:id="2357" w:name="_Toc184642923"/>
      <w:bookmarkEnd w:id="2349"/>
      <w:bookmarkEnd w:id="2350"/>
      <w:bookmarkEnd w:id="2351"/>
      <w:bookmarkEnd w:id="2352"/>
      <w:bookmarkEnd w:id="2353"/>
      <w:bookmarkEnd w:id="2354"/>
      <w:bookmarkEnd w:id="2355"/>
      <w:bookmarkEnd w:id="2356"/>
      <w:bookmarkEnd w:id="2357"/>
      <w:r>
        <w:rPr>
          <w:rFonts w:ascii="Times New Roman;Times;serif" w:hAnsi="Times New Roman;Times;serif"/>
          <w:b/>
          <w:sz w:val="22"/>
        </w:rPr>
        <w:t>OFAC</w:t>
      </w:r>
      <w:r>
        <w:rPr>
          <w:rFonts w:ascii="Times New Roman;Times;serif" w:hAnsi="Times New Roman;Times;serif"/>
          <w:sz w:val="22"/>
        </w:rPr>
        <w:t>.  Neither the Borrower, nor any of its Subsidiaries, nor any director or officer thereof, nor, to the knowledge of the Borrower and its Subsidiaries, any employee, agent, affiliate or representative thereof, is an individual or entity that is (i) currently the subject or target of any Sanctions or (ii) included on OFAC’s List of Specially Designated Nationals, HMT’s Consolidated List of Financial Sanctions Targets and the Investment Ban List, or any similar list enforced by any other relevant sanctions authority, (iii) 10% or more owned by an individual or entity that is on a list described in immediately preceding clause (ii) or (iv) located, organized or resident in a Designated Jurisdiction.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5.21</w:t>
      </w:r>
      <w:bookmarkStart w:id="2358" w:name="_Toc107702288"/>
      <w:bookmarkStart w:id="2359" w:name="_Toc236686900"/>
      <w:bookmarkStart w:id="2360" w:name="_Toc184647637"/>
      <w:bookmarkStart w:id="2361" w:name="_Toc184646709"/>
      <w:bookmarkStart w:id="2362" w:name="_Toc184645770"/>
      <w:bookmarkStart w:id="2363" w:name="_Toc184644964"/>
      <w:bookmarkStart w:id="2364" w:name="_Toc184644160"/>
      <w:bookmarkStart w:id="2365" w:name="_Toc184643356"/>
      <w:bookmarkStart w:id="2366" w:name="_Toc184642924"/>
      <w:bookmarkEnd w:id="2358"/>
      <w:bookmarkEnd w:id="2359"/>
      <w:bookmarkEnd w:id="2360"/>
      <w:bookmarkEnd w:id="2361"/>
      <w:bookmarkEnd w:id="2362"/>
      <w:bookmarkEnd w:id="2363"/>
      <w:bookmarkEnd w:id="2364"/>
      <w:bookmarkEnd w:id="2365"/>
      <w:bookmarkEnd w:id="2366"/>
      <w:r>
        <w:rPr>
          <w:rFonts w:ascii="Times New Roman;Times;serif" w:hAnsi="Times New Roman;Times;serif"/>
          <w:b/>
          <w:sz w:val="22"/>
        </w:rPr>
        <w:t>Anti-Corruption Laws</w:t>
      </w:r>
      <w:r>
        <w:rPr>
          <w:rFonts w:ascii="Times New Roman;Times;serif" w:hAnsi="Times New Roman;Times;serif"/>
          <w:sz w:val="22"/>
        </w:rPr>
        <w:t>.  (a)</w:t>
      </w:r>
      <w:r>
        <w:rPr>
          <w:rFonts w:ascii="Times New Roman;Times;serif" w:hAnsi="Times New Roman;Times;serif"/>
          <w:sz w:val="24"/>
        </w:rPr>
        <w:t xml:space="preserve"> </w:t>
      </w:r>
      <w:r>
        <w:rPr>
          <w:rFonts w:ascii="Times New Roman;Times;serif" w:hAnsi="Times New Roman;Times;serif"/>
          <w:sz w:val="22"/>
        </w:rPr>
        <w:t>The Borrower and its Subsidiaries have conducted their businesses in compliance in all material respects with the PATRIOT Act.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(b)The Borrower and its Subsidiaries (x) have conducted their businesses in compliance in all material respects with the United States Foreign Corrupt Practices Act of 1977, the UK Bribery Act 2010, and other similar anti-corruption legislation in other jurisdictions and (y) have instituted and maintained reasonable and customary policies and procedures designed to promote and achieve compliance with such laws in all material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5.22</w:t>
      </w:r>
      <w:bookmarkStart w:id="2367" w:name="_Toc107702289"/>
      <w:bookmarkStart w:id="2368" w:name="_Toc236686901"/>
      <w:bookmarkStart w:id="2369" w:name="_Toc184647638"/>
      <w:bookmarkStart w:id="2370" w:name="_Toc184646710"/>
      <w:bookmarkStart w:id="2371" w:name="_Toc184645771"/>
      <w:bookmarkStart w:id="2372" w:name="_Toc184644965"/>
      <w:bookmarkStart w:id="2373" w:name="_Toc184644161"/>
      <w:bookmarkStart w:id="2374" w:name="_Toc184643357"/>
      <w:bookmarkStart w:id="2375" w:name="_Toc184642925"/>
      <w:bookmarkEnd w:id="2367"/>
      <w:bookmarkEnd w:id="2368"/>
      <w:bookmarkEnd w:id="2369"/>
      <w:bookmarkEnd w:id="2370"/>
      <w:bookmarkEnd w:id="2371"/>
      <w:bookmarkEnd w:id="2372"/>
      <w:bookmarkEnd w:id="2373"/>
      <w:bookmarkEnd w:id="2374"/>
      <w:bookmarkEnd w:id="2375"/>
      <w:r>
        <w:rPr>
          <w:rFonts w:ascii="Times New Roman;Times;serif" w:hAnsi="Times New Roman;Times;serif"/>
          <w:b/>
          <w:sz w:val="22"/>
        </w:rPr>
        <w:t>Affected Financial Institutions</w:t>
      </w:r>
      <w:r>
        <w:rPr>
          <w:rFonts w:ascii="Times New Roman;Times;serif" w:hAnsi="Times New Roman;Times;serif"/>
          <w:sz w:val="22"/>
        </w:rPr>
        <w:t>.  The Borrower is not an Affected Financial Institution.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5.23</w:t>
      </w:r>
      <w:bookmarkStart w:id="2376" w:name="_Toc107702290"/>
      <w:bookmarkStart w:id="2377" w:name="_Toc236686902"/>
      <w:bookmarkEnd w:id="2376"/>
      <w:bookmarkEnd w:id="2377"/>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5.24</w:t>
      </w:r>
      <w:bookmarkStart w:id="2378" w:name="_Toc107702291"/>
      <w:bookmarkStart w:id="2379" w:name="_Toc236686903"/>
      <w:bookmarkStart w:id="2380" w:name="_Toc184647640"/>
      <w:bookmarkStart w:id="2381" w:name="_Toc184646712"/>
      <w:bookmarkStart w:id="2382" w:name="_Toc184645773"/>
      <w:bookmarkStart w:id="2383" w:name="_Toc184644967"/>
      <w:bookmarkStart w:id="2384" w:name="_Toc184644163"/>
      <w:bookmarkStart w:id="2385" w:name="_Toc184643359"/>
      <w:bookmarkStart w:id="2386" w:name="_Toc184642927"/>
      <w:bookmarkEnd w:id="2378"/>
      <w:bookmarkEnd w:id="2379"/>
      <w:bookmarkEnd w:id="2380"/>
      <w:bookmarkEnd w:id="2381"/>
      <w:bookmarkEnd w:id="2382"/>
      <w:bookmarkEnd w:id="2383"/>
      <w:bookmarkEnd w:id="2384"/>
      <w:bookmarkEnd w:id="2385"/>
      <w:bookmarkEnd w:id="2386"/>
      <w:r>
        <w:rPr>
          <w:rFonts w:ascii="Times New Roman;Times;serif" w:hAnsi="Times New Roman;Times;serif"/>
          <w:b/>
          <w:sz w:val="22"/>
        </w:rPr>
        <w:t>Covered Entities</w:t>
      </w:r>
      <w:r>
        <w:rPr>
          <w:rFonts w:ascii="Times New Roman;Times;serif" w:hAnsi="Times New Roman;Times;serif"/>
          <w:sz w:val="22"/>
        </w:rPr>
        <w:t>.  The Borrower is not a Covered Entity.  </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w:t>
      </w:r>
      <w:bookmarkStart w:id="2387" w:name="_Toc236686904"/>
      <w:bookmarkStart w:id="2388" w:name="_Toc235705451"/>
      <w:bookmarkStart w:id="2389" w:name="_Toc207211187"/>
      <w:bookmarkStart w:id="2390" w:name="_Toc197360542"/>
      <w:bookmarkStart w:id="2391" w:name="_Toc197360191"/>
      <w:bookmarkStart w:id="2392" w:name="_Toc187311287"/>
      <w:bookmarkStart w:id="2393" w:name="_Toc184648427"/>
      <w:bookmarkStart w:id="2394" w:name="_Toc184648296"/>
      <w:bookmarkStart w:id="2395" w:name="_Toc184648165"/>
      <w:bookmarkStart w:id="2396" w:name="_Toc184648034"/>
      <w:bookmarkStart w:id="2397" w:name="_Toc184647903"/>
      <w:bookmarkStart w:id="2398" w:name="_Toc184647641"/>
      <w:bookmarkStart w:id="2399" w:name="_Toc184647508"/>
      <w:bookmarkStart w:id="2400" w:name="_Toc184647376"/>
      <w:bookmarkStart w:id="2401" w:name="_Toc184647244"/>
      <w:bookmarkStart w:id="2402" w:name="_Toc184647112"/>
      <w:bookmarkStart w:id="2403" w:name="_Toc184646980"/>
      <w:bookmarkStart w:id="2404" w:name="_Toc184646713"/>
      <w:bookmarkStart w:id="2405" w:name="_Toc184646579"/>
      <w:bookmarkStart w:id="2406" w:name="_Toc184646445"/>
      <w:bookmarkStart w:id="2407" w:name="_Toc184646311"/>
      <w:bookmarkStart w:id="2408" w:name="_Toc184646177"/>
      <w:bookmarkStart w:id="2409" w:name="_Toc184646043"/>
      <w:bookmarkStart w:id="2410" w:name="_Toc184645774"/>
      <w:bookmarkStart w:id="2411" w:name="_Toc184645640"/>
      <w:bookmarkStart w:id="2412" w:name="_Toc184645506"/>
      <w:bookmarkStart w:id="2413" w:name="_Toc184645372"/>
      <w:bookmarkStart w:id="2414" w:name="_Toc184645238"/>
      <w:bookmarkStart w:id="2415" w:name="_Toc184644968"/>
      <w:bookmarkStart w:id="2416" w:name="_Toc184644834"/>
      <w:bookmarkStart w:id="2417" w:name="_Toc184644700"/>
      <w:bookmarkStart w:id="2418" w:name="_Toc184644566"/>
      <w:bookmarkStart w:id="2419" w:name="_Toc184644432"/>
      <w:bookmarkStart w:id="2420" w:name="_Toc107702292"/>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r>
        <w:rPr>
          <w:rFonts w:ascii="Times New Roman;Times;serif" w:hAnsi="Times New Roman;Times;serif"/>
          <w:b/>
          <w:caps/>
          <w:sz w:val="24"/>
        </w:rPr>
        <w:t>​</w:t>
      </w:r>
      <w:r>
        <w:rPr>
          <w:rFonts w:ascii="Times New Roman;Times;serif" w:hAnsi="Times New Roman;Times;serif"/>
          <w:b/>
          <w:caps/>
          <w:sz w:val="22"/>
        </w:rPr>
        <w:br/>
      </w:r>
      <w:bookmarkStart w:id="2421" w:name="_Toc184644164"/>
      <w:bookmarkStart w:id="2422" w:name="_Toc184644030"/>
      <w:bookmarkStart w:id="2423" w:name="_Toc184643896"/>
      <w:bookmarkStart w:id="2424" w:name="_Toc184643762"/>
      <w:bookmarkStart w:id="2425" w:name="_Toc184643628"/>
      <w:bookmarkStart w:id="2426" w:name="_Toc184643360"/>
      <w:bookmarkStart w:id="2427" w:name="_Toc184643021"/>
      <w:bookmarkStart w:id="2428" w:name="_Toc184642928"/>
      <w:bookmarkEnd w:id="2421"/>
      <w:bookmarkEnd w:id="2422"/>
      <w:bookmarkEnd w:id="2423"/>
      <w:bookmarkEnd w:id="2424"/>
      <w:bookmarkEnd w:id="2425"/>
      <w:bookmarkEnd w:id="2426"/>
      <w:bookmarkEnd w:id="2427"/>
      <w:bookmarkEnd w:id="2428"/>
      <w:r>
        <w:rPr>
          <w:rFonts w:ascii="Times New Roman;Times;serif" w:hAnsi="Times New Roman;Times;serif"/>
          <w:b/>
          <w:caps/>
          <w:sz w:val="22"/>
        </w:rPr>
        <w:t>AFFIRMATIVE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So long as any Lender shall have any Commitment hereunder, any Loan or other Obligation hereunder shall remain unpaid or unsatisfied, the Borrower shall, and shall (except in the case of the covenants set forth in </w:t>
      </w:r>
      <w:r>
        <w:rPr>
          <w:rFonts w:ascii="Times New Roman;Times;serif" w:hAnsi="Times New Roman;Times;serif"/>
          <w:sz w:val="22"/>
          <w:u w:val="single"/>
        </w:rPr>
        <w:t>Sections 6.01</w:t>
      </w:r>
      <w:r>
        <w:rPr>
          <w:rFonts w:ascii="Times New Roman;Times;serif" w:hAnsi="Times New Roman;Times;serif"/>
          <w:sz w:val="22"/>
        </w:rPr>
        <w:t xml:space="preserve">, </w:t>
      </w:r>
      <w:r>
        <w:rPr>
          <w:rFonts w:ascii="Times New Roman;Times;serif" w:hAnsi="Times New Roman;Times;serif"/>
          <w:sz w:val="22"/>
          <w:u w:val="single"/>
        </w:rPr>
        <w:t>6.02</w:t>
      </w:r>
      <w:r>
        <w:rPr>
          <w:rFonts w:ascii="Times New Roman;Times;serif" w:hAnsi="Times New Roman;Times;serif"/>
          <w:sz w:val="22"/>
        </w:rPr>
        <w:t xml:space="preserve">, and </w:t>
      </w:r>
      <w:r>
        <w:rPr>
          <w:rFonts w:ascii="Times New Roman;Times;serif" w:hAnsi="Times New Roman;Times;serif"/>
          <w:sz w:val="22"/>
          <w:u w:val="single"/>
        </w:rPr>
        <w:t>6.03</w:t>
      </w:r>
      <w:r>
        <w:rPr>
          <w:rFonts w:ascii="Times New Roman;Times;serif" w:hAnsi="Times New Roman;Times;serif"/>
          <w:sz w:val="22"/>
        </w:rPr>
        <w:t>) cause each Subsidiary 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6.01</w:t>
      </w:r>
      <w:bookmarkStart w:id="2429" w:name="_Toc107702293"/>
      <w:bookmarkStart w:id="2430" w:name="_Toc236686905"/>
      <w:bookmarkStart w:id="2431" w:name="_Toc184647642"/>
      <w:bookmarkStart w:id="2432" w:name="_Toc184646714"/>
      <w:bookmarkStart w:id="2433" w:name="_Toc184645775"/>
      <w:bookmarkStart w:id="2434" w:name="_Toc184644969"/>
      <w:bookmarkStart w:id="2435" w:name="_Toc184644165"/>
      <w:bookmarkStart w:id="2436" w:name="_Toc184643361"/>
      <w:bookmarkStart w:id="2437" w:name="_Toc184642929"/>
      <w:bookmarkEnd w:id="2429"/>
      <w:bookmarkEnd w:id="2430"/>
      <w:bookmarkEnd w:id="2431"/>
      <w:bookmarkEnd w:id="2432"/>
      <w:bookmarkEnd w:id="2433"/>
      <w:bookmarkEnd w:id="2434"/>
      <w:bookmarkEnd w:id="2435"/>
      <w:bookmarkEnd w:id="2436"/>
      <w:bookmarkEnd w:id="2437"/>
      <w:r>
        <w:rPr>
          <w:rFonts w:ascii="Times New Roman;Times;serif" w:hAnsi="Times New Roman;Times;serif"/>
          <w:b/>
          <w:sz w:val="22"/>
        </w:rPr>
        <w:t>Financial Statements</w:t>
      </w:r>
      <w:r>
        <w:rPr>
          <w:rFonts w:ascii="Times New Roman;Times;serif" w:hAnsi="Times New Roman;Times;serif"/>
          <w:sz w:val="22"/>
        </w:rPr>
        <w:t>.  Deliver to the Administrative Agent and each Lender, in form and detail satisfactory to the Administrative Agent and the Required Lenders: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(a)as soon as available, but in any event within 15 days after the date on which consolidated financial statements for such year are required to be delivered to the SEC under the Securities Exchange Act, a consolidated balance sheet of the Borrower and its Subsidiaries as at the end of each fiscal year of the Borrower, and the related consolidated statements of income or operations, shareholders’ equity and cash flows for such fiscal year, setting forth in each case in comparative form the figures for the previous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fiscal year, all in reasonable detail and prepared in accordance with GAAP, audited and accompanied by a report and opinion of a Registered Public Accounting Firm of nationally recognized standing reasonably acceptable to the Required Lenders, which report and opinion shall be prepared in accordance with audit standards of the Public Company Accounting Oversight Board and applicable Securities Laws and shall not be subject to any “going concern” or like qualification or exception or any qualification or exception as to the scope of such audit or with respect to the absence of material misstatement;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(b)as soon as available, but in any event within 15 days after the date on which consolidated financial statements for such period are required to be delivered to the SEC under the Securities Exchange Act, a consolidated balance sheet of the Borrower and its Subsidiaries as at the end of each fiscal quarter of the Borrower (commencing with the fiscal quarter ending October 3, 2026), and the related consolidated statements of income or operations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statements to be certified by a Responsible Officer of the Borrower as fairly presenting the financial condition and results of operations of the Borrower and its Subsidiaries in accordance with GAAP, subject only to normal year-end audit adjustments and the absence of footnotes;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As to any information contained in materials furnished pursuant to </w:t>
      </w:r>
      <w:r>
        <w:rPr>
          <w:rFonts w:ascii="Times New Roman;Times;serif" w:hAnsi="Times New Roman;Times;serif"/>
          <w:sz w:val="22"/>
          <w:u w:val="single"/>
        </w:rPr>
        <w:t>Section 6.02(c)</w:t>
      </w:r>
      <w:r>
        <w:rPr>
          <w:rFonts w:ascii="Times New Roman;Times;serif" w:hAnsi="Times New Roman;Times;serif"/>
          <w:sz w:val="22"/>
        </w:rPr>
        <w:t xml:space="preserve">, the Borrower shall not be separately required to furnish such information under </w:t>
      </w:r>
      <w:r>
        <w:rPr>
          <w:rFonts w:ascii="Times New Roman;Times;serif" w:hAnsi="Times New Roman;Times;serif"/>
          <w:sz w:val="22"/>
          <w:u w:val="single"/>
        </w:rPr>
        <w:t>clause (a)</w:t>
      </w:r>
      <w:r>
        <w:rPr>
          <w:rFonts w:ascii="Times New Roman;Times;serif" w:hAnsi="Times New Roman;Times;serif"/>
          <w:sz w:val="22"/>
        </w:rPr>
        <w:t xml:space="preserve"> or </w:t>
      </w:r>
      <w:r>
        <w:rPr>
          <w:rFonts w:ascii="Times New Roman;Times;serif" w:hAnsi="Times New Roman;Times;serif"/>
          <w:sz w:val="22"/>
          <w:u w:val="single"/>
        </w:rPr>
        <w:t>(b)</w:t>
      </w:r>
      <w:r>
        <w:rPr>
          <w:rFonts w:ascii="Times New Roman;Times;serif" w:hAnsi="Times New Roman;Times;serif"/>
          <w:sz w:val="22"/>
        </w:rPr>
        <w:t xml:space="preserve"> above, but the foregoing shall not be in derogation of the obligation of the Borrower to furnish the information and materials described in </w:t>
      </w:r>
      <w:r>
        <w:rPr>
          <w:rFonts w:ascii="Times New Roman;Times;serif" w:hAnsi="Times New Roman;Times;serif"/>
          <w:sz w:val="22"/>
          <w:u w:val="single"/>
        </w:rPr>
        <w:t>clauses (a)</w:t>
      </w:r>
      <w:r>
        <w:rPr>
          <w:rFonts w:ascii="Times New Roman;Times;serif" w:hAnsi="Times New Roman;Times;serif"/>
          <w:sz w:val="22"/>
        </w:rPr>
        <w:t xml:space="preserve"> and </w:t>
      </w:r>
      <w:r>
        <w:rPr>
          <w:rFonts w:ascii="Times New Roman;Times;serif" w:hAnsi="Times New Roman;Times;serif"/>
          <w:sz w:val="22"/>
          <w:u w:val="single"/>
        </w:rPr>
        <w:t>(b)</w:t>
      </w:r>
      <w:r>
        <w:rPr>
          <w:rFonts w:ascii="Times New Roman;Times;serif" w:hAnsi="Times New Roman;Times;serif"/>
          <w:sz w:val="22"/>
        </w:rPr>
        <w:t xml:space="preserve"> above at the times specified therein.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6.02</w:t>
      </w:r>
      <w:bookmarkStart w:id="2438" w:name="_Toc107702294"/>
      <w:bookmarkStart w:id="2439" w:name="_Toc236686906"/>
      <w:bookmarkStart w:id="2440" w:name="_Toc184647643"/>
      <w:bookmarkStart w:id="2441" w:name="_Toc184646715"/>
      <w:bookmarkStart w:id="2442" w:name="_Toc184645776"/>
      <w:bookmarkStart w:id="2443" w:name="_Toc184644970"/>
      <w:bookmarkStart w:id="2444" w:name="_Toc184644166"/>
      <w:bookmarkStart w:id="2445" w:name="_Toc184643362"/>
      <w:bookmarkStart w:id="2446" w:name="_Toc184642930"/>
      <w:bookmarkEnd w:id="2438"/>
      <w:bookmarkEnd w:id="2439"/>
      <w:bookmarkEnd w:id="2440"/>
      <w:bookmarkEnd w:id="2441"/>
      <w:bookmarkEnd w:id="2442"/>
      <w:bookmarkEnd w:id="2443"/>
      <w:bookmarkEnd w:id="2444"/>
      <w:bookmarkEnd w:id="2445"/>
      <w:bookmarkEnd w:id="2446"/>
      <w:r>
        <w:rPr>
          <w:rFonts w:ascii="Times New Roman;Times;serif" w:hAnsi="Times New Roman;Times;serif"/>
          <w:b/>
          <w:sz w:val="22"/>
        </w:rPr>
        <w:t>Certificates; Other Information</w:t>
      </w:r>
      <w:r>
        <w:rPr>
          <w:rFonts w:ascii="Times New Roman;Times;serif" w:hAnsi="Times New Roman;Times;serif"/>
          <w:sz w:val="22"/>
        </w:rPr>
        <w:t>.  Deliver to the Administrative Agent and each Lender, in form and detail satisfactory to the Administrative Agent and the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(a)concurrently with the delivery of the financial statements referred to in </w:t>
      </w:r>
      <w:r>
        <w:rPr>
          <w:rFonts w:ascii="Times New Roman;Times;serif" w:hAnsi="Times New Roman;Times;serif"/>
          <w:sz w:val="22"/>
          <w:u w:val="single"/>
        </w:rPr>
        <w:t>Section 6.01(a)</w:t>
      </w:r>
      <w:r>
        <w:rPr>
          <w:rFonts w:ascii="Times New Roman;Times;serif" w:hAnsi="Times New Roman;Times;serif"/>
          <w:sz w:val="22"/>
        </w:rPr>
        <w:t>, a certificate of its independent certified public accountants certifying such financial statements and stating that in making the examination necessary therefor no knowledge was obtained of any Default under the financial covenant set forth herein or, if any such Default shall exist, stating the nature and status of such event;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(b)concurrently with the delivery of the financial statements referred to in </w:t>
      </w:r>
      <w:r>
        <w:rPr>
          <w:rFonts w:ascii="Times New Roman;Times;serif" w:hAnsi="Times New Roman;Times;serif"/>
          <w:sz w:val="22"/>
          <w:u w:val="single"/>
        </w:rPr>
        <w:t>Sections 6.01(a)</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(commencing with the fiscal quarter ending October 3, 2026),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(c)promptly after the same are available, copies of each annual report, proxy or financial statement or other report or communication sent to the stockholders of the Borrower, and copies of all annual, regular, periodic and special reports and registration statements (other than registration statements on Form S-8 or any successor form thereto) which the Borrower may file or be required to file with the SEC under Section 13 or 15(d) of the Securities Exchange Act, and not otherwise required to be delivered to the Administrative Agent pursuant hereto;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(d)promptly after the furnishing thereof, copies of any correspondence, notice, statement or report furnished to any holder of debt securities of the Borrower or any Subsidiary thereof with respect to any default or event of default under any indenture, loan or credit or similar agreement and not otherwise required to be furnished to the Lenders pursuant to </w:t>
      </w:r>
      <w:r>
        <w:rPr>
          <w:rFonts w:ascii="Times New Roman;Times;serif" w:hAnsi="Times New Roman;Times;serif"/>
          <w:sz w:val="22"/>
          <w:u w:val="single"/>
        </w:rPr>
        <w:t>Section 6.01</w:t>
      </w:r>
      <w:r>
        <w:rPr>
          <w:rFonts w:ascii="Times New Roman;Times;serif" w:hAnsi="Times New Roman;Times;serif"/>
          <w:sz w:val="24"/>
        </w:rPr>
        <w:t xml:space="preserve"> </w:t>
      </w:r>
      <w:r>
        <w:rPr>
          <w:rFonts w:ascii="Times New Roman;Times;serif" w:hAnsi="Times New Roman;Times;serif"/>
          <w:sz w:val="22"/>
        </w:rPr>
        <w:t xml:space="preserve">or any other clause of this </w:t>
      </w:r>
      <w:r>
        <w:rPr>
          <w:rFonts w:ascii="Times New Roman;Times;serif" w:hAnsi="Times New Roman;Times;serif"/>
          <w:sz w:val="22"/>
          <w:u w:val="single"/>
        </w:rPr>
        <w:t>Section 6.02</w:t>
      </w:r>
      <w:r>
        <w:rPr>
          <w:rFonts w:ascii="Times New Roman;Times;serif" w:hAnsi="Times New Roman;Times;serif"/>
          <w:sz w:val="22"/>
        </w:rPr>
        <w:t xml:space="preserv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(e)promptly, and in any event within five Business Days after the Borrower is aware of receipt by the Borrower or any Subsidiary thereof, copies of each notice received from the SEC concerning any investigation by such agency regarding material financial or other operational results of the Borrower or any Material Subsidiary;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(f)promptly, such additional information regarding the business, financial or corporate affairs of the Borrower or any Subsidiary, or compliance with the terms of the Loan Documents, as the Administrative Agent or any Lender may from time to time reasonably request.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Documents required to be delivered pursuant to </w:t>
      </w:r>
      <w:r>
        <w:rPr>
          <w:rFonts w:ascii="Times New Roman;Times;serif" w:hAnsi="Times New Roman;Times;serif"/>
          <w:sz w:val="22"/>
          <w:u w:val="single"/>
        </w:rPr>
        <w:t>Section 6.01(a)</w:t>
      </w:r>
      <w:r>
        <w:rPr>
          <w:rFonts w:ascii="Times New Roman;Times;serif" w:hAnsi="Times New Roman;Times;serif"/>
          <w:sz w:val="22"/>
        </w:rPr>
        <w:t xml:space="preserve"> or </w:t>
      </w:r>
      <w:r>
        <w:rPr>
          <w:rFonts w:ascii="Times New Roman;Times;serif" w:hAnsi="Times New Roman;Times;serif"/>
          <w:sz w:val="22"/>
          <w:u w:val="single"/>
        </w:rPr>
        <w:t>(b)</w:t>
      </w:r>
      <w:r>
        <w:rPr>
          <w:rFonts w:ascii="Times New Roman;Times;serif" w:hAnsi="Times New Roman;Times;serif"/>
          <w:sz w:val="22"/>
        </w:rPr>
        <w:t xml:space="preserve"> or </w:t>
      </w:r>
      <w:r>
        <w:rPr>
          <w:rFonts w:ascii="Times New Roman;Times;serif" w:hAnsi="Times New Roman;Times;serif"/>
          <w:sz w:val="22"/>
          <w:u w:val="single"/>
        </w:rPr>
        <w:t>Section 6.02</w:t>
      </w:r>
      <w:r>
        <w:rPr>
          <w:rFonts w:ascii="Times New Roman;Times;serif" w:hAnsi="Times New Roman;Times;serif"/>
          <w:sz w:val="22"/>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Times;serif" w:hAnsi="Times New Roman;Times;serif"/>
          <w:sz w:val="22"/>
          <w:u w:val="single"/>
        </w:rPr>
        <w:t>Schedule 10.02</w:t>
      </w:r>
      <w:r>
        <w:rPr>
          <w:rFonts w:ascii="Times New Roman;Times;serif" w:hAnsi="Times New Roman;Times;serif"/>
          <w:sz w:val="22"/>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sz w:val="22"/>
          <w:u w:val="single"/>
        </w:rPr>
        <w:t>provided</w:t>
      </w:r>
      <w:r>
        <w:rPr>
          <w:rFonts w:ascii="Times New Roman;Times;serif" w:hAnsi="Times New Roman;Times;serif"/>
          <w:sz w:val="22"/>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the Administrative Agent and each Lender (by electronic mail) of the posting of any such documents and provide to the Administrative Agent by electronic mail electronic versions (</w:t>
      </w:r>
      <w:r>
        <w:rPr>
          <w:rFonts w:ascii="Times New Roman;Times;serif" w:hAnsi="Times New Roman;Times;serif"/>
          <w:sz w:val="22"/>
          <w:u w:val="single"/>
        </w:rPr>
        <w:t>i.e.</w:t>
      </w:r>
      <w:r>
        <w:rPr>
          <w:rFonts w:ascii="Times New Roman;Times;serif" w:hAnsi="Times New Roman;Times;serif"/>
          <w:sz w:val="22"/>
        </w:rPr>
        <w:t>,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Borrower hereby acknowledges that (a) the Administrative Agent and/or the Arrangers will make available to the Lenders materials and/or information provided by or on behalf of the Borrower hereunder (collectively, “</w:t>
      </w:r>
      <w:r>
        <w:rPr>
          <w:rFonts w:ascii="Times New Roman;Times;serif" w:hAnsi="Times New Roman;Times;serif"/>
          <w:sz w:val="22"/>
          <w:u w:val="single"/>
        </w:rPr>
        <w:t>Borrower Materials</w:t>
      </w:r>
      <w:r>
        <w:rPr>
          <w:rFonts w:ascii="Times New Roman;Times;serif" w:hAnsi="Times New Roman;Times;serif"/>
          <w:sz w:val="22"/>
        </w:rPr>
        <w:t>”) by posting the Borrower Materials on IntraLinks or another similar electronic system (the “</w:t>
      </w:r>
      <w:r>
        <w:rPr>
          <w:rFonts w:ascii="Times New Roman;Times;serif" w:hAnsi="Times New Roman;Times;serif"/>
          <w:sz w:val="22"/>
          <w:u w:val="single"/>
        </w:rPr>
        <w:t>Platform</w:t>
      </w:r>
      <w:r>
        <w:rPr>
          <w:rFonts w:ascii="Times New Roman;Times;serif" w:hAnsi="Times New Roman;Times;serif"/>
          <w:sz w:val="22"/>
        </w:rPr>
        <w:t>”) and (b) certain of the Lenders (each, a “</w:t>
      </w:r>
      <w:r>
        <w:rPr>
          <w:rFonts w:ascii="Times New Roman;Times;serif" w:hAnsi="Times New Roman;Times;serif"/>
          <w:sz w:val="22"/>
          <w:u w:val="single"/>
        </w:rPr>
        <w:t>Public Lender</w:t>
      </w:r>
      <w:r>
        <w:rPr>
          <w:rFonts w:ascii="Times New Roman;Times;serif" w:hAnsi="Times New Roman;Times;serif"/>
          <w:sz w:val="22"/>
        </w:rPr>
        <w:t>”) may have personnel who do not wish to receive material non-public information (within the meaning of the United States Federal and state securities laws) with respect to any of the Borrower or its respective Affiliates, or the respective securities of any of the foregoing (“</w:t>
      </w:r>
      <w:r>
        <w:rPr>
          <w:rFonts w:ascii="Times New Roman;Times;serif" w:hAnsi="Times New Roman;Times;serif"/>
          <w:sz w:val="22"/>
          <w:u w:val="single"/>
        </w:rPr>
        <w:t>MNPI</w:t>
      </w:r>
      <w:r>
        <w:rPr>
          <w:rFonts w:ascii="Times New Roman;Times;serif" w:hAnsi="Times New Roman;Times;serif"/>
          <w:sz w:val="22"/>
        </w:rPr>
        <w:t xml:space="preserve">”), and who may be engaged in investment and other market 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MNPI with respect to the Borrower or its securities for purposes of United States Federal and state securities laws (provided, however, that to the extent such Borrower Materials constitute Information, they shall be treated as set forth in </w:t>
      </w:r>
      <w:r>
        <w:rPr>
          <w:rFonts w:ascii="Times New Roman;Times;serif" w:hAnsi="Times New Roman;Times;serif"/>
          <w:sz w:val="22"/>
          <w:u w:val="single"/>
        </w:rPr>
        <w:t>Section 10.07</w:t>
      </w:r>
      <w:r>
        <w:rPr>
          <w:rFonts w:ascii="Times New Roman;Times;serif" w:hAnsi="Times New Roman;Times;serif"/>
          <w:sz w:val="22"/>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not be under any obligation to mark any Borrower Materials “PUBLIC.”</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6.03</w:t>
      </w:r>
      <w:bookmarkStart w:id="2447" w:name="_Toc107702295"/>
      <w:bookmarkStart w:id="2448" w:name="_Toc236686907"/>
      <w:bookmarkStart w:id="2449" w:name="_Toc184647644"/>
      <w:bookmarkStart w:id="2450" w:name="_Toc184646716"/>
      <w:bookmarkStart w:id="2451" w:name="_Toc184645777"/>
      <w:bookmarkStart w:id="2452" w:name="_Toc184644971"/>
      <w:bookmarkStart w:id="2453" w:name="_Toc184644167"/>
      <w:bookmarkStart w:id="2454" w:name="_Toc184643363"/>
      <w:bookmarkStart w:id="2455" w:name="_Toc184642931"/>
      <w:bookmarkEnd w:id="2447"/>
      <w:bookmarkEnd w:id="2448"/>
      <w:bookmarkEnd w:id="2449"/>
      <w:bookmarkEnd w:id="2450"/>
      <w:bookmarkEnd w:id="2451"/>
      <w:bookmarkEnd w:id="2452"/>
      <w:bookmarkEnd w:id="2453"/>
      <w:bookmarkEnd w:id="2454"/>
      <w:bookmarkEnd w:id="2455"/>
      <w:r>
        <w:rPr>
          <w:rFonts w:ascii="Times New Roman;Times;serif" w:hAnsi="Times New Roman;Times;serif"/>
          <w:b/>
          <w:sz w:val="22"/>
        </w:rPr>
        <w:t>Notices</w:t>
      </w:r>
      <w:r>
        <w:rPr>
          <w:rFonts w:ascii="Times New Roman;Times;serif" w:hAnsi="Times New Roman;Times;serif"/>
          <w:sz w:val="22"/>
        </w:rPr>
        <w:t>.  Promptly notify the Administrative Agent and each Lender: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(a)of the occurrence of any Default;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(b)of any matter that has resulted or could reasonably be expected to result in a Material Adverse Effect, including (i) breach or non-performance of, or any default under, a Contractual Obligation of the Borrower or any Subsidiary; (ii) any dispute, litigation, investigation, proceeding or suspension between the Borrower or any Subsidiary and any Governmental Authority; or (iii) the commencement of, or any material development in, any litigation or proceeding affecting the Borrower or any Subsidiary, including pursuant to any applicable Environmental Laws, in each case that has resulted or could reasonably be expected to result in a Material Adverse Effect;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(c)of the occurrence of any ERISA Event;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(d)of any material change in accounting policies or financial reporting practices by the Borrower and its Subsidiaries on a consolidated basis;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(e)of any public announcement by (or written announcement received by the Borrower from) Moody’s, S&amp;P or Fitch of any change in a Debt Rating.</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Each notice pursuant to this Section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Times;serif" w:hAnsi="Times New Roman;Times;serif"/>
          <w:sz w:val="22"/>
          <w:u w:val="single"/>
        </w:rPr>
        <w:t>Section 6.03(a)</w:t>
      </w:r>
      <w:r>
        <w:rPr>
          <w:rFonts w:ascii="Times New Roman;Times;serif" w:hAnsi="Times New Roman;Times;serif"/>
          <w:sz w:val="22"/>
        </w:rPr>
        <w:t xml:space="preserve"> shall describe with particularity any and all provisions of this Agreement and any other Loan Document that have been breached, if 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6.04</w:t>
      </w:r>
      <w:bookmarkStart w:id="2456" w:name="_Toc107702296"/>
      <w:bookmarkStart w:id="2457" w:name="_Toc236686908"/>
      <w:bookmarkStart w:id="2458" w:name="_Toc184647645"/>
      <w:bookmarkStart w:id="2459" w:name="_Toc184646717"/>
      <w:bookmarkStart w:id="2460" w:name="_Toc184645778"/>
      <w:bookmarkStart w:id="2461" w:name="_Toc184644972"/>
      <w:bookmarkStart w:id="2462" w:name="_Toc184644168"/>
      <w:bookmarkStart w:id="2463" w:name="_Toc184643364"/>
      <w:bookmarkStart w:id="2464" w:name="_Toc184642932"/>
      <w:bookmarkEnd w:id="2456"/>
      <w:bookmarkEnd w:id="2457"/>
      <w:bookmarkEnd w:id="2458"/>
      <w:bookmarkEnd w:id="2459"/>
      <w:bookmarkEnd w:id="2460"/>
      <w:bookmarkEnd w:id="2461"/>
      <w:bookmarkEnd w:id="2462"/>
      <w:bookmarkEnd w:id="2463"/>
      <w:bookmarkEnd w:id="2464"/>
      <w:r>
        <w:rPr>
          <w:rFonts w:ascii="Times New Roman;Times;serif" w:hAnsi="Times New Roman;Times;serif"/>
          <w:b/>
          <w:sz w:val="22"/>
        </w:rPr>
        <w:t>Payment of Obligations</w:t>
      </w:r>
      <w:r>
        <w:rPr>
          <w:rFonts w:ascii="Times New Roman;Times;serif" w:hAnsi="Times New Roman;Times;serif"/>
          <w:sz w:val="22"/>
        </w:rPr>
        <w:t xml:space="preserve">.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but subject to any subordination provisions contained in any instrument or agreement evidencing such Indebtedness, except, in the case of </w:t>
      </w:r>
      <w:r>
        <w:rPr>
          <w:rFonts w:ascii="Times New Roman;Times;serif" w:hAnsi="Times New Roman;Times;serif"/>
          <w:sz w:val="22"/>
          <w:u w:val="single"/>
        </w:rPr>
        <w:t>clauses (a)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(c)</w:t>
      </w:r>
      <w:r>
        <w:rPr>
          <w:rFonts w:ascii="Times New Roman;Times;serif" w:hAnsi="Times New Roman;Times;serif"/>
          <w:sz w:val="22"/>
        </w:rPr>
        <w:t>, where the failure to do so, individually or in the aggregate, could not reasonably be expected to result in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6.05</w:t>
      </w:r>
      <w:bookmarkStart w:id="2465" w:name="_Toc107702297"/>
      <w:bookmarkStart w:id="2466" w:name="_Toc236686909"/>
      <w:bookmarkStart w:id="2467" w:name="_Toc184647646"/>
      <w:bookmarkStart w:id="2468" w:name="_Toc184646718"/>
      <w:bookmarkStart w:id="2469" w:name="_Toc184645779"/>
      <w:bookmarkStart w:id="2470" w:name="_Toc184644973"/>
      <w:bookmarkStart w:id="2471" w:name="_Toc184644169"/>
      <w:bookmarkStart w:id="2472" w:name="_Toc184643365"/>
      <w:bookmarkStart w:id="2473" w:name="_Toc184642933"/>
      <w:bookmarkEnd w:id="2465"/>
      <w:bookmarkEnd w:id="2466"/>
      <w:bookmarkEnd w:id="2467"/>
      <w:bookmarkEnd w:id="2468"/>
      <w:bookmarkEnd w:id="2469"/>
      <w:bookmarkEnd w:id="2470"/>
      <w:bookmarkEnd w:id="2471"/>
      <w:bookmarkEnd w:id="2472"/>
      <w:bookmarkEnd w:id="2473"/>
      <w:r>
        <w:rPr>
          <w:rFonts w:ascii="Times New Roman;Times;serif" w:hAnsi="Times New Roman;Times;serif"/>
          <w:b/>
          <w:sz w:val="22"/>
        </w:rPr>
        <w:t>Preservation of Existence, Etc</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(a)Preserve, renew and maintain in full force and effect its legal existence, except in a transaction permitted by </w:t>
      </w:r>
      <w:r>
        <w:rPr>
          <w:rFonts w:ascii="Times New Roman;Times;serif" w:hAnsi="Times New Roman;Times;serif"/>
          <w:sz w:val="22"/>
          <w:u w:val="single"/>
        </w:rPr>
        <w:t>Section 7.04</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(b)to the extent the concept of “good standing” exists under the Laws of the jurisdiction of its organization, preserve, renew and maintain in full force and effect its good standing under such Laws, except (i) in a transaction permitted by </w:t>
      </w:r>
      <w:r>
        <w:rPr>
          <w:rFonts w:ascii="Times New Roman;Times;serif" w:hAnsi="Times New Roman;Times;serif"/>
          <w:sz w:val="22"/>
          <w:u w:val="single"/>
        </w:rPr>
        <w:t>Section 7.04</w:t>
      </w:r>
      <w:r>
        <w:rPr>
          <w:rFonts w:ascii="Times New Roman;Times;serif" w:hAnsi="Times New Roman;Times;serif"/>
          <w:sz w:val="24"/>
        </w:rPr>
        <w:t xml:space="preserve"> </w:t>
      </w:r>
      <w:r>
        <w:rPr>
          <w:rFonts w:ascii="Times New Roman;Times;serif" w:hAnsi="Times New Roman;Times;serif"/>
          <w:sz w:val="22"/>
        </w:rPr>
        <w:t>or (ii) in the case of one or more Subsidiaries, to the extent that failure to maintain such good standing could not reasonably be expected to have a Material Adverse Effect, either individually or in the aggregate;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(c)take all reasonable action to maintain all rights, privileges, permits, licenses and franchises necessary or desirable in the normal conduct of its business, except to the extent that failure to do so could not reasonably be expected to have a Material Adverse Effect; and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(d)preserve or renew all of its registered patents, trademarks, trade names and service marks, the non-preservation of which could reasonably be expected to have a Material Adverse Effect.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6.06</w:t>
      </w:r>
      <w:bookmarkStart w:id="2474" w:name="_Toc107702298"/>
      <w:bookmarkStart w:id="2475" w:name="_Toc236686910"/>
      <w:bookmarkStart w:id="2476" w:name="_Toc184647647"/>
      <w:bookmarkStart w:id="2477" w:name="_Toc184646719"/>
      <w:bookmarkStart w:id="2478" w:name="_Toc184645780"/>
      <w:bookmarkStart w:id="2479" w:name="_Toc184644974"/>
      <w:bookmarkStart w:id="2480" w:name="_Toc184644170"/>
      <w:bookmarkStart w:id="2481" w:name="_Toc184643366"/>
      <w:bookmarkStart w:id="2482" w:name="_Toc184642934"/>
      <w:bookmarkEnd w:id="2474"/>
      <w:bookmarkEnd w:id="2475"/>
      <w:bookmarkEnd w:id="2476"/>
      <w:bookmarkEnd w:id="2477"/>
      <w:bookmarkEnd w:id="2478"/>
      <w:bookmarkEnd w:id="2479"/>
      <w:bookmarkEnd w:id="2480"/>
      <w:bookmarkEnd w:id="2481"/>
      <w:bookmarkEnd w:id="2482"/>
      <w:r>
        <w:rPr>
          <w:rFonts w:ascii="Times New Roman;Times;serif" w:hAnsi="Times New Roman;Times;serif"/>
          <w:b/>
          <w:sz w:val="22"/>
        </w:rPr>
        <w:t>Maintenance of Properties</w:t>
      </w:r>
      <w:r>
        <w:rPr>
          <w:rFonts w:ascii="Times New Roman;Times;serif" w:hAnsi="Times New Roman;Times;serif"/>
          <w:sz w:val="22"/>
        </w:rPr>
        <w:t>.  (a) Maintain, preserve and protect all of its properties and equipment in good working order and condition, ordinary wear and tear excepted; and</w:t>
      </w:r>
      <w:r>
        <w:rPr>
          <w:rFonts w:ascii="Times New Roman;Times;serif" w:hAnsi="Times New Roman;Times;serif"/>
          <w:sz w:val="24"/>
        </w:rPr>
        <w:t xml:space="preserve"> </w:t>
      </w:r>
      <w:r>
        <w:rPr>
          <w:rFonts w:ascii="Times New Roman;Times;serif" w:hAnsi="Times New Roman;Times;serif"/>
          <w:sz w:val="22"/>
        </w:rPr>
        <w:t>(b) make all necessary repairs thereto and renewals and replacements thereof, in each case except where the failure to do so could not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6.07</w:t>
      </w:r>
      <w:bookmarkStart w:id="2483" w:name="_Toc107702299"/>
      <w:bookmarkStart w:id="2484" w:name="_Toc236686911"/>
      <w:bookmarkStart w:id="2485" w:name="_Toc184647648"/>
      <w:bookmarkStart w:id="2486" w:name="_Toc184646720"/>
      <w:bookmarkStart w:id="2487" w:name="_Toc184645781"/>
      <w:bookmarkStart w:id="2488" w:name="_Toc184644975"/>
      <w:bookmarkStart w:id="2489" w:name="_Toc184644171"/>
      <w:bookmarkStart w:id="2490" w:name="_Toc184643367"/>
      <w:bookmarkStart w:id="2491" w:name="_Toc184642935"/>
      <w:bookmarkEnd w:id="2483"/>
      <w:bookmarkEnd w:id="2484"/>
      <w:bookmarkEnd w:id="2485"/>
      <w:bookmarkEnd w:id="2486"/>
      <w:bookmarkEnd w:id="2487"/>
      <w:bookmarkEnd w:id="2488"/>
      <w:bookmarkEnd w:id="2489"/>
      <w:bookmarkEnd w:id="2490"/>
      <w:bookmarkEnd w:id="2491"/>
      <w:r>
        <w:rPr>
          <w:rFonts w:ascii="Times New Roman;Times;serif" w:hAnsi="Times New Roman;Times;serif"/>
          <w:b/>
          <w:sz w:val="22"/>
        </w:rPr>
        <w:t>Maintenance of Insurance</w:t>
      </w:r>
      <w:r>
        <w:rPr>
          <w:rFonts w:ascii="Times New Roman;Times;serif" w:hAnsi="Times New Roman;Times;serif"/>
          <w:sz w:val="22"/>
        </w:rPr>
        <w:t>.  Maintain, with financially sound and responsible insurance companies or through self-insurance, insurance on all their respective properties in at least such amounts and against such risks (and with such risk retention) as are usually insured against in the same general area by companies of established repute engaged in the same or a similar business; and furnish to the Lenders, upon request from the Administrative Agent, information presented in reasonable detail as to the insurance so carried.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6.08</w:t>
      </w:r>
      <w:bookmarkStart w:id="2492" w:name="_Toc107702300"/>
      <w:bookmarkStart w:id="2493" w:name="_Toc236686912"/>
      <w:bookmarkStart w:id="2494" w:name="_Toc184647649"/>
      <w:bookmarkStart w:id="2495" w:name="_Toc184646721"/>
      <w:bookmarkStart w:id="2496" w:name="_Toc184645782"/>
      <w:bookmarkStart w:id="2497" w:name="_Toc184644976"/>
      <w:bookmarkStart w:id="2498" w:name="_Toc184644172"/>
      <w:bookmarkStart w:id="2499" w:name="_Toc184643368"/>
      <w:bookmarkStart w:id="2500" w:name="_Toc184642936"/>
      <w:bookmarkEnd w:id="2492"/>
      <w:bookmarkEnd w:id="2493"/>
      <w:bookmarkEnd w:id="2494"/>
      <w:bookmarkEnd w:id="2495"/>
      <w:bookmarkEnd w:id="2496"/>
      <w:bookmarkEnd w:id="2497"/>
      <w:bookmarkEnd w:id="2498"/>
      <w:bookmarkEnd w:id="2499"/>
      <w:bookmarkEnd w:id="2500"/>
      <w:r>
        <w:rPr>
          <w:rFonts w:ascii="Times New Roman;Times;serif" w:hAnsi="Times New Roman;Times;serif"/>
          <w:b/>
          <w:sz w:val="22"/>
        </w:rPr>
        <w:t>Compliance with Laws</w:t>
      </w:r>
      <w:r>
        <w:rPr>
          <w:rFonts w:ascii="Times New Roman;Times;serif" w:hAnsi="Times New Roman;Times;serif"/>
          <w:sz w:val="22"/>
        </w:rPr>
        <w:t xml:space="preserve">.  Comply in all material respects with the requirements of all Laws (including Environmental Laws and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6.09</w:t>
      </w:r>
      <w:bookmarkStart w:id="2501" w:name="_Toc107702301"/>
      <w:bookmarkStart w:id="2502" w:name="_Toc236686913"/>
      <w:bookmarkStart w:id="2503" w:name="_Toc184647650"/>
      <w:bookmarkStart w:id="2504" w:name="_Toc184646722"/>
      <w:bookmarkStart w:id="2505" w:name="_Toc184645783"/>
      <w:bookmarkStart w:id="2506" w:name="_Toc184644977"/>
      <w:bookmarkStart w:id="2507" w:name="_Toc184644173"/>
      <w:bookmarkStart w:id="2508" w:name="_Toc184643369"/>
      <w:bookmarkStart w:id="2509" w:name="_Toc184642937"/>
      <w:bookmarkEnd w:id="2501"/>
      <w:bookmarkEnd w:id="2502"/>
      <w:bookmarkEnd w:id="2503"/>
      <w:bookmarkEnd w:id="2504"/>
      <w:bookmarkEnd w:id="2505"/>
      <w:bookmarkEnd w:id="2506"/>
      <w:bookmarkEnd w:id="2507"/>
      <w:bookmarkEnd w:id="2508"/>
      <w:bookmarkEnd w:id="2509"/>
      <w:r>
        <w:rPr>
          <w:rFonts w:ascii="Times New Roman;Times;serif" w:hAnsi="Times New Roman;Times;serif"/>
          <w:b/>
          <w:sz w:val="22"/>
        </w:rPr>
        <w:t>Books and Records</w:t>
      </w:r>
      <w:r>
        <w:rPr>
          <w:rFonts w:ascii="Times New Roman;Times;serif" w:hAnsi="Times New Roman;Times;serif"/>
          <w:sz w:val="22"/>
        </w:rPr>
        <w:t>. (a)</w:t>
      </w:r>
      <w:r>
        <w:rPr>
          <w:rFonts w:ascii="Times New Roman;Times;serif" w:hAnsi="Times New Roman;Times;serif"/>
          <w:sz w:val="24"/>
        </w:rPr>
        <w:t xml:space="preserve"> </w:t>
      </w:r>
      <w:r>
        <w:rPr>
          <w:rFonts w:ascii="Times New Roman;Times;serif" w:hAnsi="Times New Roman;Times;serif"/>
          <w:sz w:val="22"/>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 and (b) maintain such books of record and account in material conformity with all applicable requirements of any Governmental Authority having regulatory jurisdiction over the Borrower or such Subsidiary, as the case may be.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6.10</w:t>
      </w:r>
      <w:bookmarkStart w:id="2510" w:name="_Toc107702302"/>
      <w:bookmarkStart w:id="2511" w:name="_Toc236686914"/>
      <w:bookmarkStart w:id="2512" w:name="_Toc184647651"/>
      <w:bookmarkStart w:id="2513" w:name="_Toc184646723"/>
      <w:bookmarkStart w:id="2514" w:name="_Toc184645784"/>
      <w:bookmarkStart w:id="2515" w:name="_Toc184644978"/>
      <w:bookmarkStart w:id="2516" w:name="_Toc184644174"/>
      <w:bookmarkStart w:id="2517" w:name="_Toc184643370"/>
      <w:bookmarkStart w:id="2518" w:name="_Toc184642938"/>
      <w:bookmarkEnd w:id="2510"/>
      <w:bookmarkEnd w:id="2511"/>
      <w:bookmarkEnd w:id="2512"/>
      <w:bookmarkEnd w:id="2513"/>
      <w:bookmarkEnd w:id="2514"/>
      <w:bookmarkEnd w:id="2515"/>
      <w:bookmarkEnd w:id="2516"/>
      <w:bookmarkEnd w:id="2517"/>
      <w:bookmarkEnd w:id="2518"/>
      <w:r>
        <w:rPr>
          <w:rFonts w:ascii="Times New Roman;Times;serif" w:hAnsi="Times New Roman;Times;serif"/>
          <w:b/>
          <w:sz w:val="22"/>
        </w:rPr>
        <w:t>Inspection Rights</w:t>
      </w:r>
      <w:r>
        <w:rPr>
          <w:rFonts w:ascii="Times New Roman;Times;serif" w:hAnsi="Times New Roman;Times;serif"/>
          <w:sz w:val="22"/>
        </w:rPr>
        <w:t xml:space="preserve">.  Permit representatives of the Administrative Agent and each Lender, at their own expense and no more than one time per calendar year,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Borrower;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when an Event of Default exists the Administrative Agent or any Lender (or any of their respective representatives or independent contractors) may do any of the foregoing at the expense of the Borrower any number of times and at any time during normal business hours and without advance notice.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6.11</w:t>
      </w:r>
      <w:bookmarkStart w:id="2519" w:name="_Toc236686915"/>
      <w:bookmarkStart w:id="2520" w:name="_Toc107702303"/>
      <w:bookmarkStart w:id="2521" w:name="_Toc184647652"/>
      <w:bookmarkStart w:id="2522" w:name="_Toc184646724"/>
      <w:bookmarkStart w:id="2523" w:name="_Toc184645785"/>
      <w:bookmarkStart w:id="2524" w:name="_Toc184644979"/>
      <w:bookmarkStart w:id="2525" w:name="_Toc184644175"/>
      <w:bookmarkStart w:id="2526" w:name="_Toc184643371"/>
      <w:bookmarkStart w:id="2527" w:name="_Toc184642939"/>
      <w:bookmarkEnd w:id="2519"/>
      <w:bookmarkEnd w:id="2520"/>
      <w:bookmarkEnd w:id="2521"/>
      <w:bookmarkEnd w:id="2522"/>
      <w:bookmarkEnd w:id="2523"/>
      <w:bookmarkEnd w:id="2524"/>
      <w:bookmarkEnd w:id="2525"/>
      <w:bookmarkEnd w:id="2526"/>
      <w:bookmarkEnd w:id="2527"/>
      <w:r>
        <w:rPr>
          <w:rFonts w:ascii="Times New Roman;Times;serif" w:hAnsi="Times New Roman;Times;serif"/>
          <w:b/>
          <w:sz w:val="22"/>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6.12</w:t>
      </w:r>
      <w:bookmarkStart w:id="2528" w:name="_Toc107702304"/>
      <w:bookmarkStart w:id="2529" w:name="_Toc236686916"/>
      <w:bookmarkStart w:id="2530" w:name="_Toc184647653"/>
      <w:bookmarkStart w:id="2531" w:name="_Toc184646725"/>
      <w:bookmarkStart w:id="2532" w:name="_Toc184645786"/>
      <w:bookmarkStart w:id="2533" w:name="_Toc184644980"/>
      <w:bookmarkStart w:id="2534" w:name="_Toc184644176"/>
      <w:bookmarkStart w:id="2535" w:name="_Toc184643372"/>
      <w:bookmarkStart w:id="2536" w:name="_Toc184642940"/>
      <w:bookmarkEnd w:id="2528"/>
      <w:bookmarkEnd w:id="2529"/>
      <w:bookmarkEnd w:id="2530"/>
      <w:bookmarkEnd w:id="2531"/>
      <w:bookmarkEnd w:id="2532"/>
      <w:bookmarkEnd w:id="2533"/>
      <w:bookmarkEnd w:id="2534"/>
      <w:bookmarkEnd w:id="2535"/>
      <w:bookmarkEnd w:id="2536"/>
      <w:r>
        <w:rPr>
          <w:rFonts w:ascii="Times New Roman;Times;serif" w:hAnsi="Times New Roman;Times;serif"/>
          <w:b/>
          <w:sz w:val="22"/>
        </w:rPr>
        <w:t>Anti-Corruption and Anti-Terrorism Laws</w:t>
      </w:r>
      <w:r>
        <w:rPr>
          <w:rFonts w:ascii="Times New Roman;Times;serif" w:hAnsi="Times New Roman;Times;serif"/>
          <w:sz w:val="22"/>
        </w:rPr>
        <w:t>.  Conduct its businesses in compliance in all material respects with the PATRIOT Act,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6.13</w:t>
      </w:r>
      <w:bookmarkStart w:id="2537" w:name="_Toc107702305"/>
      <w:bookmarkStart w:id="2538" w:name="_Toc236686917"/>
      <w:bookmarkStart w:id="2539" w:name="_Toc184647654"/>
      <w:bookmarkStart w:id="2540" w:name="_Toc184646726"/>
      <w:bookmarkStart w:id="2541" w:name="_Toc184645787"/>
      <w:bookmarkStart w:id="2542" w:name="_Toc184644981"/>
      <w:bookmarkStart w:id="2543" w:name="_Toc184644177"/>
      <w:bookmarkStart w:id="2544" w:name="_Toc184643373"/>
      <w:bookmarkStart w:id="2545" w:name="_Toc184642941"/>
      <w:bookmarkEnd w:id="2537"/>
      <w:bookmarkEnd w:id="2538"/>
      <w:bookmarkEnd w:id="2539"/>
      <w:bookmarkEnd w:id="2540"/>
      <w:bookmarkEnd w:id="2541"/>
      <w:bookmarkEnd w:id="2542"/>
      <w:bookmarkEnd w:id="2543"/>
      <w:bookmarkEnd w:id="2544"/>
      <w:bookmarkEnd w:id="2545"/>
      <w:r>
        <w:rPr>
          <w:rFonts w:ascii="Times New Roman;Times;serif" w:hAnsi="Times New Roman;Times;serif"/>
          <w:b/>
          <w:sz w:val="22"/>
        </w:rPr>
        <w:t>Other Additional Information</w:t>
      </w:r>
      <w:r>
        <w:rPr>
          <w:rFonts w:ascii="Times New Roman;Times;serif" w:hAnsi="Times New Roman;Times;serif"/>
          <w:sz w:val="22"/>
        </w:rPr>
        <w:t>.  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if applicable.</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VII.</w:t>
      </w:r>
      <w:bookmarkStart w:id="2546" w:name="_Toc236686918"/>
      <w:bookmarkStart w:id="2547" w:name="_Toc235705465"/>
      <w:bookmarkStart w:id="2548" w:name="_Toc207211201"/>
      <w:bookmarkStart w:id="2549" w:name="_Toc197360556"/>
      <w:bookmarkStart w:id="2550" w:name="_Toc197360205"/>
      <w:bookmarkStart w:id="2551" w:name="_Toc187311301"/>
      <w:bookmarkStart w:id="2552" w:name="_Toc184648441"/>
      <w:bookmarkStart w:id="2553" w:name="_Toc184648310"/>
      <w:bookmarkStart w:id="2554" w:name="_Toc184648179"/>
      <w:bookmarkStart w:id="2555" w:name="_Toc184648048"/>
      <w:bookmarkStart w:id="2556" w:name="_Toc184647917"/>
      <w:bookmarkStart w:id="2557" w:name="_Toc184647655"/>
      <w:bookmarkStart w:id="2558" w:name="_Toc184647522"/>
      <w:bookmarkStart w:id="2559" w:name="_Toc184647390"/>
      <w:bookmarkStart w:id="2560" w:name="_Toc184647258"/>
      <w:bookmarkStart w:id="2561" w:name="_Toc184647126"/>
      <w:bookmarkStart w:id="2562" w:name="_Toc184646994"/>
      <w:bookmarkStart w:id="2563" w:name="_Toc184646727"/>
      <w:bookmarkStart w:id="2564" w:name="_Toc184646593"/>
      <w:bookmarkStart w:id="2565" w:name="_Toc184646459"/>
      <w:bookmarkStart w:id="2566" w:name="_Toc184646325"/>
      <w:bookmarkStart w:id="2567" w:name="_Toc184646191"/>
      <w:bookmarkStart w:id="2568" w:name="_Toc184646057"/>
      <w:bookmarkStart w:id="2569" w:name="_Toc184645788"/>
      <w:bookmarkStart w:id="2570" w:name="_Toc184645654"/>
      <w:bookmarkStart w:id="2571" w:name="_Toc184645520"/>
      <w:bookmarkStart w:id="2572" w:name="_Toc184645386"/>
      <w:bookmarkStart w:id="2573" w:name="_Toc184645252"/>
      <w:bookmarkStart w:id="2574" w:name="_Toc184644982"/>
      <w:bookmarkStart w:id="2575" w:name="_Toc184644848"/>
      <w:bookmarkStart w:id="2576" w:name="_Toc184644714"/>
      <w:bookmarkStart w:id="2577" w:name="_Toc184644580"/>
      <w:bookmarkStart w:id="2578" w:name="_Toc184644446"/>
      <w:bookmarkStart w:id="2579" w:name="_Toc107702306"/>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r>
        <w:rPr>
          <w:rFonts w:ascii="Times New Roman;Times;serif" w:hAnsi="Times New Roman;Times;serif"/>
          <w:b/>
          <w:caps/>
          <w:sz w:val="24"/>
        </w:rPr>
        <w:t>​</w:t>
      </w:r>
      <w:r>
        <w:rPr>
          <w:rFonts w:ascii="Times New Roman;Times;serif" w:hAnsi="Times New Roman;Times;serif"/>
          <w:b/>
          <w:caps/>
          <w:sz w:val="22"/>
        </w:rPr>
        <w:br/>
      </w:r>
      <w:bookmarkStart w:id="2580" w:name="_Toc184644178"/>
      <w:bookmarkStart w:id="2581" w:name="_Toc184644044"/>
      <w:bookmarkStart w:id="2582" w:name="_Toc184643910"/>
      <w:bookmarkStart w:id="2583" w:name="_Toc184643776"/>
      <w:bookmarkStart w:id="2584" w:name="_Toc184643642"/>
      <w:bookmarkStart w:id="2585" w:name="_Toc184643374"/>
      <w:bookmarkStart w:id="2586" w:name="_Toc184643022"/>
      <w:bookmarkStart w:id="2587" w:name="_Toc184642942"/>
      <w:bookmarkEnd w:id="2580"/>
      <w:bookmarkEnd w:id="2581"/>
      <w:bookmarkEnd w:id="2582"/>
      <w:bookmarkEnd w:id="2583"/>
      <w:bookmarkEnd w:id="2584"/>
      <w:bookmarkEnd w:id="2585"/>
      <w:bookmarkEnd w:id="2586"/>
      <w:bookmarkEnd w:id="2587"/>
      <w:r>
        <w:rPr>
          <w:rFonts w:ascii="Times New Roman;Times;serif" w:hAnsi="Times New Roman;Times;serif"/>
          <w:b/>
          <w:caps/>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So long as any Lender shall have any Commitment hereunder, any Loan or other Obligation hereunder shall remain unpaid or unsatisfied, the Borrower shall not, nor shall it permit any Subsidiary to, directly or indirectly: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7.01</w:t>
      </w:r>
      <w:bookmarkStart w:id="2588" w:name="_Toc107702307"/>
      <w:bookmarkStart w:id="2589" w:name="_Toc236686919"/>
      <w:bookmarkStart w:id="2590" w:name="_Toc184647656"/>
      <w:bookmarkStart w:id="2591" w:name="_Toc184646728"/>
      <w:bookmarkStart w:id="2592" w:name="_Toc184645789"/>
      <w:bookmarkStart w:id="2593" w:name="_Toc184644983"/>
      <w:bookmarkStart w:id="2594" w:name="_Toc184644179"/>
      <w:bookmarkStart w:id="2595" w:name="_Toc184643375"/>
      <w:bookmarkStart w:id="2596" w:name="_Toc184642943"/>
      <w:bookmarkEnd w:id="2588"/>
      <w:bookmarkEnd w:id="2589"/>
      <w:bookmarkEnd w:id="2590"/>
      <w:bookmarkEnd w:id="2591"/>
      <w:bookmarkEnd w:id="2592"/>
      <w:bookmarkEnd w:id="2593"/>
      <w:bookmarkEnd w:id="2594"/>
      <w:bookmarkEnd w:id="2595"/>
      <w:bookmarkEnd w:id="2596"/>
      <w:r>
        <w:rPr>
          <w:rFonts w:ascii="Times New Roman;Times;serif" w:hAnsi="Times New Roman;Times;serif"/>
          <w:b/>
          <w:sz w:val="22"/>
        </w:rPr>
        <w:t>Liens</w:t>
      </w:r>
      <w:r>
        <w:rPr>
          <w:rFonts w:ascii="Times New Roman;Times;serif" w:hAnsi="Times New Roman;Times;serif"/>
          <w:sz w:val="22"/>
        </w:rPr>
        <w:t xml:space="preserve">.  Create, incur, assume or suffer to exist any Lien upon any of its property, assets or revenues, whether now owned or hereafter acquired, other than the following: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(a)Liens pursuant to any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(b)Liens existing on the date hereof and listed on </w:t>
      </w:r>
      <w:r>
        <w:rPr>
          <w:rFonts w:ascii="Times New Roman;Times;serif" w:hAnsi="Times New Roman;Times;serif"/>
          <w:sz w:val="22"/>
          <w:u w:val="single"/>
        </w:rPr>
        <w:t>Schedule 7.01</w:t>
      </w:r>
      <w:r>
        <w:rPr>
          <w:rFonts w:ascii="Times New Roman;Times;serif" w:hAnsi="Times New Roman;Times;serif"/>
          <w:sz w:val="24"/>
        </w:rPr>
        <w:t xml:space="preserve"> </w:t>
      </w:r>
      <w:r>
        <w:rPr>
          <w:rFonts w:ascii="Times New Roman;Times;serif" w:hAnsi="Times New Roman;Times;serif"/>
          <w:sz w:val="22"/>
        </w:rPr>
        <w:t xml:space="preserve">and any renewals or extensions thereof,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 the property covered thereby is not changed, (ii) the amount secured or benefited thereby is not increased, and (iii) any renewal or extension of the obligations secured or benefited thereby is permitted by </w:t>
      </w:r>
      <w:r>
        <w:rPr>
          <w:rFonts w:ascii="Times New Roman;Times;serif" w:hAnsi="Times New Roman;Times;serif"/>
          <w:sz w:val="22"/>
          <w:u w:val="single"/>
        </w:rPr>
        <w:t>Section 7.03(b)</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(c)Liens for taxes, assessments or other governmental charges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(d)carriers’, warehousemen’s, mechanics’, materialmen’s, repairmen’s or other like Liens arising in the ordinary course of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(e)pledges or deposits in the ordinary course of business in connection with workers’ compensation, unemployment insurance and other social security legislation, other than any Lien imposed by ERISA;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(f)deposits to secure the performance of bids, trade contracts and leases (other than Indebtedness for borrowed money), statutory obligations, surety bonds (other than bonds related to judgments or litigation), performance bonds and other obligations of a like nature incurred in the ordinary course of business;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(h)Liens securing judgments for the payment of money not constituting an Event of Default under </w:t>
      </w:r>
      <w:r>
        <w:rPr>
          <w:rFonts w:ascii="Times New Roman;Times;serif" w:hAnsi="Times New Roman;Times;serif"/>
          <w:sz w:val="22"/>
          <w:u w:val="single"/>
        </w:rPr>
        <w:t>Section 8.01(h)</w:t>
      </w:r>
      <w:r>
        <w:rPr>
          <w:rFonts w:ascii="Times New Roman;Times;serif" w:hAnsi="Times New Roman;Times;serif"/>
          <w:sz w:val="24"/>
        </w:rPr>
        <w:t xml:space="preserve"> </w:t>
      </w:r>
      <w:r>
        <w:rPr>
          <w:rFonts w:ascii="Times New Roman;Times;serif" w:hAnsi="Times New Roman;Times;serif"/>
          <w:sz w:val="22"/>
        </w:rPr>
        <w:t>or securing appeal or other surety bonds related to such judgments;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(i)Liens securing Indebtedness permitted under </w:t>
      </w:r>
      <w:r>
        <w:rPr>
          <w:rFonts w:ascii="Times New Roman;Times;serif" w:hAnsi="Times New Roman;Times;serif"/>
          <w:sz w:val="22"/>
          <w:u w:val="single"/>
        </w:rPr>
        <w:t>Section 7.03(d)</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 such Liens do not at any time encumber any property other than the property financed by such Indebtedness, (ii) the Indebtedness secured thereby does not exceed the cost of the property being acquired on the date of acquisition, and (iii) such Lien attached concurrently with, or within 270 days after, the acquisition of the property encumbered thereby;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(j)Liens on accounts receivable subject to Permitted Securitization Facilities which Liens secure (or encumber such accounts receivable to provide credit support for) such facilities;</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(k)(i) Liens on inventory acquired in the ordinary course of business to secure the purchase price of such inventory or to secure Indebtedness incurred solely for the purpose of financing the acquisition of such inventory and (ii) Liens on inventory or the proceeds thereof acquired in the ordinary course of business to the extent that the purchase price for such inventory was prepaid by a third-party and such Liens secure the repayment by the Borrower or its Subsidiaries of such prepaid amounts;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in each case, the Indebtedness secured thereby does not exceed the cost of such inventory;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(l)any Lien arising out of the refinancing, extension, renewal or refunding of any secured Indebtedness,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 prior to such refinancing, extension, renewal or refunding, the collateral for such secured Indebtedness (the “original Indebtedness”) is permitted by this </w:t>
      </w:r>
      <w:r>
        <w:rPr>
          <w:rFonts w:ascii="Times New Roman;Times;serif" w:hAnsi="Times New Roman;Times;serif"/>
          <w:sz w:val="22"/>
          <w:u w:val="single"/>
        </w:rPr>
        <w:t>Section 7.01</w:t>
      </w:r>
      <w:r>
        <w:rPr>
          <w:rFonts w:ascii="Times New Roman;Times;serif" w:hAnsi="Times New Roman;Times;serif"/>
          <w:sz w:val="22"/>
        </w:rPr>
        <w:t xml:space="preserve">, (ii) after giving effect to such refinancing, extension, renewal or refunding, the property covered by such Lien is not changed from the property securing the original Indebtedness, (iii) the amount secured or benefited by such Lien is not increased above the amount secured by such property under the original Indebtedness, and (iv) any such refinancing, extension, renewal or refunding of Indebtedness is permitted by </w:t>
      </w:r>
      <w:r>
        <w:rPr>
          <w:rFonts w:ascii="Times New Roman;Times;serif" w:hAnsi="Times New Roman;Times;serif"/>
          <w:sz w:val="22"/>
          <w:u w:val="single"/>
        </w:rPr>
        <w:t>Section 7.03</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(m)Liens on cash collateral or government securities to secure Swap Contracts,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the aggregate fair market value of such cash collateral and government securities does not exceed $25,000,000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(n)Liens on assets of Foreign Subsidiaries to secure Indebtedness of such Foreign Subsidiaries,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aggregate principal amount of Indebtedness secured by such Liens does not exceed $50,000,000 at any time;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(o)Liens securing Indebtedness permitted under </w:t>
      </w:r>
      <w:r>
        <w:rPr>
          <w:rFonts w:ascii="Times New Roman;Times;serif" w:hAnsi="Times New Roman;Times;serif"/>
          <w:sz w:val="22"/>
          <w:u w:val="single"/>
        </w:rPr>
        <w:t>Section 7.03(k)</w:t>
      </w:r>
      <w:r>
        <w:rPr>
          <w:rFonts w:ascii="Times New Roman;Times;serif" w:hAnsi="Times New Roman;Times;serif"/>
          <w:sz w:val="22"/>
        </w:rPr>
        <w: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(p)Liens not otherwise permitted under </w:t>
      </w:r>
      <w:r>
        <w:rPr>
          <w:rFonts w:ascii="Times New Roman;Times;serif" w:hAnsi="Times New Roman;Times;serif"/>
          <w:sz w:val="22"/>
          <w:u w:val="single"/>
        </w:rPr>
        <w:t>clauses (a)-(o)</w:t>
      </w:r>
      <w:r>
        <w:rPr>
          <w:rFonts w:ascii="Times New Roman;Times;serif" w:hAnsi="Times New Roman;Times;serif"/>
          <w:sz w:val="24"/>
        </w:rPr>
        <w:t xml:space="preserve"> </w:t>
      </w:r>
      <w:r>
        <w:rPr>
          <w:rFonts w:ascii="Times New Roman;Times;serif" w:hAnsi="Times New Roman;Times;serif"/>
          <w:sz w:val="22"/>
        </w:rPr>
        <w:t xml:space="preserve">of this </w:t>
      </w:r>
      <w:r>
        <w:rPr>
          <w:rFonts w:ascii="Times New Roman;Times;serif" w:hAnsi="Times New Roman;Times;serif"/>
          <w:sz w:val="22"/>
          <w:u w:val="single"/>
        </w:rPr>
        <w:t>Section 7.01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the aggregate fair market value of all assets subject to such Liens does not exceed 10.0% of Consolidated Tangible Net Worth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7.02</w:t>
      </w:r>
      <w:bookmarkStart w:id="2597" w:name="_Toc107702308"/>
      <w:bookmarkStart w:id="2598" w:name="_Toc236686920"/>
      <w:bookmarkStart w:id="2599" w:name="_Toc184647657"/>
      <w:bookmarkStart w:id="2600" w:name="_Toc184646729"/>
      <w:bookmarkStart w:id="2601" w:name="_Toc184645790"/>
      <w:bookmarkStart w:id="2602" w:name="_Toc184644984"/>
      <w:bookmarkStart w:id="2603" w:name="_Toc184644180"/>
      <w:bookmarkStart w:id="2604" w:name="_Toc184643376"/>
      <w:bookmarkStart w:id="2605" w:name="_Toc184642944"/>
      <w:bookmarkEnd w:id="2597"/>
      <w:bookmarkEnd w:id="2598"/>
      <w:bookmarkEnd w:id="2599"/>
      <w:bookmarkEnd w:id="2600"/>
      <w:bookmarkEnd w:id="2601"/>
      <w:bookmarkEnd w:id="2602"/>
      <w:bookmarkEnd w:id="2603"/>
      <w:bookmarkEnd w:id="2604"/>
      <w:bookmarkEnd w:id="2605"/>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7.03</w:t>
      </w:r>
      <w:bookmarkStart w:id="2606" w:name="_Toc107702309"/>
      <w:bookmarkStart w:id="2607" w:name="_Toc236686921"/>
      <w:bookmarkStart w:id="2608" w:name="_Toc184647658"/>
      <w:bookmarkStart w:id="2609" w:name="_Toc184646730"/>
      <w:bookmarkStart w:id="2610" w:name="_Toc184645791"/>
      <w:bookmarkStart w:id="2611" w:name="_Toc184644985"/>
      <w:bookmarkStart w:id="2612" w:name="_Toc184644181"/>
      <w:bookmarkStart w:id="2613" w:name="_Toc184643377"/>
      <w:bookmarkStart w:id="2614" w:name="_Toc184642945"/>
      <w:bookmarkEnd w:id="2606"/>
      <w:bookmarkEnd w:id="2607"/>
      <w:bookmarkEnd w:id="2608"/>
      <w:bookmarkEnd w:id="2609"/>
      <w:bookmarkEnd w:id="2610"/>
      <w:bookmarkEnd w:id="2611"/>
      <w:bookmarkEnd w:id="2612"/>
      <w:bookmarkEnd w:id="2613"/>
      <w:bookmarkEnd w:id="2614"/>
      <w:r>
        <w:rPr>
          <w:rFonts w:ascii="Times New Roman;Times;serif" w:hAnsi="Times New Roman;Times;serif"/>
          <w:b/>
          <w:sz w:val="22"/>
        </w:rPr>
        <w:t>Indebtedness</w:t>
      </w:r>
      <w:r>
        <w:rPr>
          <w:rFonts w:ascii="Times New Roman;Times;serif" w:hAnsi="Times New Roman;Times;serif"/>
          <w:sz w:val="22"/>
        </w:rPr>
        <w:t>.  Create, incur, assume or suffer to exist any Indebtedness, except: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(a)Indebtedness under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(b)Indebtedness outstanding on the date hereof listed on </w:t>
      </w:r>
      <w:r>
        <w:rPr>
          <w:rFonts w:ascii="Times New Roman;Times;serif" w:hAnsi="Times New Roman;Times;serif"/>
          <w:sz w:val="22"/>
          <w:u w:val="single"/>
        </w:rPr>
        <w:t>Schedule 7.03</w:t>
      </w:r>
      <w:r>
        <w:rPr>
          <w:rFonts w:ascii="Times New Roman;Times;serif" w:hAnsi="Times New Roman;Times;serif"/>
          <w:sz w:val="24"/>
        </w:rPr>
        <w:t xml:space="preserve"> </w:t>
      </w:r>
      <w:r>
        <w:rPr>
          <w:rFonts w:ascii="Times New Roman;Times;serif" w:hAnsi="Times New Roman;Times;serif"/>
          <w:sz w:val="22"/>
        </w:rPr>
        <w:t>and any renewal or replacement thereof, so long as such renewal or replacement does not increase the amount of such Indebtedness;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(c)obligations (contingent or otherwise) of the Borrower or any Subsidiary existing or arising under any Swap Contract,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(d)Indebtedness in respect of capital leases, Synthetic Lease Obligations and purchase money obligations for fixed or capital assets within the limitations set forth in the proviso to </w:t>
      </w:r>
      <w:r>
        <w:rPr>
          <w:rFonts w:ascii="Times New Roman;Times;serif" w:hAnsi="Times New Roman;Times;serif"/>
          <w:sz w:val="22"/>
          <w:u w:val="single"/>
        </w:rPr>
        <w:t>Section 7.01(i)</w:t>
      </w:r>
      <w:r>
        <w:rPr>
          <w:rFonts w:ascii="Times New Roman;Times;serif" w:hAnsi="Times New Roman;Times;serif"/>
          <w:sz w:val="22"/>
        </w:rPr>
        <w:t xml:space="preserv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(e)Indebtedness of Subsidiaries in an aggregate principal amount not to exceed $750,000,000 at any time outstanding;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(f)any Guarantee by the Borrower of Indebtedness of any Subsidiary permitted by this </w:t>
      </w:r>
      <w:r>
        <w:rPr>
          <w:rFonts w:ascii="Times New Roman;Times;serif" w:hAnsi="Times New Roman;Times;serif"/>
          <w:sz w:val="22"/>
          <w:u w:val="single"/>
        </w:rPr>
        <w:t>Section 7.03</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(g)Indebtedness under Permitted Securitization Facilities;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(h)Indebtedness of a Person, or in respect of assets, acquired and existing at the time of such Acquisition;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 such Indebtedness (x) shall not have been incurred in contemplation of such Acquisition, (y) may not be extended, renewed or refunded except as otherwise permitted by this Agreement, and (z) in the case of Indebtedness secured by a Lien on the assets acquired pursuant to any such Acquisition (or on the assets of a Person that becomes a Subsidiary as a result of such Acquisition), such Indebtedness, together with any other secured Indebtedness permitted by this </w:t>
      </w:r>
      <w:r>
        <w:rPr>
          <w:rFonts w:ascii="Times New Roman;Times;serif" w:hAnsi="Times New Roman;Times;serif"/>
          <w:sz w:val="22"/>
          <w:u w:val="single"/>
        </w:rPr>
        <w:t>clause (h)</w:t>
      </w:r>
      <w:r>
        <w:rPr>
          <w:rFonts w:ascii="Times New Roman;Times;serif" w:hAnsi="Times New Roman;Times;serif"/>
          <w:sz w:val="22"/>
        </w:rPr>
        <w:t>, shall not exceed $50,000,000 in the aggregate outstanding at any time and (II) neither the Borrower nor any Subsidiary (other than a Person acquired as part of such Acquisition) is directly or indirectly liable for such Indebtedness, whether through any Guarantee or otherwise, other than liability with respect to which recourse is limited to the assets so acquired;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(i)unsecured Indebtedness of the Borrower;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(j)Indebtedness owed by any Subsidiary to the Borrower or any other Subsidiary (“</w:t>
      </w:r>
      <w:r>
        <w:rPr>
          <w:rFonts w:ascii="Times New Roman;Times;serif" w:hAnsi="Times New Roman;Times;serif"/>
          <w:sz w:val="22"/>
          <w:u w:val="single"/>
        </w:rPr>
        <w:t>Inter-Company Indebtedness</w:t>
      </w:r>
      <w:r>
        <w:rPr>
          <w:rFonts w:ascii="Times New Roman;Times;serif" w:hAnsi="Times New Roman;Times;serif"/>
          <w:sz w:val="24"/>
        </w:rPr>
        <w:t>”</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(k)Indebtedness owed by a Subsidiary of the Borrower incurred in connection with the financing of a new warehouse facility to be located in Bernberg, Germany, in an aggregate principal amount not to exceed €250,000,000 at any time outstanding;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(l)Indebtedness under the Revolving Credit Agreement and the Existing Term Loan Credit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7.04</w:t>
      </w:r>
      <w:bookmarkStart w:id="2615" w:name="_Toc107702310"/>
      <w:bookmarkStart w:id="2616" w:name="_Toc236686922"/>
      <w:bookmarkStart w:id="2617" w:name="_Toc184647659"/>
      <w:bookmarkStart w:id="2618" w:name="_Toc184646731"/>
      <w:bookmarkStart w:id="2619" w:name="_Toc184645792"/>
      <w:bookmarkStart w:id="2620" w:name="_Toc184644986"/>
      <w:bookmarkStart w:id="2621" w:name="_Toc184644182"/>
      <w:bookmarkStart w:id="2622" w:name="_Toc184643378"/>
      <w:bookmarkStart w:id="2623" w:name="_Toc184642946"/>
      <w:bookmarkEnd w:id="2615"/>
      <w:bookmarkEnd w:id="2616"/>
      <w:bookmarkEnd w:id="2617"/>
      <w:bookmarkEnd w:id="2618"/>
      <w:bookmarkEnd w:id="2619"/>
      <w:bookmarkEnd w:id="2620"/>
      <w:bookmarkEnd w:id="2621"/>
      <w:bookmarkEnd w:id="2622"/>
      <w:bookmarkEnd w:id="2623"/>
      <w:r>
        <w:rPr>
          <w:rFonts w:ascii="Times New Roman;Times;serif" w:hAnsi="Times New Roman;Times;serif"/>
          <w:b/>
          <w:sz w:val="22"/>
        </w:rPr>
        <w:t>Fundamental Changes</w:t>
      </w:r>
      <w:r>
        <w:rPr>
          <w:rFonts w:ascii="Times New Roman;Times;serif" w:hAnsi="Times New Roman;Times;serif"/>
          <w:sz w:val="22"/>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(a)any Subsidiary may merge with (i) the Borrower,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Borrower shall be the continuing or surviving Person, or (ii) any one or more other Subsidiaries;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(b)any Subsidiary may Dispose of all or substantially all of its assets (upon voluntary liquidation or otherwise) to the Borrower or to another Subsidiary;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(c)any Subsidiary (other than the Borrower or a Material Subsidiary) may merge, dissolve, liquidate, consolidate with or into another Person, or Dispose of (whether in one transaction or in a series of transactions) all or substantially all of its assets (upon voluntary liquidation or otherwise) (whether now owned or hereafter acquired) to or in favor of any Person;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(d)(i) the Borrower may merge with any other Person (including a Material Subsidiary) so long as the Borrower is the surviving entity; and (ii) a Material Subsidiary may merge with any other Person (other than the Borrower) so long as the Material Subsidiary is the surviving entity.</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7.05</w:t>
      </w:r>
      <w:bookmarkStart w:id="2624" w:name="_Toc107702311"/>
      <w:bookmarkStart w:id="2625" w:name="_Toc236686923"/>
      <w:bookmarkEnd w:id="2624"/>
      <w:bookmarkEnd w:id="2625"/>
      <w:r>
        <w:rPr>
          <w:rFonts w:ascii="Times New Roman;Times;serif" w:hAnsi="Times New Roman;Times;serif"/>
          <w:b/>
          <w:sz w:val="22"/>
        </w:rPr>
        <w:t>Restricted Payments</w:t>
      </w:r>
      <w:r>
        <w:rPr>
          <w:rFonts w:ascii="Times New Roman;Times;serif" w:hAnsi="Times New Roman;Times;serif"/>
          <w:sz w:val="22"/>
        </w:rPr>
        <w:t>.  Commencing on the Closing Date and continuing until the Relief Period Termination Date, declare or make, directly or indirectly, any Restricted Payment, or incur any obligation to do so, except that, so long as no Default shall have occurred and be continuing at the time of any action described below or would result therefrom:</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(a)at any time during the Relief Period, the Borrower may declare and pay cash dividends so long as the Borrower does not increase the amount or frequency of any cash dividends (other than increases in the aggregate amount, but in no event the amount per share, of such cash dividends due solely to the issuance or granting of additional Equity Interests by the Borrower, including in connection with any conversion of convertible notes issued by the Borrower) declared or paid by the Borrower in the ordinary course of business prior to August 28, 2025;</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(b)in addition to the Restricted Payments permitted by </w:t>
      </w:r>
      <w:r>
        <w:rPr>
          <w:rFonts w:ascii="Times New Roman;Times;serif" w:hAnsi="Times New Roman;Times;serif"/>
          <w:sz w:val="22"/>
          <w:u w:val="single"/>
        </w:rPr>
        <w:t>clause (a)</w:t>
      </w:r>
      <w:r>
        <w:rPr>
          <w:rFonts w:ascii="Times New Roman;Times;serif" w:hAnsi="Times New Roman;Times;serif"/>
          <w:sz w:val="24"/>
        </w:rPr>
        <w:t xml:space="preserve"> </w:t>
      </w:r>
      <w:r>
        <w:rPr>
          <w:rFonts w:ascii="Times New Roman;Times;serif" w:hAnsi="Times New Roman;Times;serif"/>
          <w:sz w:val="22"/>
        </w:rPr>
        <w:t xml:space="preserve">of this </w:t>
      </w:r>
      <w:r>
        <w:rPr>
          <w:rFonts w:ascii="Times New Roman;Times;serif" w:hAnsi="Times New Roman;Times;serif"/>
          <w:sz w:val="22"/>
          <w:u w:val="single"/>
        </w:rPr>
        <w:t>Section 7.05</w:t>
      </w:r>
      <w:r>
        <w:rPr>
          <w:rFonts w:ascii="Times New Roman;Times;serif" w:hAnsi="Times New Roman;Times;serif"/>
          <w:sz w:val="22"/>
        </w:rPr>
        <w:t xml:space="preserve">, the Borrower may declare and pay cash dividends and purchase, redeem or otherwise acquire for cash Equity Interests issued by it;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aggregate of such dividends issued pursuant to this </w:t>
      </w:r>
      <w:r>
        <w:rPr>
          <w:rFonts w:ascii="Times New Roman;Times;serif" w:hAnsi="Times New Roman;Times;serif"/>
          <w:sz w:val="22"/>
          <w:u w:val="single"/>
        </w:rPr>
        <w:t>clause (b)</w:t>
      </w:r>
      <w:r>
        <w:rPr>
          <w:rFonts w:ascii="Times New Roman;Times;serif" w:hAnsi="Times New Roman;Times;serif"/>
          <w:sz w:val="24"/>
        </w:rPr>
        <w:t xml:space="preserve"> </w:t>
      </w:r>
      <w:r>
        <w:rPr>
          <w:rFonts w:ascii="Times New Roman;Times;serif" w:hAnsi="Times New Roman;Times;serif"/>
          <w:sz w:val="22"/>
        </w:rPr>
        <w:t xml:space="preserve">plus the aggregate consideration paid for all such purchases, redemptions and acquisitions after August 28, 2025 under this </w:t>
      </w:r>
      <w:r>
        <w:rPr>
          <w:rFonts w:ascii="Times New Roman;Times;serif" w:hAnsi="Times New Roman;Times;serif"/>
          <w:sz w:val="22"/>
          <w:u w:val="single"/>
        </w:rPr>
        <w:t>clause (b)</w:t>
      </w:r>
      <w:r>
        <w:rPr>
          <w:rFonts w:ascii="Times New Roman;Times;serif" w:hAnsi="Times New Roman;Times;serif"/>
          <w:sz w:val="24"/>
        </w:rPr>
        <w:t xml:space="preserve"> </w:t>
      </w:r>
      <w:r>
        <w:rPr>
          <w:rFonts w:ascii="Times New Roman;Times;serif" w:hAnsi="Times New Roman;Times;serif"/>
          <w:sz w:val="22"/>
        </w:rPr>
        <w:t>(other than in respect of shares purchased for the purpose of satisfying the Borrower’s obligations under employee or director stock purchase, stock grant and stock option plans) shall not exceed $100,000,000;</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(c)each Subsidiary may make Restricted Payments during the Relief Period to the Borrower and any other Person that owns an Equity Interest in such Subsidiary, ratably according to their respective holdings of the type of Equity Interest in respect of which such Restricted Payment is being made;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(d)the Borrower and each Subsidiary may declare and make dividend payments or other distributions payable solely in the common stock or other common Equity Interests of such Person;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(e)the Borrower and each Subsidiary may purchase, redeem or otherwise acquire for cash Equity Interests with the proceeds received from the substantially concurrent issue of new shares of its common stock or other Equity Interests.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7.06</w:t>
      </w:r>
      <w:bookmarkStart w:id="2626" w:name="_Toc107702312"/>
      <w:bookmarkStart w:id="2627" w:name="_Toc236686924"/>
      <w:bookmarkStart w:id="2628" w:name="_Toc184647661"/>
      <w:bookmarkStart w:id="2629" w:name="_Toc184646733"/>
      <w:bookmarkStart w:id="2630" w:name="_Toc184645794"/>
      <w:bookmarkStart w:id="2631" w:name="_Toc184644988"/>
      <w:bookmarkStart w:id="2632" w:name="_Toc184644184"/>
      <w:bookmarkStart w:id="2633" w:name="_Toc184643380"/>
      <w:bookmarkStart w:id="2634" w:name="_Toc184642948"/>
      <w:bookmarkEnd w:id="2626"/>
      <w:bookmarkEnd w:id="2627"/>
      <w:bookmarkEnd w:id="2628"/>
      <w:bookmarkEnd w:id="2629"/>
      <w:bookmarkEnd w:id="2630"/>
      <w:bookmarkEnd w:id="2631"/>
      <w:bookmarkEnd w:id="2632"/>
      <w:bookmarkEnd w:id="2633"/>
      <w:bookmarkEnd w:id="2634"/>
      <w:r>
        <w:rPr>
          <w:rFonts w:ascii="Times New Roman;Times;serif" w:hAnsi="Times New Roman;Times;serif"/>
          <w:b/>
          <w:sz w:val="22"/>
        </w:rPr>
        <w:t>Change in Nature of Business</w:t>
      </w:r>
      <w:r>
        <w:rPr>
          <w:rFonts w:ascii="Times New Roman;Times;serif" w:hAnsi="Times New Roman;Times;serif"/>
          <w:sz w:val="22"/>
        </w:rPr>
        <w:t>.  Engage in any material line of business substantially different from a Permitted Business.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7.07</w:t>
      </w:r>
      <w:bookmarkStart w:id="2635" w:name="_Toc107702313"/>
      <w:bookmarkStart w:id="2636" w:name="_Toc236686925"/>
      <w:bookmarkStart w:id="2637" w:name="_Toc184647662"/>
      <w:bookmarkStart w:id="2638" w:name="_Toc184646734"/>
      <w:bookmarkStart w:id="2639" w:name="_Toc184645795"/>
      <w:bookmarkStart w:id="2640" w:name="_Toc184644989"/>
      <w:bookmarkStart w:id="2641" w:name="_Toc184644185"/>
      <w:bookmarkStart w:id="2642" w:name="_Toc184643381"/>
      <w:bookmarkStart w:id="2643" w:name="_Toc184642949"/>
      <w:bookmarkEnd w:id="2635"/>
      <w:bookmarkEnd w:id="2636"/>
      <w:bookmarkEnd w:id="2637"/>
      <w:bookmarkEnd w:id="2638"/>
      <w:bookmarkEnd w:id="2639"/>
      <w:bookmarkEnd w:id="2640"/>
      <w:bookmarkEnd w:id="2641"/>
      <w:bookmarkEnd w:id="2642"/>
      <w:bookmarkEnd w:id="2643"/>
      <w:r>
        <w:rPr>
          <w:rFonts w:ascii="Times New Roman;Times;serif" w:hAnsi="Times New Roman;Times;serif"/>
          <w:b/>
          <w:sz w:val="22"/>
        </w:rPr>
        <w:t>Transactions with Affiliates</w:t>
      </w:r>
      <w:r>
        <w:rPr>
          <w:rFonts w:ascii="Times New Roman;Times;serif" w:hAnsi="Times New Roman;Times;serif"/>
          <w:sz w:val="22"/>
        </w:rPr>
        <w:t>.  Enter into any transaction of any kind with any Affiliate of the Borrower, whether or not in the ordinary course of business, other than (a) on fair and reasonable terms substantially as favorable to the Borrower or such Subsidiary as would be obtainable by the Borrower or such Subsidiary at the time in a comparable arm’s length transaction with a Person other than an Affiliate, or (b) transactions among the Borrower and its Subsidiaries so long as such transactions do not, either individually or in the aggregate,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7.08</w:t>
      </w:r>
      <w:bookmarkStart w:id="2644" w:name="_Toc107702314"/>
      <w:bookmarkStart w:id="2645" w:name="_Toc236686926"/>
      <w:bookmarkStart w:id="2646" w:name="_Toc184647663"/>
      <w:bookmarkStart w:id="2647" w:name="_Toc184646735"/>
      <w:bookmarkStart w:id="2648" w:name="_Toc184645796"/>
      <w:bookmarkStart w:id="2649" w:name="_Toc184644990"/>
      <w:bookmarkStart w:id="2650" w:name="_Toc184644186"/>
      <w:bookmarkStart w:id="2651" w:name="_Toc184643382"/>
      <w:bookmarkStart w:id="2652" w:name="_Toc184642950"/>
      <w:bookmarkEnd w:id="2644"/>
      <w:bookmarkEnd w:id="2645"/>
      <w:bookmarkEnd w:id="2646"/>
      <w:bookmarkEnd w:id="2647"/>
      <w:bookmarkEnd w:id="2648"/>
      <w:bookmarkEnd w:id="2649"/>
      <w:bookmarkEnd w:id="2650"/>
      <w:bookmarkEnd w:id="2651"/>
      <w:bookmarkEnd w:id="2652"/>
      <w:r>
        <w:rPr>
          <w:rFonts w:ascii="Times New Roman;Times;serif" w:hAnsi="Times New Roman;Times;serif"/>
          <w:b/>
          <w:sz w:val="22"/>
        </w:rPr>
        <w:t>Limitation on Restrictions Affecting the Borrower or any Subsidiary</w:t>
      </w:r>
      <w:r>
        <w:rPr>
          <w:rFonts w:ascii="Times New Roman;Times;serif" w:hAnsi="Times New Roman;Times;serif"/>
          <w:sz w:val="22"/>
        </w:rPr>
        <w:t xml:space="preserve">.  Enter into any Contractual Obligation (other than this Agreement or any other Loan Document) that limits the ability (a) of any Subsidiary to make Restricted Payments to the Borrower or to otherwise transfer property to the Borrower, or (b) of the Borrower or any Subsidiary to create, incur, assume or suffer to exist Liens on property of such Person;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this </w:t>
      </w:r>
      <w:r>
        <w:rPr>
          <w:rFonts w:ascii="Times New Roman;Times;serif" w:hAnsi="Times New Roman;Times;serif"/>
          <w:sz w:val="22"/>
          <w:u w:val="single"/>
        </w:rPr>
        <w:t>Section 7.08</w:t>
      </w:r>
      <w:r>
        <w:rPr>
          <w:rFonts w:ascii="Times New Roman;Times;serif" w:hAnsi="Times New Roman;Times;serif"/>
          <w:sz w:val="24"/>
        </w:rPr>
        <w:t xml:space="preserve"> </w:t>
      </w:r>
      <w:r>
        <w:rPr>
          <w:rFonts w:ascii="Times New Roman;Times;serif" w:hAnsi="Times New Roman;Times;serif"/>
          <w:sz w:val="22"/>
        </w:rPr>
        <w:t>shall not prohibit: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(i)any negative pledge incurred or provided in favor of any holder of Indebtedness permitted under </w:t>
      </w:r>
      <w:r>
        <w:rPr>
          <w:rFonts w:ascii="Times New Roman;Times;serif" w:hAnsi="Times New Roman;Times;serif"/>
          <w:sz w:val="22"/>
          <w:u w:val="single"/>
        </w:rPr>
        <w:t>Section 7.03(d)</w:t>
      </w:r>
      <w:r>
        <w:rPr>
          <w:rFonts w:ascii="Times New Roman;Times;serif" w:hAnsi="Times New Roman;Times;serif"/>
          <w:sz w:val="24"/>
        </w:rPr>
        <w:t xml:space="preserve"> </w:t>
      </w:r>
      <w:r>
        <w:rPr>
          <w:rFonts w:ascii="Times New Roman;Times;serif" w:hAnsi="Times New Roman;Times;serif"/>
          <w:sz w:val="22"/>
        </w:rPr>
        <w:t>solely to the extent any such negative pledge relates to the property financed by or the subject of such Indebtedness;</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(ii)restrictions imposed by other permitted Indebtedness ranking </w:t>
      </w:r>
      <w:r>
        <w:rPr>
          <w:rFonts w:ascii="Times New Roman;Times;serif" w:hAnsi="Times New Roman;Times;serif"/>
          <w:sz w:val="22"/>
          <w:u w:val="single"/>
        </w:rPr>
        <w:t>pari passu</w:t>
      </w:r>
      <w:r>
        <w:rPr>
          <w:rFonts w:ascii="Times New Roman;Times;serif" w:hAnsi="Times New Roman;Times;serif"/>
          <w:sz w:val="24"/>
        </w:rPr>
        <w:t xml:space="preserve"> </w:t>
      </w:r>
      <w:r>
        <w:rPr>
          <w:rFonts w:ascii="Times New Roman;Times;serif" w:hAnsi="Times New Roman;Times;serif"/>
          <w:sz w:val="22"/>
        </w:rPr>
        <w:t xml:space="preserve">with the Obligations,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such restrictions are no more restrictive than those imposed by this Agreement;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(iii)restrictions imposed by applicable Law;</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(iv)restrictions imposed by Indebtedness outstanding on the date hereof and listed on </w:t>
      </w:r>
      <w:r>
        <w:rPr>
          <w:rFonts w:ascii="Times New Roman;Times;serif" w:hAnsi="Times New Roman;Times;serif"/>
          <w:sz w:val="22"/>
          <w:u w:val="single"/>
        </w:rPr>
        <w:t>Schedule 7.03</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(v)restrictions imposed by Indebtedness relating to any property acquired by the Borrower or any Subsidiary (or restrictions imposed by Indebtedness of a third party which third party is acquired by the Borrower or any Subsidiary) in an acquisition permitted by this Agreement,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in each case that such restrictions existed at the time of such acquisition, were not put in place in connection with or in anticipation of such acquisition and are not applicable to any Person other than the Person so acquired, or to any property other than the property so acquired;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(vi)restrictions with respect solely to any Subsidiary imposed pursuant to a binding agreement which has been entered into for the sale of all or substantially all of the Equity Interests or assets of such Subsidiary,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such restrictions apply solely to the Equity Interests or assets of such Subsidiary which are being sold;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(vii)in connection with and pursuant to any refinancing of Indebtedness, replacements of restrictions imposed pursuant to </w:t>
      </w:r>
      <w:r>
        <w:rPr>
          <w:rFonts w:ascii="Times New Roman;Times;serif" w:hAnsi="Times New Roman;Times;serif"/>
          <w:sz w:val="22"/>
          <w:u w:val="single"/>
        </w:rPr>
        <w:t>clauses (ii)</w:t>
      </w:r>
      <w:r>
        <w:rPr>
          <w:rFonts w:ascii="Times New Roman;Times;serif" w:hAnsi="Times New Roman;Times;serif"/>
          <w:sz w:val="22"/>
        </w:rPr>
        <w:t xml:space="preserve">, </w:t>
      </w:r>
      <w:r>
        <w:rPr>
          <w:rFonts w:ascii="Times New Roman;Times;serif" w:hAnsi="Times New Roman;Times;serif"/>
          <w:sz w:val="22"/>
          <w:u w:val="single"/>
        </w:rPr>
        <w:t>(iv)</w:t>
      </w:r>
      <w:r>
        <w:rPr>
          <w:rFonts w:ascii="Times New Roman;Times;serif" w:hAnsi="Times New Roman;Times;serif"/>
          <w:sz w:val="22"/>
        </w:rPr>
        <w:t xml:space="preserve">, </w:t>
      </w:r>
      <w:r>
        <w:rPr>
          <w:rFonts w:ascii="Times New Roman;Times;serif" w:hAnsi="Times New Roman;Times;serif"/>
          <w:sz w:val="22"/>
          <w:u w:val="single"/>
        </w:rPr>
        <w:t>(v)</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(viii)</w:t>
      </w:r>
      <w:r>
        <w:rPr>
          <w:rFonts w:ascii="Times New Roman;Times;serif" w:hAnsi="Times New Roman;Times;serif"/>
          <w:sz w:val="24"/>
        </w:rPr>
        <w:t xml:space="preserve"> </w:t>
      </w:r>
      <w:r>
        <w:rPr>
          <w:rFonts w:ascii="Times New Roman;Times;serif" w:hAnsi="Times New Roman;Times;serif"/>
          <w:sz w:val="22"/>
        </w:rPr>
        <w:t xml:space="preserve">of this Section,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(A) such refinancing is permitted by </w:t>
      </w:r>
      <w:r>
        <w:rPr>
          <w:rFonts w:ascii="Times New Roman;Times;serif" w:hAnsi="Times New Roman;Times;serif"/>
          <w:sz w:val="22"/>
          <w:u w:val="single"/>
        </w:rPr>
        <w:t>Section 7.03</w:t>
      </w:r>
      <w:r>
        <w:rPr>
          <w:rFonts w:ascii="Times New Roman;Times;serif" w:hAnsi="Times New Roman;Times;serif"/>
          <w:sz w:val="22"/>
        </w:rPr>
        <w:t>, and (B) the replacement restrictions are not more restrictive than those being replaced and do not apply to any Person or assets other than those that would have been covered by the restrictions in the Indebtedness so refinanced;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(viii)restrictions on any Special Purpose Finance Subsidiary and assets of such Special Purpose Finance Subsidiary, which restrictions are contained in the applicable Permitted Securitization Facility for which such Subsidiary was created;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(ix)in connection with any permitted lease of property entered into in the ordinary course of business, customary provisions restricting the subletting or assignment of, or Liens on, the property subject to such lease, consistent with industry practice;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(x)in connection with any Lien permitted by </w:t>
      </w:r>
      <w:r>
        <w:rPr>
          <w:rFonts w:ascii="Times New Roman;Times;serif" w:hAnsi="Times New Roman;Times;serif"/>
          <w:sz w:val="22"/>
          <w:u w:val="single"/>
        </w:rPr>
        <w:t>Section 7.01</w:t>
      </w:r>
      <w:r>
        <w:rPr>
          <w:rFonts w:ascii="Times New Roman;Times;serif" w:hAnsi="Times New Roman;Times;serif"/>
          <w:sz w:val="22"/>
        </w:rPr>
        <w:t>, customary restrictions on the transfer or disposition of, or imposition of further Liens on, the asset subject to such Lien.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7.09</w:t>
      </w:r>
      <w:bookmarkStart w:id="2653" w:name="_Toc107702315"/>
      <w:bookmarkStart w:id="2654" w:name="_Toc236686927"/>
      <w:bookmarkStart w:id="2655" w:name="_Toc184647664"/>
      <w:bookmarkStart w:id="2656" w:name="_Toc184646736"/>
      <w:bookmarkStart w:id="2657" w:name="_Toc184645797"/>
      <w:bookmarkStart w:id="2658" w:name="_Toc184644991"/>
      <w:bookmarkStart w:id="2659" w:name="_Toc184644187"/>
      <w:bookmarkStart w:id="2660" w:name="_Toc184643383"/>
      <w:bookmarkStart w:id="2661" w:name="_Toc184642951"/>
      <w:bookmarkEnd w:id="2653"/>
      <w:bookmarkEnd w:id="2654"/>
      <w:bookmarkEnd w:id="2655"/>
      <w:bookmarkEnd w:id="2656"/>
      <w:bookmarkEnd w:id="2657"/>
      <w:bookmarkEnd w:id="2658"/>
      <w:bookmarkEnd w:id="2659"/>
      <w:bookmarkEnd w:id="2660"/>
      <w:bookmarkEnd w:id="2661"/>
      <w:r>
        <w:rPr>
          <w:rFonts w:ascii="Times New Roman;Times;serif" w:hAnsi="Times New Roman;Times;serif"/>
          <w:b/>
          <w:sz w:val="22"/>
        </w:rPr>
        <w:t>Use of Proceeds</w:t>
      </w:r>
      <w:r>
        <w:rPr>
          <w:rFonts w:ascii="Times New Roman;Times;serif" w:hAnsi="Times New Roman;Times;serif"/>
          <w:sz w:val="22"/>
        </w:rPr>
        <w:t>.  (i)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or for a purpose which violates or would be inconsistent with, Regulation T, U or X of the FRB or (ii) use the proceeds of the Credit Extensions for any purpose other than for the refinancing of the Revolving Credit Agreement, other outstanding Indebtedness of the Borrower or its Subsidiaries, working capital, capital expenditures and other general corporate purposes not in contravention of any Law or of any Loan Document.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7.10</w:t>
      </w:r>
      <w:bookmarkStart w:id="2662" w:name="_Toc107702316"/>
      <w:bookmarkStart w:id="2663" w:name="_Toc236686928"/>
      <w:bookmarkStart w:id="2664" w:name="_Toc184647665"/>
      <w:bookmarkStart w:id="2665" w:name="_Toc184646737"/>
      <w:bookmarkStart w:id="2666" w:name="_Toc184645798"/>
      <w:bookmarkStart w:id="2667" w:name="_Toc184644992"/>
      <w:bookmarkStart w:id="2668" w:name="_Toc184644188"/>
      <w:bookmarkStart w:id="2669" w:name="_Toc184643384"/>
      <w:bookmarkStart w:id="2670" w:name="_Toc184642952"/>
      <w:bookmarkEnd w:id="2662"/>
      <w:bookmarkEnd w:id="2663"/>
      <w:bookmarkEnd w:id="2664"/>
      <w:bookmarkEnd w:id="2665"/>
      <w:bookmarkEnd w:id="2666"/>
      <w:bookmarkEnd w:id="2667"/>
      <w:bookmarkEnd w:id="2668"/>
      <w:bookmarkEnd w:id="2669"/>
      <w:bookmarkEnd w:id="2670"/>
      <w:r>
        <w:rPr>
          <w:rFonts w:ascii="Times New Roman;Times;serif" w:hAnsi="Times New Roman;Times;serif"/>
          <w:b/>
          <w:sz w:val="22"/>
        </w:rPr>
        <w:t>Financial Covenant</w:t>
      </w:r>
      <w:r>
        <w:rPr>
          <w:rFonts w:ascii="Times New Roman;Times;serif" w:hAnsi="Times New Roman;Times;serif"/>
          <w:sz w:val="22"/>
        </w:rPr>
        <w:t>.  Permit the Consolidated Leverage Ratio as of the last day of any period of four fiscal quarters of the Borrower to be greater than 4.00 to 1.00.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7.11</w:t>
      </w:r>
      <w:bookmarkStart w:id="2671" w:name="_Toc107702317"/>
      <w:bookmarkStart w:id="2672" w:name="_Toc236686929"/>
      <w:bookmarkStart w:id="2673" w:name="_Toc184647666"/>
      <w:bookmarkStart w:id="2674" w:name="_Toc184646738"/>
      <w:bookmarkStart w:id="2675" w:name="_Toc184645799"/>
      <w:bookmarkStart w:id="2676" w:name="_Toc184644993"/>
      <w:bookmarkStart w:id="2677" w:name="_Toc184644189"/>
      <w:bookmarkStart w:id="2678" w:name="_Toc184643385"/>
      <w:bookmarkStart w:id="2679" w:name="_Toc184642953"/>
      <w:bookmarkEnd w:id="2671"/>
      <w:bookmarkEnd w:id="2672"/>
      <w:bookmarkEnd w:id="2673"/>
      <w:bookmarkEnd w:id="2674"/>
      <w:bookmarkEnd w:id="2675"/>
      <w:bookmarkEnd w:id="2676"/>
      <w:bookmarkEnd w:id="2677"/>
      <w:bookmarkEnd w:id="2678"/>
      <w:bookmarkEnd w:id="2679"/>
      <w:r>
        <w:rPr>
          <w:rFonts w:ascii="Times New Roman;Times;serif" w:hAnsi="Times New Roman;Times;serif"/>
          <w:b/>
          <w:sz w:val="22"/>
        </w:rPr>
        <w:t>Sanctions</w:t>
      </w:r>
      <w:r>
        <w:rPr>
          <w:rFonts w:ascii="Times New Roman;Times;serif" w:hAnsi="Times New Roman;Times;serif"/>
          <w:sz w:val="22"/>
        </w:rPr>
        <w:t xml:space="preserve">.  Directly or indirectly, use the proceeds of any Credit Extension, or lend, contribute or otherwise knowingly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7.12</w:t>
      </w:r>
      <w:bookmarkStart w:id="2680" w:name="_Toc107702318"/>
      <w:bookmarkStart w:id="2681" w:name="_Toc236686930"/>
      <w:bookmarkStart w:id="2682" w:name="_Toc184647667"/>
      <w:bookmarkStart w:id="2683" w:name="_Toc184646739"/>
      <w:bookmarkStart w:id="2684" w:name="_Toc184645800"/>
      <w:bookmarkStart w:id="2685" w:name="_Toc184644994"/>
      <w:bookmarkStart w:id="2686" w:name="_Toc184644190"/>
      <w:bookmarkStart w:id="2687" w:name="_Toc184643386"/>
      <w:bookmarkStart w:id="2688" w:name="_Toc184642954"/>
      <w:bookmarkEnd w:id="2680"/>
      <w:bookmarkEnd w:id="2681"/>
      <w:bookmarkEnd w:id="2682"/>
      <w:bookmarkEnd w:id="2683"/>
      <w:bookmarkEnd w:id="2684"/>
      <w:bookmarkEnd w:id="2685"/>
      <w:bookmarkEnd w:id="2686"/>
      <w:bookmarkEnd w:id="2687"/>
      <w:bookmarkEnd w:id="2688"/>
      <w:r>
        <w:rPr>
          <w:rFonts w:ascii="Times New Roman;Times;serif" w:hAnsi="Times New Roman;Times;serif"/>
          <w:b/>
          <w:sz w:val="22"/>
        </w:rPr>
        <w:t>Anti-Corruption and Anti-Terrorism Laws</w:t>
      </w:r>
      <w:r>
        <w:rPr>
          <w:rFonts w:ascii="Times New Roman;Times;serif" w:hAnsi="Times New Roman;Times;serif"/>
          <w:sz w:val="22"/>
        </w:rPr>
        <w:t>.  Directly or indirectly use the proceeds of any Loan for any purpose which would breach the PATRIOT Act, the United States Foreign Corrupt Practices Act of 1977, the UK Bribery Act 2010, and other similar anti- corruption legislation in other jurisdictions.</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VIII.</w:t>
      </w:r>
      <w:bookmarkStart w:id="2689" w:name="_Toc107702319"/>
      <w:bookmarkStart w:id="2690" w:name="_Toc236686931"/>
      <w:bookmarkStart w:id="2691" w:name="_Toc235705478"/>
      <w:bookmarkStart w:id="2692" w:name="_Toc207211214"/>
      <w:bookmarkStart w:id="2693" w:name="_Toc197360569"/>
      <w:bookmarkStart w:id="2694" w:name="_Toc197360218"/>
      <w:bookmarkStart w:id="2695" w:name="_Toc187311314"/>
      <w:bookmarkStart w:id="2696" w:name="_Toc184648454"/>
      <w:bookmarkStart w:id="2697" w:name="_Toc184648323"/>
      <w:bookmarkStart w:id="2698" w:name="_Toc184648192"/>
      <w:bookmarkStart w:id="2699" w:name="_Toc184648061"/>
      <w:bookmarkStart w:id="2700" w:name="_Toc184647930"/>
      <w:bookmarkStart w:id="2701" w:name="_Toc184647668"/>
      <w:bookmarkStart w:id="2702" w:name="_Toc184647535"/>
      <w:bookmarkStart w:id="2703" w:name="_Toc184647403"/>
      <w:bookmarkStart w:id="2704" w:name="_Toc184647271"/>
      <w:bookmarkStart w:id="2705" w:name="_Toc184647139"/>
      <w:bookmarkStart w:id="2706" w:name="_Toc184647007"/>
      <w:bookmarkStart w:id="2707" w:name="_Toc184646740"/>
      <w:bookmarkStart w:id="2708" w:name="_Toc184646606"/>
      <w:bookmarkStart w:id="2709" w:name="_Toc184646472"/>
      <w:bookmarkStart w:id="2710" w:name="_Toc184646338"/>
      <w:bookmarkStart w:id="2711" w:name="_Toc184646204"/>
      <w:bookmarkStart w:id="2712" w:name="_Toc184646070"/>
      <w:bookmarkStart w:id="2713" w:name="_Toc184645801"/>
      <w:bookmarkStart w:id="2714" w:name="_Toc184645667"/>
      <w:bookmarkStart w:id="2715" w:name="_Toc184645533"/>
      <w:bookmarkStart w:id="2716" w:name="_Toc184645399"/>
      <w:bookmarkStart w:id="2717" w:name="_Toc184645265"/>
      <w:bookmarkStart w:id="2718" w:name="_Toc184644995"/>
      <w:bookmarkStart w:id="2719" w:name="_Toc184644861"/>
      <w:bookmarkStart w:id="2720" w:name="_Toc184644727"/>
      <w:bookmarkStart w:id="2721" w:name="_Toc184644593"/>
      <w:bookmarkStart w:id="2722" w:name="_Toc184644459"/>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r>
        <w:rPr>
          <w:rFonts w:ascii="Times New Roman;Times;serif" w:hAnsi="Times New Roman;Times;serif"/>
          <w:b/>
          <w:caps/>
          <w:sz w:val="24"/>
        </w:rPr>
        <w:t>​</w:t>
      </w:r>
      <w:r>
        <w:rPr>
          <w:rFonts w:ascii="Times New Roman;Times;serif" w:hAnsi="Times New Roman;Times;serif"/>
          <w:b/>
          <w:caps/>
          <w:sz w:val="22"/>
        </w:rPr>
        <w:br/>
      </w:r>
      <w:bookmarkStart w:id="2723" w:name="_Toc184644191"/>
      <w:bookmarkStart w:id="2724" w:name="_Toc184644057"/>
      <w:bookmarkStart w:id="2725" w:name="_Toc184643923"/>
      <w:bookmarkStart w:id="2726" w:name="_Toc184643789"/>
      <w:bookmarkStart w:id="2727" w:name="_Toc184643655"/>
      <w:bookmarkStart w:id="2728" w:name="_Toc184643387"/>
      <w:bookmarkStart w:id="2729" w:name="_Toc184643023"/>
      <w:bookmarkStart w:id="2730" w:name="_Toc184642955"/>
      <w:bookmarkEnd w:id="2723"/>
      <w:bookmarkEnd w:id="2724"/>
      <w:bookmarkEnd w:id="2725"/>
      <w:bookmarkEnd w:id="2726"/>
      <w:bookmarkEnd w:id="2727"/>
      <w:bookmarkEnd w:id="2728"/>
      <w:bookmarkEnd w:id="2729"/>
      <w:bookmarkEnd w:id="2730"/>
      <w:r>
        <w:rPr>
          <w:rFonts w:ascii="Times New Roman;Times;serif" w:hAnsi="Times New Roman;Times;serif"/>
          <w:b/>
          <w:caps/>
          <w:sz w:val="22"/>
        </w:rPr>
        <w:t>EVENTS OF DEFAULT AND REMEDIES</w:t>
      </w:r>
      <w:r>
        <w:rPr>
          <w:rFonts w:ascii="Times New Roman;Times;serif" w:hAnsi="Times New Roman;Times;serif"/>
          <w:b/>
          <w:caps/>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8.01</w:t>
      </w:r>
      <w:bookmarkStart w:id="2731" w:name="_Toc107702320"/>
      <w:bookmarkStart w:id="2732" w:name="_Toc236686932"/>
      <w:bookmarkStart w:id="2733" w:name="_Toc184647669"/>
      <w:bookmarkStart w:id="2734" w:name="_Toc184646741"/>
      <w:bookmarkStart w:id="2735" w:name="_Toc184645802"/>
      <w:bookmarkStart w:id="2736" w:name="_Toc184644996"/>
      <w:bookmarkStart w:id="2737" w:name="_Toc184644192"/>
      <w:bookmarkStart w:id="2738" w:name="_Toc184643388"/>
      <w:bookmarkStart w:id="2739" w:name="_Toc184642956"/>
      <w:bookmarkEnd w:id="2731"/>
      <w:bookmarkEnd w:id="2732"/>
      <w:bookmarkEnd w:id="2733"/>
      <w:bookmarkEnd w:id="2734"/>
      <w:bookmarkEnd w:id="2735"/>
      <w:bookmarkEnd w:id="2736"/>
      <w:bookmarkEnd w:id="2737"/>
      <w:bookmarkEnd w:id="2738"/>
      <w:bookmarkEnd w:id="2739"/>
      <w:r>
        <w:rPr>
          <w:rFonts w:ascii="Times New Roman;Times;serif" w:hAnsi="Times New Roman;Times;serif"/>
          <w:b/>
          <w:sz w:val="22"/>
        </w:rPr>
        <w:t>Events of Default</w:t>
      </w:r>
      <w:r>
        <w:rPr>
          <w:rFonts w:ascii="Times New Roman;Times;serif" w:hAnsi="Times New Roman;Times;serif"/>
          <w:sz w:val="22"/>
        </w:rPr>
        <w:t>.  Any of the following shall constitute an Event of Default: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Non-Payment</w:t>
      </w:r>
      <w:r>
        <w:rPr>
          <w:rFonts w:ascii="Times New Roman;Times;serif" w:hAnsi="Times New Roman;Times;serif"/>
          <w:sz w:val="22"/>
        </w:rPr>
        <w:t>.  The Borrower fails to pay (i) when and as required to be paid herein, and in the currency required hereunder, any amount of principal of any Loan, or (ii) within three Business Days after the same becomes due, any interest on any Loan, or any fee due hereunder, or (iii) within five Business Days after the same becomes due, any other amount payable hereunder or under any other Loan Document;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Specific Covenants</w:t>
      </w:r>
      <w:r>
        <w:rPr>
          <w:rFonts w:ascii="Times New Roman;Times;serif" w:hAnsi="Times New Roman;Times;serif"/>
          <w:sz w:val="22"/>
        </w:rPr>
        <w:t xml:space="preserve">.  The Borrower fails to perform or observe any term, covenant or agreement contained in any of </w:t>
      </w:r>
      <w:r>
        <w:rPr>
          <w:rFonts w:ascii="Times New Roman;Times;serif" w:hAnsi="Times New Roman;Times;serif"/>
          <w:sz w:val="22"/>
          <w:u w:val="single"/>
        </w:rPr>
        <w:t>Section</w:t>
      </w:r>
      <w:r>
        <w:rPr>
          <w:rFonts w:ascii="Times New Roman;Times;serif" w:hAnsi="Times New Roman;Times;serif"/>
          <w:sz w:val="24"/>
        </w:rPr>
        <w:t xml:space="preserve"> </w:t>
      </w:r>
      <w:r>
        <w:rPr>
          <w:rFonts w:ascii="Times New Roman;Times;serif" w:hAnsi="Times New Roman;Times;serif"/>
          <w:sz w:val="22"/>
          <w:u w:val="single"/>
        </w:rPr>
        <w:t>6.03</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6.05(a)</w:t>
      </w:r>
      <w:r>
        <w:rPr>
          <w:rFonts w:ascii="Times New Roman;Times;serif" w:hAnsi="Times New Roman;Times;serif"/>
          <w:sz w:val="24"/>
        </w:rPr>
        <w:t xml:space="preserve"> </w:t>
      </w:r>
      <w:r>
        <w:rPr>
          <w:rFonts w:ascii="Times New Roman;Times;serif" w:hAnsi="Times New Roman;Times;serif"/>
          <w:sz w:val="22"/>
        </w:rPr>
        <w:t xml:space="preserve">(to the extent it relates to preservation of legal existence of the Borrower) or </w:t>
      </w:r>
      <w:r>
        <w:rPr>
          <w:rFonts w:ascii="Times New Roman;Times;serif" w:hAnsi="Times New Roman;Times;serif"/>
          <w:sz w:val="22"/>
          <w:u w:val="single"/>
        </w:rPr>
        <w:t>Article VII</w:t>
      </w:r>
      <w:r>
        <w:rPr>
          <w:rFonts w:ascii="Times New Roman;Times;serif" w:hAnsi="Times New Roman;Times;serif"/>
          <w:sz w:val="22"/>
        </w:rPr>
        <w:t xml:space="preserve">, and with respect to </w:t>
      </w:r>
      <w:r>
        <w:rPr>
          <w:rFonts w:ascii="Times New Roman;Times;serif" w:hAnsi="Times New Roman;Times;serif"/>
          <w:sz w:val="22"/>
          <w:u w:val="single"/>
        </w:rPr>
        <w:t>Section 7.01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7.03</w:t>
      </w:r>
      <w:r>
        <w:rPr>
          <w:rFonts w:ascii="Times New Roman;Times;serif" w:hAnsi="Times New Roman;Times;serif"/>
          <w:sz w:val="22"/>
        </w:rPr>
        <w:t>, such failure continues for a period of 20 days;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Other Defaults</w:t>
      </w:r>
      <w:r>
        <w:rPr>
          <w:rFonts w:ascii="Times New Roman;Times;serif" w:hAnsi="Times New Roman;Times;serif"/>
          <w:sz w:val="22"/>
        </w:rPr>
        <w:t xml:space="preserve">.  The Borrower fails to perform or observe any other covenant or agreement (not specified in </w:t>
      </w:r>
      <w:r>
        <w:rPr>
          <w:rFonts w:ascii="Times New Roman;Times;serif" w:hAnsi="Times New Roman;Times;serif"/>
          <w:sz w:val="22"/>
          <w:u w:val="single"/>
        </w:rPr>
        <w:t>subsection (a)</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above) contained in any Loan Document on its part to be performed or observed and such failure continues for 30 days after the Borrower has knowledge thereof;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Representations and Warranties</w:t>
      </w:r>
      <w:r>
        <w:rPr>
          <w:rFonts w:ascii="Times New Roman;Times;serif" w:hAnsi="Times New Roman;Times;serif"/>
          <w:sz w:val="22"/>
        </w:rPr>
        <w:t>.  Any representation or warranty of the Borrower, or any written certification or other material written statement of fact made or deemed made by the Borrower or by a Responsible Officer on behalf of the Borrower herein, in any other Loan Document, or in any document delivered in connection herewith or therewith shall be incorrect or misleading in any material respect when made or deemed made;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Cross-Default</w:t>
      </w:r>
      <w:r>
        <w:rPr>
          <w:rFonts w:ascii="Times New Roman;Times;serif" w:hAnsi="Times New Roman;Times;serif"/>
          <w:sz w:val="22"/>
        </w:rPr>
        <w:t xml:space="preserve">.  (i) The Borrower or any Subsidiary (A) fails to make any payment of principal when due (whether at scheduled maturity, by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$50,000,000, or (B) fails to observe or perform any other agreement or condition (including any obligation to make any payment of interest, fees or other amounts) relating to any Indebtedness or Guarantee (other than Indebtedness hereunder and Indebtedness under Swap Contracts) having an aggregate principal amount (including undrawn committed or available amounts and including amounts owing to all creditors under any combined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or syndicated credit arrangement) of more than $50,000,000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repurchase, prepayment, defeasance or redemption, or any offer to repurchase, prepay, defease or redeem any convertible notes issued by the Borrower in accordance with the terms of the indenture or other documentation governing such convertible notes shall not be deemed to be an Event of Default under this </w:t>
      </w:r>
      <w:r>
        <w:rPr>
          <w:rFonts w:ascii="Times New Roman;Times;serif" w:hAnsi="Times New Roman;Times;serif"/>
          <w:sz w:val="22"/>
          <w:u w:val="single"/>
        </w:rPr>
        <w:t>Section 8.01(e)(i)(B)</w:t>
      </w:r>
      <w:r>
        <w:rPr>
          <w:rFonts w:ascii="Times New Roman;Times;serif" w:hAnsi="Times New Roman;Times;serif"/>
          <w:sz w:val="24"/>
        </w:rPr>
        <w:t xml:space="preserve"> </w:t>
      </w:r>
      <w:r>
        <w:rPr>
          <w:rFonts w:ascii="Times New Roman;Times;serif" w:hAnsi="Times New Roman;Times;serif"/>
          <w:sz w:val="22"/>
        </w:rPr>
        <w:t>unless such redemption, repurchase, exchange, conversion or settlement results from an event of default (or equivalent term) under such indenture;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$50,000,000;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Insolvency Proceedings, Etc.</w:t>
      </w:r>
      <w:r>
        <w:rPr>
          <w:rFonts w:ascii="Times New Roman;Times;serif" w:hAnsi="Times New Roman;Times;serif"/>
          <w:sz w:val="24"/>
        </w:rPr>
        <w:t xml:space="preserve">  </w:t>
      </w:r>
      <w:r>
        <w:rPr>
          <w:rFonts w:ascii="Times New Roman;Times;serif" w:hAnsi="Times New Roman;Times;serif"/>
          <w:sz w:val="22"/>
        </w:rPr>
        <w:t>The Borrower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as to the Borrower or 90 calendar days as to any Material Subsidiary; or any proceeding under any Debtor Relief Law relating to any such Person or to all or any material part of its property is instituted without the consent of such Person and continues undismissed or unstayed for 60 calendar days as to the Borrower or 90 calendar days as to any Material Subsidiary, or an order for relief is entered in any such proceeding;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2"/>
          <w:u w:val="single"/>
        </w:rPr>
        <w:t>Inability to Pay Debts; Attachment</w:t>
      </w:r>
      <w:r>
        <w:rPr>
          <w:rFonts w:ascii="Times New Roman;Times;serif" w:hAnsi="Times New Roman;Times;serif"/>
          <w:sz w:val="22"/>
        </w:rPr>
        <w:t>.  (i) The Borrower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(h)</w:t>
      </w:r>
      <w:r>
        <w:rPr>
          <w:rFonts w:ascii="Times New Roman;Times;serif" w:hAnsi="Times New Roman;Times;serif"/>
          <w:sz w:val="22"/>
          <w:u w:val="single"/>
        </w:rPr>
        <w:t>Judgments</w:t>
      </w:r>
      <w:r>
        <w:rPr>
          <w:rFonts w:ascii="Times New Roman;Times;serif" w:hAnsi="Times New Roman;Times;serif"/>
          <w:sz w:val="22"/>
        </w:rPr>
        <w:t xml:space="preserve">.  There is entered against the Borrower or any Subsidiary one or more final judgments or orders for the payment of money in an aggregate amount (as to all such judgments or orders) exceeding $50,000,000 (to the extent not covered by independent third-party insurance as to which the insurer does not dispute coverage), and (A) such judgments or orders have remained unsatisfied for a period of 30 days or more, (B) enforcement proceedings are commenced by any creditor upon such judgments or orders, or (C) there is a period of 30 consecutive days during which a stay of enforcement of such judgments or orders, by reason of a pending appeal or otherwise, is not in effect; 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(i)</w:t>
      </w:r>
      <w:r>
        <w:rPr>
          <w:rFonts w:ascii="Times New Roman;Times;serif" w:hAnsi="Times New Roman;Times;serif"/>
          <w:sz w:val="22"/>
          <w:u w:val="single"/>
        </w:rPr>
        <w:t>ERISA</w:t>
      </w:r>
      <w:r>
        <w:rPr>
          <w:rFonts w:ascii="Times New Roman;Times;serif" w:hAnsi="Times New Roman;Times;serif"/>
          <w:sz w:val="22"/>
        </w:rPr>
        <w:t>.  (i) An ERISA Event occurs with respect to a Pension Plan or Multiemployer Plan which has resulted or could reasonably be expected to result in liability of the Borrower under Title IV of ERISA to the Pension Plan, Multiemployer Plan or the PBGC, or (ii) the Borrower or any ERISA Affiliate fails to pay when due, after the expiration of any applicable grace period, any installment payment with respect to its withdrawal liability under Section 4201 of ERISA under a Multiemployer Plan, in the case of each of clauses (i) and (ii), that has a Material Adverse Effect; or</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(j)</w:t>
      </w:r>
      <w:r>
        <w:rPr>
          <w:rFonts w:ascii="Times New Roman;Times;serif" w:hAnsi="Times New Roman;Times;serif"/>
          <w:sz w:val="22"/>
          <w:u w:val="single"/>
        </w:rPr>
        <w:t>Invalidity of Loan Documents</w:t>
      </w:r>
      <w:r>
        <w:rPr>
          <w:rFonts w:ascii="Times New Roman;Times;serif" w:hAnsi="Times New Roman;Times;serif"/>
          <w:sz w:val="22"/>
        </w:rPr>
        <w:t>.  Any Loan Document, at any time after its execution and delivery and for any reason other than as expressly permitted hereunder or satisfaction in full of all the Obligations, ceases to be in full force and effect; or the Borrower or any Subsidiary of the Borrower contests in any manner the validity or enforceability of any Loan Document; or the Borrower denies that it has any or further liability or obligation under any Loan Document, or purports to revoke, terminate or rescind any Loan Document;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(k)</w:t>
      </w:r>
      <w:r>
        <w:rPr>
          <w:rFonts w:ascii="Times New Roman;Times;serif" w:hAnsi="Times New Roman;Times;serif"/>
          <w:sz w:val="22"/>
          <w:u w:val="single"/>
        </w:rPr>
        <w:t>Change of Control</w:t>
      </w:r>
      <w:r>
        <w:rPr>
          <w:rFonts w:ascii="Times New Roman;Times;serif" w:hAnsi="Times New Roman;Times;serif"/>
          <w:sz w:val="22"/>
        </w:rPr>
        <w:t>.  There occurs any Change of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8.02</w:t>
      </w:r>
      <w:bookmarkStart w:id="2740" w:name="_Toc107702321"/>
      <w:bookmarkStart w:id="2741" w:name="_Toc236686933"/>
      <w:bookmarkStart w:id="2742" w:name="_Toc184647670"/>
      <w:bookmarkStart w:id="2743" w:name="_Toc184646742"/>
      <w:bookmarkStart w:id="2744" w:name="_Toc184645803"/>
      <w:bookmarkStart w:id="2745" w:name="_Toc184644997"/>
      <w:bookmarkStart w:id="2746" w:name="_Toc184644193"/>
      <w:bookmarkStart w:id="2747" w:name="_Toc184643389"/>
      <w:bookmarkStart w:id="2748" w:name="_Toc184642957"/>
      <w:bookmarkEnd w:id="2740"/>
      <w:bookmarkEnd w:id="2741"/>
      <w:bookmarkEnd w:id="2742"/>
      <w:bookmarkEnd w:id="2743"/>
      <w:bookmarkEnd w:id="2744"/>
      <w:bookmarkEnd w:id="2745"/>
      <w:bookmarkEnd w:id="2746"/>
      <w:bookmarkEnd w:id="2747"/>
      <w:bookmarkEnd w:id="2748"/>
      <w:r>
        <w:rPr>
          <w:rFonts w:ascii="Times New Roman;Times;serif" w:hAnsi="Times New Roman;Times;serif"/>
          <w:b/>
          <w:sz w:val="22"/>
        </w:rPr>
        <w:t>Remedies Upon Event of Default</w:t>
      </w:r>
      <w:r>
        <w:rPr>
          <w:rFonts w:ascii="Times New Roman;Times;serif" w:hAnsi="Times New Roman;Times;serif"/>
          <w:sz w:val="22"/>
        </w:rPr>
        <w:t>.  If any Event of Default occurs and is continuing, the Administrative Agent shall, at the request of, or may, with the consent of, the Required Lenders, take any or all of the following actions: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(a)declare the commitment of each Lender to make Loans to be terminated, whereupon such commitments and obligation shall be terminated;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(b)declare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(c)[reserved];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(d)exercise on behalf of itself, the Lenders all rights and remedies available to it, the Lenders under the Loan Documents;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8.03</w:t>
      </w:r>
      <w:bookmarkStart w:id="2749" w:name="_Toc107702322"/>
      <w:bookmarkStart w:id="2750" w:name="_Toc236686934"/>
      <w:bookmarkStart w:id="2751" w:name="_Toc184647671"/>
      <w:bookmarkStart w:id="2752" w:name="_Toc184646743"/>
      <w:bookmarkStart w:id="2753" w:name="_Toc184645804"/>
      <w:bookmarkStart w:id="2754" w:name="_Toc184644998"/>
      <w:bookmarkStart w:id="2755" w:name="_Toc184644194"/>
      <w:bookmarkStart w:id="2756" w:name="_Toc184643390"/>
      <w:bookmarkStart w:id="2757" w:name="_Toc184642958"/>
      <w:bookmarkEnd w:id="2749"/>
      <w:bookmarkEnd w:id="2750"/>
      <w:bookmarkEnd w:id="2751"/>
      <w:bookmarkEnd w:id="2752"/>
      <w:bookmarkEnd w:id="2753"/>
      <w:bookmarkEnd w:id="2754"/>
      <w:bookmarkEnd w:id="2755"/>
      <w:bookmarkEnd w:id="2756"/>
      <w:bookmarkEnd w:id="2757"/>
      <w:r>
        <w:rPr>
          <w:rFonts w:ascii="Times New Roman;Times;serif" w:hAnsi="Times New Roman;Times;serif"/>
          <w:b/>
          <w:sz w:val="22"/>
        </w:rPr>
        <w:t>Application of Funds</w:t>
      </w:r>
      <w:r>
        <w:rPr>
          <w:rFonts w:ascii="Times New Roman;Times;serif" w:hAnsi="Times New Roman;Times;serif"/>
          <w:sz w:val="22"/>
        </w:rPr>
        <w:t xml:space="preserve">.  After the exercise of remedies provided for in </w:t>
      </w:r>
      <w:r>
        <w:rPr>
          <w:rFonts w:ascii="Times New Roman;Times;serif" w:hAnsi="Times New Roman;Times;serif"/>
          <w:sz w:val="22"/>
          <w:u w:val="single"/>
        </w:rPr>
        <w:t>Section 8.02</w:t>
      </w:r>
      <w:r>
        <w:rPr>
          <w:rFonts w:ascii="Times New Roman;Times;serif" w:hAnsi="Times New Roman;Times;serif"/>
          <w:sz w:val="24"/>
        </w:rPr>
        <w:t xml:space="preserve"> </w:t>
      </w:r>
      <w:r>
        <w:rPr>
          <w:rFonts w:ascii="Times New Roman;Times;serif" w:hAnsi="Times New Roman;Times;serif"/>
          <w:sz w:val="22"/>
        </w:rPr>
        <w:t xml:space="preserve">(or after the Loans have automatically become immediately due and payable), any amounts received by the Administrative Agent on account of the Obligations shall, subject to the provisions of </w:t>
      </w:r>
      <w:r>
        <w:rPr>
          <w:rFonts w:ascii="Times New Roman;Times;serif" w:hAnsi="Times New Roman;Times;serif"/>
          <w:sz w:val="22"/>
          <w:u w:val="single"/>
        </w:rPr>
        <w:t>Section 2.17</w:t>
      </w:r>
      <w:r>
        <w:rPr>
          <w:rFonts w:ascii="Times New Roman;Times;serif" w:hAnsi="Times New Roman;Times;serif"/>
          <w:sz w:val="24"/>
        </w:rPr>
        <w:t xml:space="preserve"> </w:t>
      </w:r>
      <w:r>
        <w:rPr>
          <w:rFonts w:ascii="Times New Roman;Times;serif" w:hAnsi="Times New Roman;Times;serif"/>
          <w:sz w:val="22"/>
        </w:rPr>
        <w:t>be applied by the Administrative Agent in the following order:</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u w:val="single"/>
        </w:rPr>
        <w:t>First</w:t>
      </w:r>
      <w:r>
        <w:rPr>
          <w:rFonts w:ascii="Times New Roman;Times;serif" w:hAnsi="Times New Roman;Times;serif"/>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Times;serif" w:hAnsi="Times New Roman;Times;serif"/>
          <w:sz w:val="22"/>
          <w:u w:val="single"/>
        </w:rPr>
        <w:t>Article III</w:t>
      </w:r>
      <w:r>
        <w:rPr>
          <w:rFonts w:ascii="Times New Roman;Times;serif" w:hAnsi="Times New Roman;Times;serif"/>
          <w:sz w:val="22"/>
        </w:rPr>
        <w:t>) payable to the Administrative Agent in its capacity as such;</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u w:val="single"/>
        </w:rPr>
        <w:t>Second</w:t>
      </w:r>
      <w:r>
        <w:rPr>
          <w:rFonts w:ascii="Times New Roman;Times;serif" w:hAnsi="Times New Roman;Times;serif"/>
          <w:sz w:val="22"/>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and amounts payable under </w:t>
      </w:r>
      <w:r>
        <w:rPr>
          <w:rFonts w:ascii="Times New Roman;Times;serif" w:hAnsi="Times New Roman;Times;serif"/>
          <w:sz w:val="22"/>
          <w:u w:val="single"/>
        </w:rPr>
        <w:t>Article III</w:t>
      </w:r>
      <w:r>
        <w:rPr>
          <w:rFonts w:ascii="Times New Roman;Times;serif" w:hAnsi="Times New Roman;Times;serif"/>
          <w:sz w:val="22"/>
        </w:rPr>
        <w:t xml:space="preserve">), ratably among them in proportion to the respective amounts described in this clause </w:t>
      </w:r>
      <w:r>
        <w:rPr>
          <w:rFonts w:ascii="Times New Roman;Times;serif" w:hAnsi="Times New Roman;Times;serif"/>
          <w:sz w:val="22"/>
          <w:u w:val="single"/>
        </w:rPr>
        <w:t>Second</w:t>
      </w:r>
      <w:r>
        <w:rPr>
          <w:rFonts w:ascii="Times New Roman;Times;serif" w:hAnsi="Times New Roman;Times;serif"/>
          <w:sz w:val="22"/>
        </w:rPr>
        <w:t xml:space="preserve"> payable to them;</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u w:val="single"/>
        </w:rPr>
        <w:t>Third</w:t>
      </w:r>
      <w:r>
        <w:rPr>
          <w:rFonts w:ascii="Times New Roman;Times;serif" w:hAnsi="Times New Roman;Times;serif"/>
          <w:sz w:val="22"/>
        </w:rPr>
        <w:t xml:space="preserve">, to payment of that portion of the Obligations constituting accrued and unpaid interest on the Loans and other Obligations, ratably among the Lenders in proportion to the respective amounts described in this clause </w:t>
      </w:r>
      <w:r>
        <w:rPr>
          <w:rFonts w:ascii="Times New Roman;Times;serif" w:hAnsi="Times New Roman;Times;serif"/>
          <w:sz w:val="22"/>
          <w:u w:val="single"/>
        </w:rPr>
        <w:t>Third</w:t>
      </w:r>
      <w:r>
        <w:rPr>
          <w:rFonts w:ascii="Times New Roman;Times;serif" w:hAnsi="Times New Roman;Times;serif"/>
          <w:sz w:val="22"/>
        </w:rPr>
        <w:t xml:space="preserve"> payable to them;</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u w:val="single"/>
        </w:rPr>
        <w:t>Fourth</w:t>
      </w:r>
      <w:r>
        <w:rPr>
          <w:rFonts w:ascii="Times New Roman;Times;serif" w:hAnsi="Times New Roman;Times;serif"/>
          <w:sz w:val="22"/>
        </w:rPr>
        <w:t xml:space="preserve">, to payment of that portion of the Obligations constituting unpaid principal of the Loans, ratably among the Lenders in proportion to the respective amounts described in this clause </w:t>
      </w:r>
      <w:r>
        <w:rPr>
          <w:rFonts w:ascii="Times New Roman;Times;serif" w:hAnsi="Times New Roman;Times;serif"/>
          <w:sz w:val="22"/>
          <w:u w:val="single"/>
        </w:rPr>
        <w:t>Fourth</w:t>
      </w:r>
      <w:r>
        <w:rPr>
          <w:rFonts w:ascii="Times New Roman;Times;serif" w:hAnsi="Times New Roman;Times;serif"/>
          <w:sz w:val="22"/>
        </w:rPr>
        <w:t xml:space="preserve"> held by them;</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u w:val="single"/>
        </w:rPr>
        <w:t>Last</w:t>
      </w:r>
      <w:r>
        <w:rPr>
          <w:rFonts w:ascii="Times New Roman;Times;serif" w:hAnsi="Times New Roman;Times;serif"/>
          <w:sz w:val="22"/>
        </w:rPr>
        <w:t>, the balance, if any, after all of the Obligations have been indefeasibly paid in full, to the Borrower or as otherwise required by Law.</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IX.</w:t>
      </w:r>
      <w:bookmarkStart w:id="2758" w:name="_Toc107702323"/>
      <w:bookmarkStart w:id="2759" w:name="_Toc236686935"/>
      <w:bookmarkStart w:id="2760" w:name="_Toc235705482"/>
      <w:bookmarkStart w:id="2761" w:name="_Toc207211218"/>
      <w:bookmarkStart w:id="2762" w:name="_Toc197360573"/>
      <w:bookmarkStart w:id="2763" w:name="_Toc197360222"/>
      <w:bookmarkStart w:id="2764" w:name="_Toc187311318"/>
      <w:bookmarkStart w:id="2765" w:name="_Toc184648458"/>
      <w:bookmarkStart w:id="2766" w:name="_Toc184648327"/>
      <w:bookmarkStart w:id="2767" w:name="_Toc184648196"/>
      <w:bookmarkStart w:id="2768" w:name="_Toc184648065"/>
      <w:bookmarkStart w:id="2769" w:name="_Toc184647934"/>
      <w:bookmarkStart w:id="2770" w:name="_Toc184647672"/>
      <w:bookmarkStart w:id="2771" w:name="_Toc184647539"/>
      <w:bookmarkStart w:id="2772" w:name="_Toc184647407"/>
      <w:bookmarkStart w:id="2773" w:name="_Toc184647275"/>
      <w:bookmarkStart w:id="2774" w:name="_Toc184647143"/>
      <w:bookmarkStart w:id="2775" w:name="_Toc184647011"/>
      <w:bookmarkStart w:id="2776" w:name="_Toc184646744"/>
      <w:bookmarkStart w:id="2777" w:name="_Toc184646610"/>
      <w:bookmarkStart w:id="2778" w:name="_Toc184646476"/>
      <w:bookmarkStart w:id="2779" w:name="_Toc184646342"/>
      <w:bookmarkStart w:id="2780" w:name="_Toc184646208"/>
      <w:bookmarkStart w:id="2781" w:name="_Toc184646074"/>
      <w:bookmarkStart w:id="2782" w:name="_Toc184645805"/>
      <w:bookmarkStart w:id="2783" w:name="_Toc184645671"/>
      <w:bookmarkStart w:id="2784" w:name="_Toc184645537"/>
      <w:bookmarkStart w:id="2785" w:name="_Toc184645403"/>
      <w:bookmarkStart w:id="2786" w:name="_Toc184645269"/>
      <w:bookmarkStart w:id="2787" w:name="_Toc184644999"/>
      <w:bookmarkStart w:id="2788" w:name="_Toc184644865"/>
      <w:bookmarkStart w:id="2789" w:name="_Toc184644731"/>
      <w:bookmarkStart w:id="2790" w:name="_Toc184644597"/>
      <w:bookmarkStart w:id="2791" w:name="_Toc184644463"/>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r>
        <w:rPr>
          <w:rFonts w:ascii="Times New Roman;Times;serif" w:hAnsi="Times New Roman;Times;serif"/>
          <w:b/>
          <w:caps/>
          <w:sz w:val="24"/>
        </w:rPr>
        <w:t>​</w:t>
      </w:r>
      <w:r>
        <w:rPr>
          <w:rFonts w:ascii="Times New Roman;Times;serif" w:hAnsi="Times New Roman;Times;serif"/>
          <w:b/>
          <w:caps/>
          <w:sz w:val="22"/>
        </w:rPr>
        <w:br/>
      </w:r>
      <w:bookmarkStart w:id="2792" w:name="_Toc184644195"/>
      <w:bookmarkStart w:id="2793" w:name="_Toc184644061"/>
      <w:bookmarkStart w:id="2794" w:name="_Toc184643927"/>
      <w:bookmarkStart w:id="2795" w:name="_Toc184643793"/>
      <w:bookmarkStart w:id="2796" w:name="_Toc184643659"/>
      <w:bookmarkStart w:id="2797" w:name="_Toc184643391"/>
      <w:bookmarkStart w:id="2798" w:name="_Toc184643024"/>
      <w:bookmarkStart w:id="2799" w:name="_Toc184642959"/>
      <w:bookmarkEnd w:id="2792"/>
      <w:bookmarkEnd w:id="2793"/>
      <w:bookmarkEnd w:id="2794"/>
      <w:bookmarkEnd w:id="2795"/>
      <w:bookmarkEnd w:id="2796"/>
      <w:bookmarkEnd w:id="2797"/>
      <w:bookmarkEnd w:id="2798"/>
      <w:bookmarkEnd w:id="2799"/>
      <w:r>
        <w:rPr>
          <w:rFonts w:ascii="Times New Roman;Times;serif" w:hAnsi="Times New Roman;Times;serif"/>
          <w:b/>
          <w:caps/>
          <w:sz w:val="22"/>
        </w:rPr>
        <w:t>ADMINISTRATIVE AGENT</w:t>
      </w:r>
      <w:r>
        <w:rPr>
          <w:rFonts w:ascii="Times New Roman;Times;serif" w:hAnsi="Times New Roman;Times;serif"/>
          <w:b/>
          <w:caps/>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9.01</w:t>
      </w:r>
      <w:bookmarkStart w:id="2800" w:name="_Toc107702324"/>
      <w:bookmarkStart w:id="2801" w:name="_Toc236686936"/>
      <w:bookmarkStart w:id="2802" w:name="_Toc184647673"/>
      <w:bookmarkStart w:id="2803" w:name="_Toc184646745"/>
      <w:bookmarkStart w:id="2804" w:name="_Toc184645806"/>
      <w:bookmarkStart w:id="2805" w:name="_Toc184645000"/>
      <w:bookmarkStart w:id="2806" w:name="_Toc184644196"/>
      <w:bookmarkStart w:id="2807" w:name="_Toc184643392"/>
      <w:bookmarkStart w:id="2808" w:name="_Toc184642960"/>
      <w:bookmarkEnd w:id="2800"/>
      <w:bookmarkEnd w:id="2801"/>
      <w:bookmarkEnd w:id="2802"/>
      <w:bookmarkEnd w:id="2803"/>
      <w:bookmarkEnd w:id="2804"/>
      <w:bookmarkEnd w:id="2805"/>
      <w:bookmarkEnd w:id="2806"/>
      <w:bookmarkEnd w:id="2807"/>
      <w:bookmarkEnd w:id="2808"/>
      <w:r>
        <w:rPr>
          <w:rFonts w:ascii="Times New Roman;Times;serif" w:hAnsi="Times New Roman;Times;serif"/>
          <w:b/>
          <w:sz w:val="22"/>
        </w:rPr>
        <w:t>Appointment and Authority</w:t>
      </w:r>
      <w:r>
        <w:rPr>
          <w:rFonts w:ascii="Times New Roman;Times;serif" w:hAnsi="Times New Roman;Times;serif"/>
          <w:sz w:val="22"/>
        </w:rPr>
        <w:t>.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the Borrower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9.02</w:t>
      </w:r>
      <w:bookmarkStart w:id="2809" w:name="_Toc107702325"/>
      <w:bookmarkStart w:id="2810" w:name="_Toc236686937"/>
      <w:bookmarkStart w:id="2811" w:name="_Toc184647674"/>
      <w:bookmarkStart w:id="2812" w:name="_Toc184646746"/>
      <w:bookmarkStart w:id="2813" w:name="_Toc184645807"/>
      <w:bookmarkStart w:id="2814" w:name="_Toc184645001"/>
      <w:bookmarkStart w:id="2815" w:name="_Toc184644197"/>
      <w:bookmarkStart w:id="2816" w:name="_Toc184643393"/>
      <w:bookmarkStart w:id="2817" w:name="_Toc184642961"/>
      <w:bookmarkEnd w:id="2809"/>
      <w:bookmarkEnd w:id="2810"/>
      <w:bookmarkEnd w:id="2811"/>
      <w:bookmarkEnd w:id="2812"/>
      <w:bookmarkEnd w:id="2813"/>
      <w:bookmarkEnd w:id="2814"/>
      <w:bookmarkEnd w:id="2815"/>
      <w:bookmarkEnd w:id="2816"/>
      <w:bookmarkEnd w:id="2817"/>
      <w:r>
        <w:rPr>
          <w:rFonts w:ascii="Times New Roman;Times;serif" w:hAnsi="Times New Roman;Times;serif"/>
          <w:b/>
          <w:sz w:val="22"/>
        </w:rPr>
        <w:t>Rights as a Lender</w:t>
      </w:r>
      <w:r>
        <w:rPr>
          <w:rFonts w:ascii="Times New Roman;Times;serif" w:hAnsi="Times New Roman;Times;serif"/>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9.03</w:t>
      </w:r>
      <w:bookmarkStart w:id="2818" w:name="_Toc107702326"/>
      <w:bookmarkStart w:id="2819" w:name="_Toc236686938"/>
      <w:bookmarkStart w:id="2820" w:name="_Toc184647675"/>
      <w:bookmarkStart w:id="2821" w:name="_Toc184646747"/>
      <w:bookmarkStart w:id="2822" w:name="_Toc184645808"/>
      <w:bookmarkStart w:id="2823" w:name="_Toc184645002"/>
      <w:bookmarkStart w:id="2824" w:name="_Toc184644198"/>
      <w:bookmarkStart w:id="2825" w:name="_Toc184643394"/>
      <w:bookmarkStart w:id="2826" w:name="_Toc184642962"/>
      <w:bookmarkEnd w:id="2818"/>
      <w:bookmarkEnd w:id="2819"/>
      <w:bookmarkEnd w:id="2820"/>
      <w:bookmarkEnd w:id="2821"/>
      <w:bookmarkEnd w:id="2822"/>
      <w:bookmarkEnd w:id="2823"/>
      <w:bookmarkEnd w:id="2824"/>
      <w:bookmarkEnd w:id="2825"/>
      <w:bookmarkEnd w:id="2826"/>
      <w:r>
        <w:rPr>
          <w:rFonts w:ascii="Times New Roman;Times;serif" w:hAnsi="Times New Roman;Times;serif"/>
          <w:b/>
          <w:sz w:val="22"/>
        </w:rPr>
        <w:t>Exculpatory Provisions</w:t>
      </w:r>
      <w:r>
        <w:rPr>
          <w:rFonts w:ascii="Times New Roman;Times;serif" w:hAnsi="Times New Roman;Times;serif"/>
          <w:sz w:val="22"/>
        </w:rPr>
        <w:t>.  The Administrative Agent or the Arrangers, as applicable, shall not have any duties or obligations except those expressly set forth herein and in the other Loan Documents, and its duties hereunder shall be administrative in nature.  Without limiting the generality of the foregoing, the Administrative Agent or the Arrangers, as applicable: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(a)shall not be subject to any fiduciary or other implied duties, regardless of whether a Default has occurred and is continuing;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a property of a Defaulting Lender in violation of any Debtor Relief Law;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(c)shall not have any duty or responsibility to disclose, and shall not be liable for the failure to disclose, to any Lender, any credit or other information concerning the business, prospects, operations, property, financial and other condition or creditworthiness of any of the Borrower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 or in the other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(d)shall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sz w:val="22"/>
          <w:u w:val="single"/>
        </w:rPr>
        <w:t>Sections 10.01</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8.02</w:t>
      </w:r>
      <w:r>
        <w:rPr>
          <w:rFonts w:ascii="Times New Roman;Times;serif" w:hAnsi="Times New Roman;Times;serif"/>
          <w:sz w:val="22"/>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as the case may be, is given in writing to the Administrative Agent by the Borrower or a Lender; and</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 xml:space="preserve">(e)shall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Times;serif" w:hAnsi="Times New Roman;Times;serif"/>
          <w:sz w:val="22"/>
          <w:u w:val="single"/>
        </w:rPr>
        <w:t>Article IV</w:t>
      </w:r>
      <w:r>
        <w:rPr>
          <w:rFonts w:ascii="Times New Roman;Times;serif" w:hAnsi="Times New Roman;Times;serif"/>
          <w:sz w:val="24"/>
        </w:rPr>
        <w:t xml:space="preserve"> </w:t>
      </w:r>
      <w:r>
        <w:rPr>
          <w:rFonts w:ascii="Times New Roman;Times;serif" w:hAnsi="Times New Roman;Times;serif"/>
          <w:sz w:val="22"/>
        </w:rPr>
        <w:t>or elsewhere herein, other than to confirm receipt of items expressly required to be delivered to the Administrative Agent.</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9.04</w:t>
      </w:r>
      <w:bookmarkStart w:id="2827" w:name="_Toc107702327"/>
      <w:bookmarkStart w:id="2828" w:name="_Toc236686939"/>
      <w:bookmarkStart w:id="2829" w:name="_Toc184647676"/>
      <w:bookmarkStart w:id="2830" w:name="_Toc184646748"/>
      <w:bookmarkStart w:id="2831" w:name="_Toc184645809"/>
      <w:bookmarkStart w:id="2832" w:name="_Toc184645003"/>
      <w:bookmarkStart w:id="2833" w:name="_Toc184644199"/>
      <w:bookmarkStart w:id="2834" w:name="_Toc184643395"/>
      <w:bookmarkStart w:id="2835" w:name="_Toc184642963"/>
      <w:bookmarkEnd w:id="2827"/>
      <w:bookmarkEnd w:id="2828"/>
      <w:bookmarkEnd w:id="2829"/>
      <w:bookmarkEnd w:id="2830"/>
      <w:bookmarkEnd w:id="2831"/>
      <w:bookmarkEnd w:id="2832"/>
      <w:bookmarkEnd w:id="2833"/>
      <w:bookmarkEnd w:id="2834"/>
      <w:bookmarkEnd w:id="2835"/>
      <w:r>
        <w:rPr>
          <w:rFonts w:ascii="Times New Roman;Times;serif" w:hAnsi="Times New Roman;Times;serif"/>
          <w:b/>
          <w:sz w:val="22"/>
        </w:rPr>
        <w:t>Reliance by Administrative Agent</w:t>
      </w:r>
      <w:r>
        <w:rPr>
          <w:rFonts w:ascii="Times New Roman;Times;serif" w:hAnsi="Times New Roman;Times;serif"/>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9.05</w:t>
      </w:r>
      <w:bookmarkStart w:id="2836" w:name="_Toc107702328"/>
      <w:bookmarkStart w:id="2837" w:name="_Toc236686940"/>
      <w:bookmarkStart w:id="2838" w:name="_Toc184647677"/>
      <w:bookmarkStart w:id="2839" w:name="_Toc184646749"/>
      <w:bookmarkStart w:id="2840" w:name="_Toc184645810"/>
      <w:bookmarkStart w:id="2841" w:name="_Toc184645004"/>
      <w:bookmarkStart w:id="2842" w:name="_Toc184644200"/>
      <w:bookmarkStart w:id="2843" w:name="_Toc184643396"/>
      <w:bookmarkStart w:id="2844" w:name="_Toc184642964"/>
      <w:bookmarkEnd w:id="2836"/>
      <w:bookmarkEnd w:id="2837"/>
      <w:bookmarkEnd w:id="2838"/>
      <w:bookmarkEnd w:id="2839"/>
      <w:bookmarkEnd w:id="2840"/>
      <w:bookmarkEnd w:id="2841"/>
      <w:bookmarkEnd w:id="2842"/>
      <w:bookmarkEnd w:id="2843"/>
      <w:bookmarkEnd w:id="2844"/>
      <w:r>
        <w:rPr>
          <w:rFonts w:ascii="Times New Roman;Times;serif" w:hAnsi="Times New Roman;Times;serif"/>
          <w:b/>
          <w:sz w:val="22"/>
        </w:rPr>
        <w:t>Delegation of Duties</w:t>
      </w:r>
      <w:r>
        <w:rPr>
          <w:rFonts w:ascii="Times New Roman;Times;serif" w:hAnsi="Times New Roman;Times;serif"/>
          <w:sz w:val="22"/>
        </w:rPr>
        <w:t xml:space="preserve">.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9.06</w:t>
      </w:r>
      <w:bookmarkStart w:id="2845" w:name="_Toc107702329"/>
      <w:bookmarkStart w:id="2846" w:name="_Toc236686941"/>
      <w:bookmarkStart w:id="2847" w:name="_Toc184647678"/>
      <w:bookmarkStart w:id="2848" w:name="_Toc184646750"/>
      <w:bookmarkStart w:id="2849" w:name="_Toc184645811"/>
      <w:bookmarkStart w:id="2850" w:name="_Toc184645005"/>
      <w:bookmarkStart w:id="2851" w:name="_Toc184644201"/>
      <w:bookmarkStart w:id="2852" w:name="_Toc184643397"/>
      <w:bookmarkStart w:id="2853" w:name="_Toc184642965"/>
      <w:bookmarkEnd w:id="2845"/>
      <w:bookmarkEnd w:id="2846"/>
      <w:bookmarkEnd w:id="2847"/>
      <w:bookmarkEnd w:id="2848"/>
      <w:bookmarkEnd w:id="2849"/>
      <w:bookmarkEnd w:id="2850"/>
      <w:bookmarkEnd w:id="2851"/>
      <w:bookmarkEnd w:id="2852"/>
      <w:bookmarkEnd w:id="2853"/>
      <w:r>
        <w:rPr>
          <w:rFonts w:ascii="Times New Roman;Times;serif" w:hAnsi="Times New Roman;Times;serif"/>
          <w:b/>
          <w:sz w:val="22"/>
        </w:rPr>
        <w:t>Resignation of Administrative Agent</w:t>
      </w:r>
      <w:r>
        <w:rPr>
          <w:rFonts w:ascii="Times New Roman;Times;serif" w:hAnsi="Times New Roman;Times;serif"/>
          <w:sz w:val="22"/>
        </w:rPr>
        <w: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(a)The Administrative Agent may at any time give notice of its resignation to the Lenders and the Borrower.  Upon receipt of any such notice of resignation, the Required Lenders shall have the right, with the consent of the Borrower (such consent not to be unreasonably withheld or delayed;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no consent of the Borrower shall be required if an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sz w:val="22"/>
          <w:u w:val="single"/>
        </w:rPr>
        <w:t>Resignation Effective Date</w:t>
      </w:r>
      <w:r>
        <w:rPr>
          <w:rFonts w:ascii="Times New Roman;Times;serif" w:hAnsi="Times New Roman;Times;serif"/>
          <w:sz w:val="24"/>
        </w:rPr>
        <w:t>”</w:t>
      </w:r>
      <w:r>
        <w:rPr>
          <w:rFonts w:ascii="Times New Roman;Times;serif" w:hAnsi="Times New Roman;Times;serif"/>
          <w:sz w:val="22"/>
        </w:rPr>
        <w:t>),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(b)If the Person serving as the Administrative Agent is a Defaulting Lender pursuant to </w:t>
      </w:r>
      <w:r>
        <w:rPr>
          <w:rFonts w:ascii="Times New Roman;Times;serif" w:hAnsi="Times New Roman;Times;serif"/>
          <w:sz w:val="22"/>
          <w:u w:val="single"/>
        </w:rPr>
        <w:t>clause (d)</w:t>
      </w:r>
      <w:r>
        <w:rPr>
          <w:rFonts w:ascii="Times New Roman;Times;serif" w:hAnsi="Times New Roman;Times;serif"/>
          <w:sz w:val="24"/>
        </w:rPr>
        <w:t xml:space="preserve"> </w:t>
      </w:r>
      <w:r>
        <w:rPr>
          <w:rFonts w:ascii="Times New Roman;Times;serif" w:hAnsi="Times New Roman;Times;serif"/>
          <w:sz w:val="22"/>
        </w:rPr>
        <w:t xml:space="preserve">of the definition thereof, the Required Lenders may, to the extent permitted by applicable law, by notice in writing to the Borrower and such Person remove such Person as Administrative Agent and, with the consent of the Borrower (such consent not to be unreasonably withheld or delayed;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no consent of the Borrower shall be required if an Event of Default has occurred and is continuing), appoint a successor which shall be a bank with an office in the United States, or any Affiliate of any such bank which bank has an office in the United States.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w:t>
      </w:r>
      <w:r>
        <w:rPr>
          <w:rFonts w:ascii="Times New Roman;Times;serif" w:hAnsi="Times New Roman;Times;serif"/>
          <w:sz w:val="22"/>
          <w:u w:val="single"/>
        </w:rPr>
        <w:t>Section 9.06</w:t>
      </w:r>
      <w:r>
        <w:rPr>
          <w:rFonts w:ascii="Times New Roman;Times;serif" w:hAnsi="Times New Roman;Times;serif"/>
          <w:sz w:val="22"/>
        </w:rPr>
        <w:t xml:space="preser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Times;serif" w:hAnsi="Times New Roman;Times;serif"/>
          <w:sz w:val="22"/>
          <w:u w:val="single"/>
        </w:rPr>
        <w:t>Section 3.01(g)</w:t>
      </w:r>
      <w:r>
        <w:rPr>
          <w:rFonts w:ascii="Times New Roman;Times;serif" w:hAnsi="Times New Roman;Times;serif"/>
          <w:sz w:val="24"/>
        </w:rPr>
        <w:t xml:space="preserve"> </w:t>
      </w:r>
      <w:r>
        <w:rPr>
          <w:rFonts w:ascii="Times New Roman;Times;serif" w:hAnsi="Times New Roman;Times;serif"/>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Times;serif" w:hAnsi="Times New Roman;Times;serif"/>
          <w:sz w:val="22"/>
          <w:u w:val="single"/>
        </w:rPr>
        <w:t>Section 9.06</w:t>
      </w:r>
      <w:r>
        <w:rPr>
          <w:rFonts w:ascii="Times New Roman;Times;serif" w:hAnsi="Times New Roman;Times;serif"/>
          <w:sz w:val="22"/>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Times;serif" w:hAnsi="Times New Roman;Times;serif"/>
          <w:sz w:val="22"/>
          <w:u w:val="single"/>
        </w:rPr>
        <w:t>Section 10.04</w:t>
      </w:r>
      <w:r>
        <w:rPr>
          <w:rFonts w:ascii="Times New Roman;Times;serif" w:hAnsi="Times New Roman;Times;serif"/>
          <w:sz w:val="24"/>
        </w:rPr>
        <w:t xml:space="preserve"> </w:t>
      </w:r>
      <w:r>
        <w:rPr>
          <w:rFonts w:ascii="Times New Roman;Times;serif" w:hAnsi="Times New Roman;Times;serif"/>
          <w:sz w:val="22"/>
        </w:rPr>
        <w:t>shall continue in effect for the benefit of the retiring or removed Administrative Agent, its sub agents and their respective Related Parties in respect of any actions taken or omitted to be taken by any of them while the retiring or removed Administrative Agent was acting as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9.07</w:t>
      </w:r>
      <w:bookmarkStart w:id="2854" w:name="_Toc107702330"/>
      <w:bookmarkStart w:id="2855" w:name="_Toc236686942"/>
      <w:bookmarkStart w:id="2856" w:name="_Toc184647679"/>
      <w:bookmarkStart w:id="2857" w:name="_Toc184646751"/>
      <w:bookmarkStart w:id="2858" w:name="_Toc184645812"/>
      <w:bookmarkStart w:id="2859" w:name="_Toc184645006"/>
      <w:bookmarkStart w:id="2860" w:name="_Toc184644202"/>
      <w:bookmarkStart w:id="2861" w:name="_Toc184643398"/>
      <w:bookmarkStart w:id="2862" w:name="_Toc184642966"/>
      <w:bookmarkEnd w:id="2854"/>
      <w:bookmarkEnd w:id="2855"/>
      <w:bookmarkEnd w:id="2856"/>
      <w:bookmarkEnd w:id="2857"/>
      <w:bookmarkEnd w:id="2858"/>
      <w:bookmarkEnd w:id="2859"/>
      <w:bookmarkEnd w:id="2860"/>
      <w:bookmarkEnd w:id="2861"/>
      <w:bookmarkEnd w:id="2862"/>
      <w:r>
        <w:rPr>
          <w:rFonts w:ascii="Times New Roman;Times;serif" w:hAnsi="Times New Roman;Times;serif"/>
          <w:b/>
          <w:sz w:val="22"/>
        </w:rPr>
        <w:t>Non-Reliance on Administrative Agent, the Arrangers and Other Lenders</w:t>
      </w:r>
      <w:r>
        <w:rPr>
          <w:rFonts w:ascii="Times New Roman;Times;serif" w:hAnsi="Times New Roman;Times;serif"/>
          <w:sz w:val="22"/>
        </w:rPr>
        <w:t xml:space="preserve">.  Each Lender expressly acknowledges that none of the Administrative Agent nor any Arranger has made any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representation or warranty to it, and that no act by the Administrative Agent or any Arranger hereafter taken, including any consent to, and acceptance of any assignment or review of the affairs of the Borrower of any Affiliate thereof, shall be deemed to constitute any representation or warranty by the Administrative Agent or any Arranger to any Lender as to any matter, including whether the Administrative Agent or the Arrangers have disclosed material information in their (or their Related Parties’) possession.  Each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9.08</w:t>
      </w:r>
      <w:bookmarkStart w:id="2863" w:name="_Toc236686943"/>
      <w:bookmarkStart w:id="2864" w:name="_Toc107702331"/>
      <w:bookmarkStart w:id="2865" w:name="_Toc184647680"/>
      <w:bookmarkStart w:id="2866" w:name="_Toc184646752"/>
      <w:bookmarkStart w:id="2867" w:name="_Toc184645813"/>
      <w:bookmarkStart w:id="2868" w:name="_Toc184645007"/>
      <w:bookmarkStart w:id="2869" w:name="_Toc184644203"/>
      <w:bookmarkStart w:id="2870" w:name="_Toc184643399"/>
      <w:bookmarkStart w:id="2871" w:name="_Toc184642967"/>
      <w:bookmarkEnd w:id="2863"/>
      <w:bookmarkEnd w:id="2864"/>
      <w:bookmarkEnd w:id="2865"/>
      <w:bookmarkEnd w:id="2866"/>
      <w:bookmarkEnd w:id="2867"/>
      <w:bookmarkEnd w:id="2868"/>
      <w:bookmarkEnd w:id="2869"/>
      <w:bookmarkEnd w:id="2870"/>
      <w:bookmarkEnd w:id="2871"/>
      <w:r>
        <w:rPr>
          <w:rFonts w:ascii="Times New Roman;Times;serif" w:hAnsi="Times New Roman;Times;serif"/>
          <w:b/>
          <w:sz w:val="22"/>
        </w:rPr>
        <w:t>No Other Duties, Etc.</w:t>
      </w:r>
      <w:r>
        <w:rPr>
          <w:rFonts w:ascii="Times New Roman;Times;serif" w:hAnsi="Times New Roman;Times;serif"/>
          <w:sz w:val="24"/>
        </w:rPr>
        <w:t xml:space="preserve"> </w:t>
      </w:r>
      <w:r>
        <w:rPr>
          <w:rFonts w:ascii="Times New Roman;Times;serif" w:hAnsi="Times New Roman;Times;serif"/>
          <w:sz w:val="22"/>
        </w:rPr>
        <w:t>Anything herein to the contrary notwithstanding, none of the Joint Bookrunners, Joint Lead Arrangers or the Syndication Agents listed on the cover page hereof shall have any powers, duties or responsibilities under this Agreement or any of the other Loan Documents, except in its capacity, as applicable, as the Administrative Agent, a Lender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9.09</w:t>
      </w:r>
      <w:bookmarkStart w:id="2872" w:name="_Toc107702332"/>
      <w:bookmarkStart w:id="2873" w:name="_Toc236686944"/>
      <w:bookmarkStart w:id="2874" w:name="_Toc184647681"/>
      <w:bookmarkStart w:id="2875" w:name="_Toc184646753"/>
      <w:bookmarkStart w:id="2876" w:name="_Toc184645814"/>
      <w:bookmarkStart w:id="2877" w:name="_Toc184645008"/>
      <w:bookmarkStart w:id="2878" w:name="_Toc184644204"/>
      <w:bookmarkStart w:id="2879" w:name="_Toc184643400"/>
      <w:bookmarkStart w:id="2880" w:name="_Toc184642968"/>
      <w:bookmarkEnd w:id="2872"/>
      <w:bookmarkEnd w:id="2873"/>
      <w:bookmarkEnd w:id="2874"/>
      <w:bookmarkEnd w:id="2875"/>
      <w:bookmarkEnd w:id="2876"/>
      <w:bookmarkEnd w:id="2877"/>
      <w:bookmarkEnd w:id="2878"/>
      <w:bookmarkEnd w:id="2879"/>
      <w:bookmarkEnd w:id="2880"/>
      <w:r>
        <w:rPr>
          <w:rFonts w:ascii="Times New Roman;Times;serif" w:hAnsi="Times New Roman;Times;serif"/>
          <w:b/>
          <w:sz w:val="22"/>
        </w:rPr>
        <w:t>Administrative Agent May File Proofs of Claim</w:t>
      </w:r>
      <w:r>
        <w:rPr>
          <w:rFonts w:ascii="Times New Roman;Times;serif" w:hAnsi="Times New Roman;Times;serif"/>
          <w:sz w:val="22"/>
        </w:rPr>
        <w:t>.  In case of the pendency of any proceeding under any Debtor Relief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to, and shall, at the direction of the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sz w:val="22"/>
          <w:u w:val="single"/>
        </w:rPr>
        <w:t>Sections 2.09</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10.04</w:t>
      </w:r>
      <w:r>
        <w:rPr>
          <w:rFonts w:ascii="Times New Roman;Times;serif" w:hAnsi="Times New Roman;Times;serif"/>
          <w:sz w:val="22"/>
        </w:rPr>
        <w:t>) allowed in such judicial proceeding; and</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(b)collect and receive any monies or other property payable or deliverable on any such claims and to distribute the same;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sz w:val="22"/>
          <w:u w:val="single"/>
        </w:rPr>
        <w:t>Sections 2.09</w:t>
      </w:r>
      <w:r>
        <w:rPr>
          <w:rFonts w:ascii="Times New Roman;Times;serif" w:hAnsi="Times New Roman;Times;serif"/>
          <w:sz w:val="22"/>
        </w:rPr>
        <w:t xml:space="preserve"> and </w:t>
      </w:r>
      <w:r>
        <w:rPr>
          <w:rFonts w:ascii="Times New Roman;Times;serif" w:hAnsi="Times New Roman;Times;serif"/>
          <w:sz w:val="22"/>
          <w:u w:val="single"/>
        </w:rPr>
        <w:t>10.04</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9.10</w:t>
      </w:r>
      <w:bookmarkStart w:id="2881" w:name="_Toc107702333"/>
      <w:bookmarkStart w:id="2882" w:name="_Toc236686945"/>
      <w:bookmarkStart w:id="2883" w:name="_Toc184647682"/>
      <w:bookmarkStart w:id="2884" w:name="_Toc184646754"/>
      <w:bookmarkStart w:id="2885" w:name="_Toc184645815"/>
      <w:bookmarkStart w:id="2886" w:name="_Toc184645009"/>
      <w:bookmarkStart w:id="2887" w:name="_Toc184644205"/>
      <w:bookmarkStart w:id="2888" w:name="_Toc184643401"/>
      <w:bookmarkStart w:id="2889" w:name="_Toc184642969"/>
      <w:bookmarkEnd w:id="2881"/>
      <w:bookmarkEnd w:id="2882"/>
      <w:bookmarkEnd w:id="2883"/>
      <w:bookmarkEnd w:id="2884"/>
      <w:bookmarkEnd w:id="2885"/>
      <w:bookmarkEnd w:id="2886"/>
      <w:bookmarkEnd w:id="2887"/>
      <w:bookmarkEnd w:id="2888"/>
      <w:bookmarkEnd w:id="2889"/>
      <w:r>
        <w:rPr>
          <w:rFonts w:ascii="Times New Roman;Times;serif" w:hAnsi="Times New Roman;Times;serif"/>
          <w:b/>
          <w:sz w:val="22"/>
        </w:rPr>
        <w:t>Certain ERISA Matters</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(iv)such other representation, warranty and covenant as may be agreed in writing between the Administrative Agent, in its sole discretion, and such Lender.</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(b)In addition, unless either (1) </w:t>
      </w:r>
      <w:r>
        <w:rPr>
          <w:rFonts w:ascii="Times New Roman;Times;serif" w:hAnsi="Times New Roman;Times;serif"/>
          <w:sz w:val="22"/>
          <w:u w:val="single"/>
        </w:rPr>
        <w:t>sub-clause (i)</w:t>
      </w:r>
      <w:r>
        <w:rPr>
          <w:rFonts w:ascii="Times New Roman;Times;serif" w:hAnsi="Times New Roman;Times;serif"/>
          <w:sz w:val="24"/>
        </w:rPr>
        <w:t xml:space="preserve"> </w:t>
      </w:r>
      <w:r>
        <w:rPr>
          <w:rFonts w:ascii="Times New Roman;Times;serif" w:hAnsi="Times New Roman;Times;serif"/>
          <w:sz w:val="22"/>
        </w:rPr>
        <w:t xml:space="preserve">in the immediately preceding clause (a) is true with respect to a Lender or (2) a Lender has provided another representation, warranty and covenant in accordance with </w:t>
      </w:r>
      <w:r>
        <w:rPr>
          <w:rFonts w:ascii="Times New Roman;Times;serif" w:hAnsi="Times New Roman;Times;serif"/>
          <w:sz w:val="22"/>
          <w:u w:val="single"/>
        </w:rPr>
        <w:t>sub-clause (iv)</w:t>
      </w:r>
      <w:r>
        <w:rPr>
          <w:rFonts w:ascii="Times New Roman;Times;serif" w:hAnsi="Times New Roman;Times;serif"/>
          <w:sz w:val="24"/>
        </w:rPr>
        <w:t xml:space="preserve"> </w:t>
      </w:r>
      <w:r>
        <w:rPr>
          <w:rFonts w:ascii="Times New Roman;Times;serif" w:hAnsi="Times New Roman;Times;serif"/>
          <w:sz w:val="22"/>
        </w:rPr>
        <w:t xml:space="preserve">in the immediately preceding </w:t>
      </w:r>
      <w:r>
        <w:rPr>
          <w:rFonts w:ascii="Times New Roman;Times;serif" w:hAnsi="Times New Roman;Times;serif"/>
          <w:sz w:val="22"/>
          <w:u w:val="single"/>
        </w:rPr>
        <w:t>clause (a)</w:t>
      </w:r>
      <w:r>
        <w:rPr>
          <w:rFonts w:ascii="Times New Roman;Times;serif" w:hAnsi="Times New Roman;Times;serif"/>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none of the Administrative Agent or the Arrangers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9.11</w:t>
      </w:r>
      <w:bookmarkStart w:id="2890" w:name="_Toc107702334"/>
      <w:bookmarkStart w:id="2891" w:name="_Toc236686946"/>
      <w:bookmarkStart w:id="2892" w:name="_Toc184647683"/>
      <w:bookmarkStart w:id="2893" w:name="_Toc184646755"/>
      <w:bookmarkStart w:id="2894" w:name="_Toc184645816"/>
      <w:bookmarkStart w:id="2895" w:name="_Toc184645010"/>
      <w:bookmarkStart w:id="2896" w:name="_Toc184644206"/>
      <w:bookmarkStart w:id="2897" w:name="_Toc184643402"/>
      <w:bookmarkStart w:id="2898" w:name="_Toc184642970"/>
      <w:bookmarkEnd w:id="2890"/>
      <w:bookmarkEnd w:id="2891"/>
      <w:bookmarkEnd w:id="2892"/>
      <w:bookmarkEnd w:id="2893"/>
      <w:bookmarkEnd w:id="2894"/>
      <w:bookmarkEnd w:id="2895"/>
      <w:bookmarkEnd w:id="2896"/>
      <w:bookmarkEnd w:id="2897"/>
      <w:bookmarkEnd w:id="2898"/>
      <w:r>
        <w:rPr>
          <w:rFonts w:ascii="Times New Roman;Times;serif" w:hAnsi="Times New Roman;Times;serif"/>
          <w:b/>
          <w:sz w:val="22"/>
        </w:rPr>
        <w:t>Recovery of Erroneous Payments.</w:t>
      </w:r>
      <w:r>
        <w:rPr>
          <w:rFonts w:ascii="Times New Roman;Times;serif" w:hAnsi="Times New Roman;Times;serif"/>
          <w:sz w:val="24"/>
        </w:rPr>
        <w:t xml:space="preserve">  </w:t>
      </w:r>
      <w:r>
        <w:rPr>
          <w:rFonts w:ascii="Times New Roman;Times;serif" w:hAnsi="Times New Roman;Times;serif"/>
          <w:sz w:val="22"/>
        </w:rPr>
        <w:t>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pStyle w:val="TextBody"/>
        <w:bidi w:val="0"/>
        <w:spacing w:before="360" w:after="240"/>
        <w:ind w:left="0" w:right="0" w:hanging="0"/>
        <w:jc w:val="center"/>
        <w:rPr>
          <w:rFonts w:ascii="Times New Roman;Times;serif" w:hAnsi="Times New Roman;Times;serif"/>
          <w:b/>
          <w:caps/>
          <w:sz w:val="24"/>
        </w:rPr>
      </w:pPr>
      <w:r>
        <w:rPr>
          <w:rFonts w:ascii="Times New Roman;Times;serif" w:hAnsi="Times New Roman;Times;serif"/>
          <w:b/>
          <w:caps/>
          <w:sz w:val="24"/>
        </w:rPr>
        <w:t>ARTICLE X.</w:t>
      </w:r>
      <w:bookmarkStart w:id="2899" w:name="_Toc236686947"/>
      <w:bookmarkStart w:id="2900" w:name="_Toc235705494"/>
      <w:bookmarkStart w:id="2901" w:name="_Toc207211230"/>
      <w:bookmarkStart w:id="2902" w:name="_Toc197360585"/>
      <w:bookmarkStart w:id="2903" w:name="_Toc197360234"/>
      <w:bookmarkStart w:id="2904" w:name="_Toc187311330"/>
      <w:bookmarkStart w:id="2905" w:name="_Toc184648470"/>
      <w:bookmarkStart w:id="2906" w:name="_Toc184648339"/>
      <w:bookmarkStart w:id="2907" w:name="_Toc184648208"/>
      <w:bookmarkStart w:id="2908" w:name="_Toc184648077"/>
      <w:bookmarkStart w:id="2909" w:name="_Toc184647946"/>
      <w:bookmarkStart w:id="2910" w:name="_Toc184647684"/>
      <w:bookmarkStart w:id="2911" w:name="_Toc184647551"/>
      <w:bookmarkStart w:id="2912" w:name="_Toc184647419"/>
      <w:bookmarkStart w:id="2913" w:name="_Toc184647287"/>
      <w:bookmarkStart w:id="2914" w:name="_Toc184647155"/>
      <w:bookmarkStart w:id="2915" w:name="_Toc184647023"/>
      <w:bookmarkStart w:id="2916" w:name="_Toc184646756"/>
      <w:bookmarkStart w:id="2917" w:name="_Toc184646622"/>
      <w:bookmarkStart w:id="2918" w:name="_Toc184646488"/>
      <w:bookmarkStart w:id="2919" w:name="_Toc184646354"/>
      <w:bookmarkStart w:id="2920" w:name="_Toc184646220"/>
      <w:bookmarkStart w:id="2921" w:name="_Toc184646086"/>
      <w:bookmarkStart w:id="2922" w:name="_Toc184645817"/>
      <w:bookmarkStart w:id="2923" w:name="_Toc184645683"/>
      <w:bookmarkStart w:id="2924" w:name="_Toc184645549"/>
      <w:bookmarkStart w:id="2925" w:name="_Toc184645415"/>
      <w:bookmarkStart w:id="2926" w:name="_Toc184645281"/>
      <w:bookmarkStart w:id="2927" w:name="_Toc184645011"/>
      <w:bookmarkStart w:id="2928" w:name="_Toc184644877"/>
      <w:bookmarkStart w:id="2929" w:name="_Toc184644743"/>
      <w:bookmarkStart w:id="2930" w:name="_Toc184644609"/>
      <w:bookmarkStart w:id="2931" w:name="_Toc184644475"/>
      <w:bookmarkStart w:id="2932" w:name="_Toc107702335"/>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r>
        <w:rPr>
          <w:rFonts w:ascii="Times New Roman;Times;serif" w:hAnsi="Times New Roman;Times;serif"/>
          <w:b/>
          <w:caps/>
          <w:sz w:val="24"/>
        </w:rPr>
        <w:t>​</w:t>
      </w:r>
      <w:r>
        <w:rPr>
          <w:rFonts w:ascii="Times New Roman;Times;serif" w:hAnsi="Times New Roman;Times;serif"/>
          <w:b/>
          <w:caps/>
          <w:sz w:val="22"/>
        </w:rPr>
        <w:br/>
      </w:r>
      <w:bookmarkStart w:id="2933" w:name="_Toc184644207"/>
      <w:bookmarkStart w:id="2934" w:name="_Toc184644073"/>
      <w:bookmarkStart w:id="2935" w:name="_Toc184643939"/>
      <w:bookmarkStart w:id="2936" w:name="_Toc184643805"/>
      <w:bookmarkStart w:id="2937" w:name="_Toc184643671"/>
      <w:bookmarkStart w:id="2938" w:name="_Toc184643403"/>
      <w:bookmarkStart w:id="2939" w:name="_Toc184643025"/>
      <w:bookmarkStart w:id="2940" w:name="_Toc184642971"/>
      <w:bookmarkEnd w:id="2933"/>
      <w:bookmarkEnd w:id="2934"/>
      <w:bookmarkEnd w:id="2935"/>
      <w:bookmarkEnd w:id="2936"/>
      <w:bookmarkEnd w:id="2937"/>
      <w:bookmarkEnd w:id="2938"/>
      <w:bookmarkEnd w:id="2939"/>
      <w:bookmarkEnd w:id="2940"/>
      <w:r>
        <w:rPr>
          <w:rFonts w:ascii="Times New Roman;Times;serif" w:hAnsi="Times New Roman;Times;serif"/>
          <w:b/>
          <w:caps/>
          <w:sz w:val="22"/>
        </w:rPr>
        <w:t>MISCELLANEOUS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10.01</w:t>
      </w:r>
      <w:bookmarkStart w:id="2941" w:name="_Toc107702336"/>
      <w:bookmarkStart w:id="2942" w:name="_Toc236686948"/>
      <w:bookmarkStart w:id="2943" w:name="_Toc184647685"/>
      <w:bookmarkStart w:id="2944" w:name="_Toc184646757"/>
      <w:bookmarkStart w:id="2945" w:name="_Toc184645818"/>
      <w:bookmarkStart w:id="2946" w:name="_Toc184645012"/>
      <w:bookmarkStart w:id="2947" w:name="_Toc184644208"/>
      <w:bookmarkStart w:id="2948" w:name="_Toc184643404"/>
      <w:bookmarkStart w:id="2949" w:name="_Toc184642972"/>
      <w:bookmarkEnd w:id="2941"/>
      <w:bookmarkEnd w:id="2942"/>
      <w:bookmarkEnd w:id="2943"/>
      <w:bookmarkEnd w:id="2944"/>
      <w:bookmarkEnd w:id="2945"/>
      <w:bookmarkEnd w:id="2946"/>
      <w:bookmarkEnd w:id="2947"/>
      <w:bookmarkEnd w:id="2948"/>
      <w:bookmarkEnd w:id="2949"/>
      <w:r>
        <w:rPr>
          <w:rFonts w:ascii="Times New Roman;Times;serif" w:hAnsi="Times New Roman;Times;serif"/>
          <w:b/>
          <w:sz w:val="22"/>
        </w:rPr>
        <w:t>Amendments, Etc</w:t>
      </w:r>
      <w:r>
        <w:rPr>
          <w:rFonts w:ascii="Times New Roman;Times;serif" w:hAnsi="Times New Roman;Times;serif"/>
          <w:sz w:val="22"/>
        </w:rPr>
        <w:t xml:space="preserve">.  Except as set forth in </w:t>
      </w:r>
      <w:r>
        <w:rPr>
          <w:rFonts w:ascii="Times New Roman;Times;serif" w:hAnsi="Times New Roman;Times;serif"/>
          <w:sz w:val="22"/>
          <w:u w:val="single"/>
        </w:rPr>
        <w:t>Section 3.03</w:t>
      </w:r>
      <w:r>
        <w:rPr>
          <w:rFonts w:ascii="Times New Roman;Times;serif" w:hAnsi="Times New Roman;Times;serif"/>
          <w:sz w:val="22"/>
        </w:rPr>
        <w:t xml:space="preserve">, no amendment or 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such amendment, waiver or consent shall: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(a)waive any condition set forth in </w:t>
      </w:r>
      <w:r>
        <w:rPr>
          <w:rFonts w:ascii="Times New Roman;Times;serif" w:hAnsi="Times New Roman;Times;serif"/>
          <w:sz w:val="22"/>
          <w:u w:val="single"/>
        </w:rPr>
        <w:t>Section 4.01(a)</w:t>
      </w:r>
      <w:r>
        <w:rPr>
          <w:rFonts w:ascii="Times New Roman;Times;serif" w:hAnsi="Times New Roman;Times;serif"/>
          <w:sz w:val="24"/>
        </w:rPr>
        <w:t xml:space="preserve"> </w:t>
      </w:r>
      <w:r>
        <w:rPr>
          <w:rFonts w:ascii="Times New Roman;Times;serif" w:hAnsi="Times New Roman;Times;serif"/>
          <w:sz w:val="22"/>
        </w:rPr>
        <w:t>without the written consent of each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(b)extend or increase the Commitment of any Lender (or reinstate any Commitment terminated pursuant to </w:t>
      </w:r>
      <w:r>
        <w:rPr>
          <w:rFonts w:ascii="Times New Roman;Times;serif" w:hAnsi="Times New Roman;Times;serif"/>
          <w:sz w:val="22"/>
          <w:u w:val="single"/>
        </w:rPr>
        <w:t>Section 8.02</w:t>
      </w:r>
      <w:r>
        <w:rPr>
          <w:rFonts w:ascii="Times New Roman;Times;serif" w:hAnsi="Times New Roman;Times;serif"/>
          <w:sz w:val="22"/>
        </w:rPr>
        <w:t>) without the written consent of such Lender;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(d)reduce the principal of, or the rate or amount of interest specified herein on, any Loan, or (subject to </w:t>
      </w:r>
      <w:r>
        <w:rPr>
          <w:rFonts w:ascii="Times New Roman;Times;serif" w:hAnsi="Times New Roman;Times;serif"/>
          <w:sz w:val="22"/>
          <w:u w:val="single"/>
        </w:rPr>
        <w:t>clause (iv)</w:t>
      </w:r>
      <w:r>
        <w:rPr>
          <w:rFonts w:ascii="Times New Roman;Times;serif" w:hAnsi="Times New Roman;Times;serif"/>
          <w:color w:val="FF0000"/>
          <w:sz w:val="24"/>
        </w:rPr>
        <w:t xml:space="preserve"> </w:t>
      </w:r>
      <w:r>
        <w:rPr>
          <w:rFonts w:ascii="Times New Roman;Times;serif" w:hAnsi="Times New Roman;Times;serif"/>
          <w:sz w:val="22"/>
        </w:rPr>
        <w:t xml:space="preserve">of the second proviso to this </w:t>
      </w:r>
      <w:r>
        <w:rPr>
          <w:rFonts w:ascii="Times New Roman;Times;serif" w:hAnsi="Times New Roman;Times;serif"/>
          <w:sz w:val="22"/>
          <w:u w:val="single"/>
        </w:rPr>
        <w:t>Section 10.01</w:t>
      </w:r>
      <w:r>
        <w:rPr>
          <w:rFonts w:ascii="Times New Roman;Times;serif" w:hAnsi="Times New Roman;Times;serif"/>
          <w:sz w:val="22"/>
        </w:rPr>
        <w:t xml:space="preserve">) any fees or other amounts payable hereunder or under any other Loan Document, without the written consent of each Lender directly affected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thereby;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only the consent of the Required Lenders shall be necessary to amend the definition of “Default Rate” or to waive any obligation of the Borrower to pay interest at the Default Rate;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(e)change </w:t>
      </w:r>
      <w:r>
        <w:rPr>
          <w:rFonts w:ascii="Times New Roman;Times;serif" w:hAnsi="Times New Roman;Times;serif"/>
          <w:sz w:val="22"/>
          <w:u w:val="single"/>
        </w:rPr>
        <w:t>Section 2.13</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Section 8.03</w:t>
      </w:r>
      <w:r>
        <w:rPr>
          <w:rFonts w:ascii="Times New Roman;Times;serif" w:hAnsi="Times New Roman;Times;serif"/>
          <w:sz w:val="24"/>
        </w:rPr>
        <w:t xml:space="preserve"> </w:t>
      </w:r>
      <w:r>
        <w:rPr>
          <w:rFonts w:ascii="Times New Roman;Times;serif" w:hAnsi="Times New Roman;Times;serif"/>
          <w:sz w:val="22"/>
        </w:rPr>
        <w:t>in a manner that would alter the pro rata sharing of payments required thereby without the written consent of each Lender; or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(f)change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(i) no amendment, waiver or consent shall, unless in writing and signed by the Administrative Agent in addition to the Lenders required above, affect the rights or duties of the Administrative Agent under this Agreement or any other Loan Document; and (ii)</w:t>
      </w:r>
      <w:r>
        <w:rPr>
          <w:rFonts w:ascii="Times New Roman;Times;serif" w:hAnsi="Times New Roman;Times;serif"/>
          <w:color w:val="FF0000"/>
          <w:sz w:val="22"/>
        </w:rPr>
        <w:t xml:space="preserve"> </w:t>
      </w:r>
      <w:r>
        <w:rPr>
          <w:rFonts w:ascii="Times New Roman;Times;serif" w:hAnsi="Times New Roman;Times;serif"/>
          <w:sz w:val="22"/>
        </w:rPr>
        <w:t>any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w:t>
      </w:r>
      <w:r>
        <w:rPr>
          <w:rFonts w:ascii="Times New Roman;Times;serif" w:hAnsi="Times New Roman;Times;serif"/>
          <w:color w:val="FF0000"/>
          <w:sz w:val="22"/>
        </w:rPr>
        <w:t xml:space="preserve"> </w:t>
      </w:r>
      <w:r>
        <w:rPr>
          <w:rFonts w:ascii="Times New Roman;Times;serif" w:hAnsi="Times New Roman;Times;serif"/>
          <w:sz w:val="22"/>
        </w:rPr>
        <w:t>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Notwithstanding any provision herein to the contrary, (i)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if the same is not objected to in writing by the Required Lenders to the Administrative Agent within five Business Days following receipt of notice thereof, and (ii) each Lender hereby irrevocably authorizes the Administrative Agent on its behalf, and without further consent of any Lender (but with the consent of the Borrower and the Administrative Agent), to amend and/or restate this Agreement and the other Loan Documents if, upon giving effect to such amendment and/or restatement, such Lender shall no longer be a party to this Agreement (as so amended and/or restated), (A) the Commitments of such Lender shall have terminated, (B) such Lender shall have no other </w:t>
      </w:r>
      <w:bookmarkStart w:id="2950" w:name="_9kMHzG6ZWu5778CISIzyv38uwC"/>
      <w:bookmarkEnd w:id="2950"/>
      <w:r>
        <w:rPr>
          <w:rFonts w:ascii="Times New Roman;Times;serif" w:hAnsi="Times New Roman;Times;serif"/>
          <w:sz w:val="22"/>
        </w:rPr>
        <w:t xml:space="preserve">commitment or other </w:t>
      </w:r>
      <w:bookmarkStart w:id="2951" w:name="_9kMH5EQ7aXv6889DKgImuqjx628D"/>
      <w:bookmarkEnd w:id="2951"/>
      <w:r>
        <w:rPr>
          <w:rFonts w:ascii="Times New Roman;Times;serif" w:hAnsi="Times New Roman;Times;serif"/>
          <w:sz w:val="22"/>
        </w:rPr>
        <w:t>obligation hereunder and (C) such Lender shall have been paid in full all principal, interest and other amounts owing to it or accrued for its account under this Agreement and the other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10.02</w:t>
      </w:r>
      <w:bookmarkStart w:id="2952" w:name="_Toc107702337"/>
      <w:bookmarkStart w:id="2953" w:name="_Toc236686949"/>
      <w:bookmarkStart w:id="2954" w:name="_Toc184647686"/>
      <w:bookmarkStart w:id="2955" w:name="_Toc184646758"/>
      <w:bookmarkStart w:id="2956" w:name="_Toc184645819"/>
      <w:bookmarkStart w:id="2957" w:name="_Toc184645013"/>
      <w:bookmarkStart w:id="2958" w:name="_Toc184644209"/>
      <w:bookmarkStart w:id="2959" w:name="_Toc184643405"/>
      <w:bookmarkStart w:id="2960" w:name="_Toc184642973"/>
      <w:bookmarkEnd w:id="2952"/>
      <w:bookmarkEnd w:id="2953"/>
      <w:bookmarkEnd w:id="2954"/>
      <w:bookmarkEnd w:id="2955"/>
      <w:bookmarkEnd w:id="2956"/>
      <w:bookmarkEnd w:id="2957"/>
      <w:bookmarkEnd w:id="2958"/>
      <w:bookmarkEnd w:id="2959"/>
      <w:bookmarkEnd w:id="2960"/>
      <w:r>
        <w:rPr>
          <w:rFonts w:ascii="Times New Roman;Times;serif" w:hAnsi="Times New Roman;Times;serif"/>
          <w:b/>
          <w:sz w:val="22"/>
        </w:rPr>
        <w:t>Notices; Effectiveness; Electronic Communication</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Notices Generally</w:t>
      </w:r>
      <w:r>
        <w:rPr>
          <w:rFonts w:ascii="Times New Roman;Times;serif" w:hAnsi="Times New Roman;Times;serif"/>
          <w:sz w:val="22"/>
        </w:rPr>
        <w:t xml:space="preserve">.  Except in the case of notices and other communications expressly permitted to be given by telephone and electronic mail and, except as provided in </w:t>
      </w:r>
      <w:r>
        <w:rPr>
          <w:rFonts w:ascii="Times New Roman;Times;serif" w:hAnsi="Times New Roman;Times;serif"/>
          <w:sz w:val="22"/>
          <w:u w:val="single"/>
        </w:rPr>
        <w:t>subsection (b)</w:t>
      </w:r>
      <w:r>
        <w:rPr>
          <w:rFonts w:ascii="Times New Roman;Times;serif" w:hAnsi="Times New Roman;Times;serif"/>
          <w:sz w:val="24"/>
        </w:rPr>
        <w:t xml:space="preserve"> </w:t>
      </w:r>
      <w:r>
        <w:rPr>
          <w:rFonts w:ascii="Times New Roman;Times;serif" w:hAnsi="Times New Roman;Times;serif"/>
          <w:sz w:val="22"/>
        </w:rPr>
        <w:t>below, all notices and other communications provided for herein shall be in writing and shall be delivered by hand or overnight courier service, mailed by certified or registered mail or sent by electronic mail as follows, and all notices and other communications expressly permitted hereunder to be given by telephone shall be made to the applicable telephone number, as follows: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 xml:space="preserve">(i)if to the Borrower or the Administrative Agent, to the address, electronic mail address or telephone number specified for such Person on </w:t>
      </w:r>
      <w:r>
        <w:rPr>
          <w:rFonts w:ascii="Times New Roman;Times;serif" w:hAnsi="Times New Roman;Times;serif"/>
          <w:sz w:val="22"/>
          <w:u w:val="single"/>
        </w:rPr>
        <w:t>Schedule 10.02</w:t>
      </w:r>
      <w:r>
        <w:rPr>
          <w:rFonts w:ascii="Times New Roman;Times;serif" w:hAnsi="Times New Roman;Times;serif"/>
          <w:sz w:val="22"/>
        </w:rPr>
        <w:t xml:space="preserve">; and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MNPI).</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Times New Roman;Times;serif" w:hAnsi="Times New Roman;Times;serif"/>
          <w:sz w:val="22"/>
          <w:u w:val="single"/>
        </w:rPr>
        <w:t>subsection (b)</w:t>
      </w:r>
      <w:r>
        <w:rPr>
          <w:rFonts w:ascii="Times New Roman;Times;serif" w:hAnsi="Times New Roman;Times;serif"/>
          <w:sz w:val="22"/>
        </w:rPr>
        <w:t xml:space="preserve"> below, shall be effective as provided in such </w:t>
      </w:r>
      <w:r>
        <w:rPr>
          <w:rFonts w:ascii="Times New Roman;Times;serif" w:hAnsi="Times New Roman;Times;serif"/>
          <w:sz w:val="22"/>
          <w:u w:val="single"/>
        </w:rPr>
        <w:t>subsection (b)</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Electronic Communications</w:t>
      </w:r>
      <w:r>
        <w:rPr>
          <w:rFonts w:ascii="Times New Roman;Times;serif" w:hAnsi="Times New Roman;Times;serif"/>
          <w:sz w:val="22"/>
        </w:rPr>
        <w:t xml:space="preserve">.  Notices and other communications to the Administrative Agent and Lenders hereunder may be delivered or furnished by electronic communication (including e mail, FpML messaging and Internet or intranet websites) pursuant to procedures approved by the Administrative Agent, provided that the foregoing shall not apply to notices to any Lender pursuant to </w:t>
      </w:r>
      <w:r>
        <w:rPr>
          <w:rFonts w:ascii="Times New Roman;Times;serif" w:hAnsi="Times New Roman;Times;serif"/>
          <w:sz w:val="22"/>
          <w:u w:val="single"/>
        </w:rPr>
        <w:t>Article II</w:t>
      </w:r>
      <w:r>
        <w:rPr>
          <w:rFonts w:ascii="Times New Roman;Times;serif" w:hAnsi="Times New Roman;Times;serif"/>
          <w:sz w:val="24"/>
        </w:rPr>
        <w:t xml:space="preserve"> </w:t>
      </w:r>
      <w:r>
        <w:rPr>
          <w:rFonts w:ascii="Times New Roman;Times;serif" w:hAnsi="Times New Roman;Times;serif"/>
          <w:sz w:val="22"/>
        </w:rPr>
        <w:t xml:space="preserve">if such Lender, as applicable, has notified the Administrative Agent or the Borrower, as applicable,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approval of such procedures may be limited to particular notices or communications.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Times;serif" w:hAnsi="Times New Roman;Times;serif"/>
          <w:sz w:val="22"/>
          <w:u w:val="single"/>
        </w:rPr>
        <w:t>clause (i)</w:t>
      </w:r>
      <w:r>
        <w:rPr>
          <w:rFonts w:ascii="Times New Roman;Times;serif" w:hAnsi="Times New Roman;Times;serif"/>
          <w:sz w:val="22"/>
        </w:rPr>
        <w:t xml:space="preserve"> of notification that such notice or communication is available and identifying the website address therefor, </w:t>
      </w:r>
      <w:r>
        <w:rPr>
          <w:rFonts w:ascii="Times New Roman;Times;serif" w:hAnsi="Times New Roman;Times;serif"/>
          <w:sz w:val="22"/>
          <w:u w:val="single"/>
        </w:rPr>
        <w:t>provided</w:t>
      </w:r>
      <w:r>
        <w:rPr>
          <w:rFonts w:ascii="Times New Roman;Times;serif" w:hAnsi="Times New Roman;Times;serif"/>
          <w:sz w:val="22"/>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The Platform</w:t>
      </w:r>
      <w:r>
        <w:rPr>
          <w:rFonts w:ascii="Times New Roman;Times;serif" w:hAnsi="Times New Roman;Times;serif"/>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sz w:val="22"/>
          <w:u w:val="single"/>
        </w:rPr>
        <w:t>Agent Parties</w:t>
      </w:r>
      <w:r>
        <w:rPr>
          <w:rFonts w:ascii="Times New Roman;Times;serif" w:hAnsi="Times New Roman;Times;serif"/>
          <w:sz w:val="24"/>
        </w:rPr>
        <w:t>”</w:t>
      </w:r>
      <w:r>
        <w:rPr>
          <w:rFonts w:ascii="Times New Roman;Times;serif" w:hAnsi="Times New Roman;Times;serif"/>
          <w:sz w:val="22"/>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in no event shall any Agent Party have any liability to the Borrower, any Lender or any other Person for indirect, special, incidental, consequential or punitive damages (as opposed to direct or actual damages).</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Change of Address, Etc</w:t>
      </w:r>
      <w:r>
        <w:rPr>
          <w:rFonts w:ascii="Times New Roman;Times;serif" w:hAnsi="Times New Roman;Times;serif"/>
          <w:sz w:val="22"/>
        </w:rPr>
        <w:t>.  Each of the Borrower and the Administrative Agent may change its address or telephone number or electronic mail address for notices and other communications hereunder by notice to the other parties hereto.  Each other Lender may change its address, telephone number or electronic mail address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Reliance by Administrative Agent and Lenders</w:t>
      </w:r>
      <w:r>
        <w:rPr>
          <w:rFonts w:ascii="Times New Roman;Times;serif" w:hAnsi="Times New Roman;Times;serif"/>
          <w:sz w:val="22"/>
        </w:rPr>
        <w:t>.  The Administrative Agent and the Lenders shall be entitled to rely and act upon any notices (including telephonic or electronic notices and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10.03</w:t>
      </w:r>
      <w:bookmarkStart w:id="2961" w:name="_Toc107702338"/>
      <w:bookmarkStart w:id="2962" w:name="_Toc236686950"/>
      <w:bookmarkStart w:id="2963" w:name="_Toc184647687"/>
      <w:bookmarkStart w:id="2964" w:name="_Toc184646759"/>
      <w:bookmarkStart w:id="2965" w:name="_Toc184645820"/>
      <w:bookmarkStart w:id="2966" w:name="_Toc184645014"/>
      <w:bookmarkStart w:id="2967" w:name="_Toc184644210"/>
      <w:bookmarkStart w:id="2968" w:name="_Toc184643406"/>
      <w:bookmarkStart w:id="2969" w:name="_Toc184642974"/>
      <w:bookmarkEnd w:id="2961"/>
      <w:bookmarkEnd w:id="2962"/>
      <w:bookmarkEnd w:id="2963"/>
      <w:bookmarkEnd w:id="2964"/>
      <w:bookmarkEnd w:id="2965"/>
      <w:bookmarkEnd w:id="2966"/>
      <w:bookmarkEnd w:id="2967"/>
      <w:bookmarkEnd w:id="2968"/>
      <w:bookmarkEnd w:id="2969"/>
      <w:r>
        <w:rPr>
          <w:rFonts w:ascii="Times New Roman;Times;serif" w:hAnsi="Times New Roman;Times;serif"/>
          <w:b/>
          <w:sz w:val="22"/>
        </w:rPr>
        <w:t>No Waiver; Cumulative Remedies; Enforcement</w:t>
      </w:r>
      <w:r>
        <w:rPr>
          <w:rFonts w:ascii="Times New Roman;Times;serif" w:hAnsi="Times New Roman;Times;serif"/>
          <w:sz w:val="22"/>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Notwithstanding anything to the contrary contained herein or in any other Loan Document, the authority to enforce rights and remedies hereunder and under the other Loan Documents against the Borrower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sz w:val="22"/>
          <w:u w:val="single"/>
        </w:rPr>
        <w:t>Section 8.02</w:t>
      </w:r>
      <w:r>
        <w:rPr>
          <w:rFonts w:ascii="Times New Roman;Times;serif" w:hAnsi="Times New Roman;Times;serif"/>
          <w:sz w:val="22"/>
        </w:rPr>
        <w:t xml:space="preserve"> for the benefit of all the Lenders;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Times;serif" w:hAnsi="Times New Roman;Times;serif"/>
          <w:sz w:val="22"/>
          <w:u w:val="single"/>
        </w:rPr>
        <w:t>Section 10.08</w:t>
      </w:r>
      <w:r>
        <w:rPr>
          <w:rFonts w:ascii="Times New Roman;Times;serif" w:hAnsi="Times New Roman;Times;serif"/>
          <w:sz w:val="22"/>
        </w:rPr>
        <w:t xml:space="preserve"> (subject to the terms of </w:t>
      </w:r>
      <w:r>
        <w:rPr>
          <w:rFonts w:ascii="Times New Roman;Times;serif" w:hAnsi="Times New Roman;Times;serif"/>
          <w:sz w:val="22"/>
          <w:u w:val="single"/>
        </w:rPr>
        <w:t>Section 2.13</w:t>
      </w:r>
      <w:r>
        <w:rPr>
          <w:rFonts w:ascii="Times New Roman;Times;serif" w:hAnsi="Times New Roman;Times;serif"/>
          <w:sz w:val="22"/>
        </w:rPr>
        <w:t xml:space="preserve">), or (c) any Lender from filing proofs of claim or appearing and filing pleadings on its own behalf during the pendency of a proceeding relative to the Borrower under any Debtor Relief Law;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Times;serif" w:hAnsi="Times New Roman;Times;serif"/>
          <w:sz w:val="22"/>
          <w:u w:val="single"/>
        </w:rPr>
        <w:t>Section 8.02</w:t>
      </w:r>
      <w:r>
        <w:rPr>
          <w:rFonts w:ascii="Times New Roman;Times;serif" w:hAnsi="Times New Roman;Times;serif"/>
          <w:sz w:val="22"/>
        </w:rPr>
        <w:t xml:space="preserve"> and (ii) in addition to the matters set forth in </w:t>
      </w:r>
      <w:r>
        <w:rPr>
          <w:rFonts w:ascii="Times New Roman;Times;serif" w:hAnsi="Times New Roman;Times;serif"/>
          <w:sz w:val="22"/>
          <w:u w:val="single"/>
        </w:rPr>
        <w:t>clauses (b)</w:t>
      </w:r>
      <w:r>
        <w:rPr>
          <w:rFonts w:ascii="Times New Roman;Times;serif" w:hAnsi="Times New Roman;Times;serif"/>
          <w:sz w:val="22"/>
        </w:rPr>
        <w:t xml:space="preserve"> and </w:t>
      </w:r>
      <w:r>
        <w:rPr>
          <w:rFonts w:ascii="Times New Roman;Times;serif" w:hAnsi="Times New Roman;Times;serif"/>
          <w:sz w:val="22"/>
          <w:u w:val="single"/>
        </w:rPr>
        <w:t>(c)</w:t>
      </w:r>
      <w:r>
        <w:rPr>
          <w:rFonts w:ascii="Times New Roman;Times;serif" w:hAnsi="Times New Roman;Times;serif"/>
          <w:sz w:val="22"/>
        </w:rPr>
        <w:t xml:space="preserve"> of the preceding proviso and subject to </w:t>
      </w:r>
      <w:r>
        <w:rPr>
          <w:rFonts w:ascii="Times New Roman;Times;serif" w:hAnsi="Times New Roman;Times;serif"/>
          <w:sz w:val="22"/>
          <w:u w:val="single"/>
        </w:rPr>
        <w:t>Section 2.13</w:t>
      </w:r>
      <w:r>
        <w:rPr>
          <w:rFonts w:ascii="Times New Roman;Times;serif" w:hAnsi="Times New Roman;Times;serif"/>
          <w:sz w:val="22"/>
        </w:rPr>
        <w:t>, any Lender may, with the consent of the Required Lenders, enforce any rights and remedies available to it and as authorized by the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10.04</w:t>
      </w:r>
      <w:bookmarkStart w:id="2970" w:name="_Toc107702339"/>
      <w:bookmarkStart w:id="2971" w:name="_Toc236686951"/>
      <w:bookmarkStart w:id="2972" w:name="_Toc184647688"/>
      <w:bookmarkStart w:id="2973" w:name="_Toc184646760"/>
      <w:bookmarkStart w:id="2974" w:name="_Toc184645821"/>
      <w:bookmarkStart w:id="2975" w:name="_Toc184645015"/>
      <w:bookmarkStart w:id="2976" w:name="_Toc184644211"/>
      <w:bookmarkStart w:id="2977" w:name="_Toc184643407"/>
      <w:bookmarkStart w:id="2978" w:name="_Toc184642975"/>
      <w:bookmarkEnd w:id="2970"/>
      <w:bookmarkEnd w:id="2971"/>
      <w:bookmarkEnd w:id="2972"/>
      <w:bookmarkEnd w:id="2973"/>
      <w:bookmarkEnd w:id="2974"/>
      <w:bookmarkEnd w:id="2975"/>
      <w:bookmarkEnd w:id="2976"/>
      <w:bookmarkEnd w:id="2977"/>
      <w:bookmarkEnd w:id="2978"/>
      <w:r>
        <w:rPr>
          <w:rFonts w:ascii="Times New Roman;Times;serif" w:hAnsi="Times New Roman;Times;serif"/>
          <w:b/>
          <w:sz w:val="22"/>
        </w:rPr>
        <w:t>Expenses; Indemnity; Damage Waiver</w:t>
      </w:r>
      <w:r>
        <w:rPr>
          <w:rFonts w:ascii="Times New Roman;Times;serif" w:hAnsi="Times New Roman;Times;serif"/>
          <w:sz w:val="22"/>
        </w:rPr>
        <w: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Costs and Expenses</w:t>
      </w:r>
      <w:r>
        <w:rPr>
          <w:rFonts w:ascii="Times New Roman;Times;serif" w:hAnsi="Times New Roman;Times;serif"/>
          <w:sz w:val="22"/>
        </w:rPr>
        <w:t xml:space="preserve">.  The Borrower shall pay (i) all reasonable and documented out of pocket costs and expenses incurred by the Administrative Agent and its Affiliates (including the reasonable fees, charges and disbursements of counsel for the Administrative Agent and BofA Securities, Inc.;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u w:val="single"/>
        </w:rPr>
        <w:t>that</w:t>
      </w:r>
      <w:r>
        <w:rPr>
          <w:rFonts w:ascii="Times New Roman;Times;serif" w:hAnsi="Times New Roman;Times;serif"/>
          <w:sz w:val="24"/>
        </w:rPr>
        <w:t xml:space="preserve"> </w:t>
      </w:r>
      <w:r>
        <w:rPr>
          <w:rFonts w:ascii="Times New Roman;Times;serif" w:hAnsi="Times New Roman;Times;serif"/>
          <w:sz w:val="22"/>
        </w:rPr>
        <w:t>such counsel’s reasonable fees, charges and disbursements shall be limited to (i) one law firm acting as transaction counsel for the Administrative Agent and BofA Securities, Inc., and (ii) one law firm acting as special and local counsel in each applicable jurisdiction in which the Administrative Agent reasonably determines such local counsel to be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 of pocket expenses incurred by the Administrative Agent, any Lender (including the fees, charges and disbursements of any counsel for the Administrative Agent, any Lender), and shall pay all fees and time charges for attorneys who may be employees of the Administrative Agent, any Lender, in connection with the enforcement or protection of its rights (A) in connection with this Agreement and the other Loan Documents, including its rights under this Section, or (B) in connection with the Loans made hereunder, including all such out of pocket expenses incurred during any workout, restructuring or negotiations in respect of such Loans.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Indemnification by the Borrower</w:t>
      </w:r>
      <w:r>
        <w:rPr>
          <w:rFonts w:ascii="Times New Roman;Times;serif" w:hAnsi="Times New Roman;Times;serif"/>
          <w:sz w:val="22"/>
        </w:rPr>
        <w:t>.  The Borrower shall indemnify the Administrative Agent (and any sub-agent thereof), each Lender, and each Related Party of any of the foregoing Persons (each such Person being called an “</w:t>
      </w:r>
      <w:r>
        <w:rPr>
          <w:rFonts w:ascii="Times New Roman;Times;serif" w:hAnsi="Times New Roman;Times;serif"/>
          <w:sz w:val="22"/>
          <w:u w:val="single"/>
        </w:rPr>
        <w:t>Indemnitee</w:t>
      </w:r>
      <w:r>
        <w:rPr>
          <w:rFonts w:ascii="Times New Roman;Times;serif" w:hAnsi="Times New Roman;Times;serif"/>
          <w:sz w:val="24"/>
        </w:rPr>
        <w:t>”</w:t>
      </w:r>
      <w:r>
        <w:rPr>
          <w:rFonts w:ascii="Times New Roman;Times;serif" w:hAnsi="Times New Roman;Times;serif"/>
          <w:sz w:val="22"/>
        </w:rPr>
        <w:t xml:space="preserve">) against, and hold each Indemnitee harmless from, any and all losses, claims, damages, liabilities and related expenses (including the reasonable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Times;serif" w:hAnsi="Times New Roman;Times;serif"/>
          <w:sz w:val="22"/>
          <w:u w:val="single"/>
        </w:rPr>
        <w:t>Section 3.01</w:t>
      </w:r>
      <w:r>
        <w:rPr>
          <w:rFonts w:ascii="Times New Roman;Times;serif" w:hAnsi="Times New Roman;Times;serif"/>
          <w:sz w:val="22"/>
        </w:rPr>
        <w:t xml:space="preserve">), (ii) any Loan or any use made (or proposed to be made) of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in all cases, whether or not caused by or arising, in whole or in part, out of the comparative, contributory or sole negligence of the Indemnitee;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under any other Loan Document, if the Borrower has obtained a final and nonappealable judgment in its favor on such claim as determined by a court of competent jurisdiction.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Reimbursement by Lenders</w:t>
      </w:r>
      <w:r>
        <w:rPr>
          <w:rFonts w:ascii="Times New Roman;Times;serif" w:hAnsi="Times New Roman;Times;serif"/>
          <w:sz w:val="22"/>
        </w:rPr>
        <w:t xml:space="preserve">.  To the extent that the Borrower for any reason fail to indefeasibly pay any amount required under </w:t>
      </w:r>
      <w:r>
        <w:rPr>
          <w:rFonts w:ascii="Times New Roman;Times;serif" w:hAnsi="Times New Roman;Times;serif"/>
          <w:sz w:val="22"/>
          <w:u w:val="single"/>
        </w:rPr>
        <w:t>subsection (a)</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 xml:space="preserve">of this Section to be paid by it to the Administrative Agent (or any sub-agent thereof) or any Related Party of any of the foregoing, each Lender severally agrees to pay to the Administrative Agent (or any such sub-agent) or such Related Party, as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case may be, such Lender’s pro rata share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w:t>
      </w:r>
      <w:r>
        <w:rPr>
          <w:rFonts w:ascii="Times New Roman;Times;serif" w:hAnsi="Times New Roman;Times;serif"/>
          <w:sz w:val="22"/>
          <w:u w:val="single"/>
        </w:rPr>
        <w:t>subsection (c)</w:t>
      </w:r>
      <w:r>
        <w:rPr>
          <w:rFonts w:ascii="Times New Roman;Times;serif" w:hAnsi="Times New Roman;Times;serif"/>
          <w:sz w:val="24"/>
        </w:rPr>
        <w:t xml:space="preserve"> </w:t>
      </w:r>
      <w:r>
        <w:rPr>
          <w:rFonts w:ascii="Times New Roman;Times;serif" w:hAnsi="Times New Roman;Times;serif"/>
          <w:sz w:val="22"/>
        </w:rPr>
        <w:t xml:space="preserve">are subject to the provisions of </w:t>
      </w:r>
      <w:r>
        <w:rPr>
          <w:rFonts w:ascii="Times New Roman;Times;serif" w:hAnsi="Times New Roman;Times;serif"/>
          <w:sz w:val="22"/>
          <w:u w:val="single"/>
        </w:rPr>
        <w:t>Section 2.12(d)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Waiver of Consequential Damages, Etc</w:t>
      </w:r>
      <w:r>
        <w:rPr>
          <w:rFonts w:ascii="Times New Roman;Times;serif" w:hAnsi="Times New Roman;Times;serif"/>
          <w:sz w:val="22"/>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any use made (or proposed to be made) of proceeds therefrom.  No Indemnitee referred to in </w:t>
      </w:r>
      <w:r>
        <w:rPr>
          <w:rFonts w:ascii="Times New Roman;Times;serif" w:hAnsi="Times New Roman;Times;serif"/>
          <w:sz w:val="22"/>
          <w:u w:val="single"/>
        </w:rPr>
        <w:t>subsection (b)</w:t>
      </w:r>
      <w:r>
        <w:rPr>
          <w:rFonts w:ascii="Times New Roman;Times;serif" w:hAnsi="Times New Roman;Times;serif"/>
          <w:sz w:val="24"/>
        </w:rPr>
        <w:t xml:space="preserve"> </w:t>
      </w:r>
      <w:r>
        <w:rPr>
          <w:rFonts w:ascii="Times New Roman;Times;serif" w:hAnsi="Times New Roman;Times;serif"/>
          <w:sz w:val="22"/>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nonappealable judgment of a court of competent jurisdiction.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Payments</w:t>
      </w:r>
      <w:r>
        <w:rPr>
          <w:rFonts w:ascii="Times New Roman;Times;serif" w:hAnsi="Times New Roman;Times;serif"/>
          <w:sz w:val="22"/>
        </w:rPr>
        <w:t xml:space="preserve">.  All amounts due under this </w:t>
      </w:r>
      <w:r>
        <w:rPr>
          <w:rFonts w:ascii="Times New Roman;Times;serif" w:hAnsi="Times New Roman;Times;serif"/>
          <w:sz w:val="22"/>
          <w:u w:val="single"/>
        </w:rPr>
        <w:t>Section 10.04</w:t>
      </w:r>
      <w:r>
        <w:rPr>
          <w:rFonts w:ascii="Times New Roman;Times;serif" w:hAnsi="Times New Roman;Times;serif"/>
          <w:sz w:val="24"/>
        </w:rPr>
        <w:t xml:space="preserve"> </w:t>
      </w:r>
      <w:r>
        <w:rPr>
          <w:rFonts w:ascii="Times New Roman;Times;serif" w:hAnsi="Times New Roman;Times;serif"/>
          <w:sz w:val="22"/>
        </w:rPr>
        <w:t>shall be payable not later than 10 Business Days after demand therefor.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Survival</w:t>
      </w:r>
      <w:r>
        <w:rPr>
          <w:rFonts w:ascii="Times New Roman;Times;serif" w:hAnsi="Times New Roman;Times;serif"/>
          <w:sz w:val="22"/>
        </w:rPr>
        <w:t xml:space="preserve">.  The agreements in this </w:t>
      </w:r>
      <w:r>
        <w:rPr>
          <w:rFonts w:ascii="Times New Roman;Times;serif" w:hAnsi="Times New Roman;Times;serif"/>
          <w:sz w:val="22"/>
          <w:u w:val="single"/>
        </w:rPr>
        <w:t>Section 10.04</w:t>
      </w:r>
      <w:r>
        <w:rPr>
          <w:rFonts w:ascii="Times New Roman;Times;serif" w:hAnsi="Times New Roman;Times;serif"/>
          <w:sz w:val="24"/>
        </w:rPr>
        <w:t xml:space="preserve"> </w:t>
      </w:r>
      <w:r>
        <w:rPr>
          <w:rFonts w:ascii="Times New Roman;Times;serif" w:hAnsi="Times New Roman;Times;serif"/>
          <w:sz w:val="22"/>
        </w:rPr>
        <w:t xml:space="preserve">and the indemnity provisions of </w:t>
      </w:r>
      <w:r>
        <w:rPr>
          <w:rFonts w:ascii="Times New Roman;Times;serif" w:hAnsi="Times New Roman;Times;serif"/>
          <w:sz w:val="22"/>
          <w:u w:val="single"/>
        </w:rPr>
        <w:t>Section 10.02(e)</w:t>
      </w:r>
      <w:r>
        <w:rPr>
          <w:rFonts w:ascii="Times New Roman;Times;serif" w:hAnsi="Times New Roman;Times;serif"/>
          <w:sz w:val="24"/>
        </w:rPr>
        <w:t xml:space="preserve"> </w:t>
      </w:r>
      <w:r>
        <w:rPr>
          <w:rFonts w:ascii="Times New Roman;Times;serif" w:hAnsi="Times New Roman;Times;serif"/>
          <w:sz w:val="22"/>
        </w:rPr>
        <w:t>shall survive the resignation of the Administrative Agent, the replacement of any Lender, the termination of the Commitments and the repayment, satisfaction or discharge of all the other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10.05</w:t>
      </w:r>
      <w:bookmarkStart w:id="2979" w:name="_Toc107702340"/>
      <w:bookmarkStart w:id="2980" w:name="_Toc236686952"/>
      <w:bookmarkStart w:id="2981" w:name="_Toc184647689"/>
      <w:bookmarkStart w:id="2982" w:name="_Toc184646761"/>
      <w:bookmarkStart w:id="2983" w:name="_Toc184645822"/>
      <w:bookmarkStart w:id="2984" w:name="_Toc184645016"/>
      <w:bookmarkStart w:id="2985" w:name="_Toc184644212"/>
      <w:bookmarkStart w:id="2986" w:name="_Toc184643408"/>
      <w:bookmarkStart w:id="2987" w:name="_Toc184642976"/>
      <w:bookmarkEnd w:id="2979"/>
      <w:bookmarkEnd w:id="2980"/>
      <w:bookmarkEnd w:id="2981"/>
      <w:bookmarkEnd w:id="2982"/>
      <w:bookmarkEnd w:id="2983"/>
      <w:bookmarkEnd w:id="2984"/>
      <w:bookmarkEnd w:id="2985"/>
      <w:bookmarkEnd w:id="2986"/>
      <w:bookmarkEnd w:id="2987"/>
      <w:r>
        <w:rPr>
          <w:rFonts w:ascii="Times New Roman;Times;serif" w:hAnsi="Times New Roman;Times;serif"/>
          <w:b/>
          <w:sz w:val="22"/>
        </w:rPr>
        <w:t>Payments Set Aside</w:t>
      </w:r>
      <w:r>
        <w:rPr>
          <w:rFonts w:ascii="Times New Roman;Times;serif" w:hAnsi="Times New Roman;Times;serif"/>
          <w:sz w:val="22"/>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Times;serif" w:hAnsi="Times New Roman;Times;serif"/>
          <w:sz w:val="22"/>
          <w:u w:val="single"/>
        </w:rPr>
        <w:t>plus</w:t>
      </w:r>
      <w:r>
        <w:rPr>
          <w:rFonts w:ascii="Times New Roman;Times;serif" w:hAnsi="Times New Roman;Times;serif"/>
          <w:sz w:val="24"/>
        </w:rPr>
        <w:t xml:space="preserve"> </w:t>
      </w:r>
      <w:r>
        <w:rPr>
          <w:rFonts w:ascii="Times New Roman;Times;serif" w:hAnsi="Times New Roman;Times;serif"/>
          <w:sz w:val="22"/>
        </w:rPr>
        <w:t xml:space="preserve">interest thereon from the date of such demand to the date such payment is made at a rate per annum equal to the applicable Overnight Rate from time to time in effect, in the applicable currency of such recovery or payment.  The obligations of the Lenders under </w:t>
      </w:r>
      <w:r>
        <w:rPr>
          <w:rFonts w:ascii="Times New Roman;Times;serif" w:hAnsi="Times New Roman;Times;serif"/>
          <w:sz w:val="22"/>
          <w:u w:val="single"/>
        </w:rPr>
        <w:t>clause (b)</w:t>
      </w:r>
      <w:r>
        <w:rPr>
          <w:rFonts w:ascii="Times New Roman;Times;serif" w:hAnsi="Times New Roman;Times;serif"/>
          <w:sz w:val="24"/>
        </w:rPr>
        <w:t xml:space="preserve"> </w:t>
      </w:r>
      <w:r>
        <w:rPr>
          <w:rFonts w:ascii="Times New Roman;Times;serif" w:hAnsi="Times New Roman;Times;serif"/>
          <w:sz w:val="22"/>
        </w:rPr>
        <w:t>of the preceding sentence shall survive the payment in full of the Obligations and the termination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10.06</w:t>
      </w:r>
      <w:bookmarkStart w:id="2988" w:name="_Toc107702341"/>
      <w:bookmarkStart w:id="2989" w:name="_Toc236686953"/>
      <w:bookmarkStart w:id="2990" w:name="_Toc184647690"/>
      <w:bookmarkStart w:id="2991" w:name="_Toc184646762"/>
      <w:bookmarkStart w:id="2992" w:name="_Toc184645823"/>
      <w:bookmarkStart w:id="2993" w:name="_Toc184645017"/>
      <w:bookmarkStart w:id="2994" w:name="_Toc184644213"/>
      <w:bookmarkStart w:id="2995" w:name="_Toc184643409"/>
      <w:bookmarkStart w:id="2996" w:name="_Toc184642977"/>
      <w:bookmarkEnd w:id="2988"/>
      <w:bookmarkEnd w:id="2989"/>
      <w:bookmarkEnd w:id="2990"/>
      <w:bookmarkEnd w:id="2991"/>
      <w:bookmarkEnd w:id="2992"/>
      <w:bookmarkEnd w:id="2993"/>
      <w:bookmarkEnd w:id="2994"/>
      <w:bookmarkEnd w:id="2995"/>
      <w:bookmarkEnd w:id="2996"/>
      <w:r>
        <w:rPr>
          <w:rFonts w:ascii="Times New Roman;Times;serif" w:hAnsi="Times New Roman;Times;serif"/>
          <w:b/>
          <w:sz w:val="22"/>
        </w:rPr>
        <w:t>Successors and Assigns</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Successors and Assigns Generally</w:t>
      </w:r>
      <w:r>
        <w:rPr>
          <w:rFonts w:ascii="Times New Roman;Times;serif" w:hAnsi="Times New Roman;Times;serif"/>
          <w:sz w:val="22"/>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without the prior written consent of the Administrative Agent and each Lender and no Lender may assign or otherwise transfer any of its rights or obligations hereunder except (i) to an assignee in accordance with the provisions of </w:t>
      </w:r>
      <w:r>
        <w:rPr>
          <w:rFonts w:ascii="Times New Roman;Times;serif" w:hAnsi="Times New Roman;Times;serif"/>
          <w:sz w:val="22"/>
          <w:u w:val="single"/>
        </w:rPr>
        <w:t>subsection (b)</w:t>
      </w:r>
      <w:r>
        <w:rPr>
          <w:rFonts w:ascii="Times New Roman;Times;serif" w:hAnsi="Times New Roman;Times;serif"/>
          <w:sz w:val="24"/>
        </w:rPr>
        <w:t xml:space="preserve"> </w:t>
      </w:r>
      <w:r>
        <w:rPr>
          <w:rFonts w:ascii="Times New Roman;Times;serif" w:hAnsi="Times New Roman;Times;serif"/>
          <w:sz w:val="22"/>
        </w:rPr>
        <w:t xml:space="preserve">of this Section, (ii) by way of participation in accordance with the provisions of </w:t>
      </w:r>
      <w:r>
        <w:rPr>
          <w:rFonts w:ascii="Times New Roman;Times;serif" w:hAnsi="Times New Roman;Times;serif"/>
          <w:sz w:val="22"/>
          <w:u w:val="single"/>
        </w:rPr>
        <w:t>subsection (d)</w:t>
      </w:r>
      <w:r>
        <w:rPr>
          <w:rFonts w:ascii="Times New Roman;Times;serif" w:hAnsi="Times New Roman;Times;serif"/>
          <w:sz w:val="24"/>
        </w:rPr>
        <w:t xml:space="preserve"> </w:t>
      </w:r>
      <w:r>
        <w:rPr>
          <w:rFonts w:ascii="Times New Roman;Times;serif" w:hAnsi="Times New Roman;Times;serif"/>
          <w:sz w:val="22"/>
        </w:rPr>
        <w:t xml:space="preserve">of this Section, or (iii) by way of pledge or assignment of a security interest subject to the restrictions of </w:t>
      </w:r>
      <w:r>
        <w:rPr>
          <w:rFonts w:ascii="Times New Roman;Times;serif" w:hAnsi="Times New Roman;Times;serif"/>
          <w:sz w:val="22"/>
          <w:u w:val="single"/>
        </w:rPr>
        <w:t>subsection (g)</w:t>
      </w:r>
      <w:r>
        <w:rPr>
          <w:rFonts w:ascii="Times New Roman;Times;serif" w:hAnsi="Times New Roman;Times;serif"/>
          <w:sz w:val="24"/>
        </w:rPr>
        <w:t xml:space="preserve"> </w:t>
      </w:r>
      <w:r>
        <w:rPr>
          <w:rFonts w:ascii="Times New Roman;Times;serif" w:hAnsi="Times New Roman;Times;serif"/>
          <w:sz w:val="22"/>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sz w:val="22"/>
          <w:u w:val="single"/>
        </w:rPr>
        <w:t>subsection (d)</w:t>
      </w:r>
      <w:r>
        <w:rPr>
          <w:rFonts w:ascii="Times New Roman;Times;serif" w:hAnsi="Times New Roman;Times;serif"/>
          <w:sz w:val="24"/>
        </w:rPr>
        <w:t xml:space="preserve"> </w:t>
      </w:r>
      <w:r>
        <w:rPr>
          <w:rFonts w:ascii="Times New Roman;Times;serif" w:hAnsi="Times New Roman;Times;serif"/>
          <w:sz w:val="22"/>
        </w:rPr>
        <w:t>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Assignments by Lenders</w:t>
      </w:r>
      <w:r>
        <w:rPr>
          <w:rFonts w:ascii="Times New Roman;Times;serif" w:hAnsi="Times New Roman;Times;serif"/>
          <w:sz w:val="22"/>
        </w:rPr>
        <w:t xml:space="preserve">.  Any Lender may at any time assign to one or more assignees all or a portion of its rights and obligations under this Agreement (including all or a portion of its Commitment and the Loans at the time owing to it); </w:t>
      </w:r>
      <w:r>
        <w:rPr>
          <w:rFonts w:ascii="Times New Roman;Times;serif" w:hAnsi="Times New Roman;Times;serif"/>
          <w:sz w:val="22"/>
          <w:u w:val="single"/>
        </w:rPr>
        <w:t xml:space="preserve">provided </w:t>
      </w:r>
      <w:r>
        <w:rPr>
          <w:rFonts w:ascii="Times New Roman;Times;serif" w:hAnsi="Times New Roman;Times;serif"/>
          <w:sz w:val="22"/>
        </w:rPr>
        <w:t xml:space="preserve">that any such assignment shall be subject to the following conditions: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w:t>
      </w:r>
      <w:r>
        <w:rPr>
          <w:rFonts w:ascii="Times New Roman;Times;serif" w:hAnsi="Times New Roman;Times;serif"/>
          <w:sz w:val="22"/>
          <w:u w:val="single"/>
        </w:rPr>
        <w:t>Minimum Amounts</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2"/>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2"/>
        </w:rPr>
        <w:t xml:space="preserve">in any case not described in </w:t>
      </w:r>
      <w:r>
        <w:rPr>
          <w:rFonts w:ascii="Times New Roman;Times;serif" w:hAnsi="Times New Roman;Times;serif"/>
          <w:sz w:val="22"/>
          <w:u w:val="single"/>
        </w:rPr>
        <w:t>subsection (b)(i)(A)</w:t>
      </w:r>
      <w:r>
        <w:rPr>
          <w:rFonts w:ascii="Times New Roman;Times;serif" w:hAnsi="Times New Roman;Times;serif"/>
          <w:sz w:val="24"/>
        </w:rPr>
        <w:t xml:space="preserve"> </w:t>
      </w:r>
      <w:r>
        <w:rPr>
          <w:rFonts w:ascii="Times New Roman;Times;serif" w:hAnsi="Times New Roman;Times;serif"/>
          <w:sz w:val="22"/>
        </w:rPr>
        <w:t xml:space="preserve">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(ii)</w:t>
      </w:r>
      <w:r>
        <w:rPr>
          <w:rFonts w:ascii="Times New Roman;Times;serif" w:hAnsi="Times New Roman;Times;serif"/>
          <w:sz w:val="22"/>
          <w:u w:val="single"/>
        </w:rPr>
        <w:t>Proportionate Amounts</w:t>
      </w:r>
      <w:r>
        <w:rPr>
          <w:rFonts w:ascii="Times New Roman;Times;serif" w:hAnsi="Times New Roman;Times;serif"/>
          <w:sz w:val="22"/>
        </w:rPr>
        <w:t>.  Each partial assignment shall be made as an assignment of a proportionate part of all the assigning Lender’s rights and obligations under this Agreement with respect to the Loans or the Commitment assigned;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(iii)</w:t>
      </w:r>
      <w:r>
        <w:rPr>
          <w:rFonts w:ascii="Times New Roman;Times;serif" w:hAnsi="Times New Roman;Times;serif"/>
          <w:sz w:val="22"/>
          <w:u w:val="single"/>
        </w:rPr>
        <w:t>Required Consents</w:t>
      </w:r>
      <w:r>
        <w:rPr>
          <w:rFonts w:ascii="Times New Roman;Times;serif" w:hAnsi="Times New Roman;Times;serif"/>
          <w:sz w:val="22"/>
        </w:rPr>
        <w:t xml:space="preserve">.  No consent shall be required for any assignment except to the extent required by </w:t>
      </w:r>
      <w:r>
        <w:rPr>
          <w:rFonts w:ascii="Times New Roman;Times;serif" w:hAnsi="Times New Roman;Times;serif"/>
          <w:sz w:val="22"/>
          <w:u w:val="single"/>
        </w:rPr>
        <w:t>subsection (b)(i)(B)</w:t>
      </w:r>
      <w:r>
        <w:rPr>
          <w:rFonts w:ascii="Times New Roman;Times;serif" w:hAnsi="Times New Roman;Times;serif"/>
          <w:sz w:val="24"/>
        </w:rPr>
        <w:t xml:space="preserve"> </w:t>
      </w:r>
      <w:r>
        <w:rPr>
          <w:rFonts w:ascii="Times New Roman;Times;serif" w:hAnsi="Times New Roman;Times;serif"/>
          <w:sz w:val="22"/>
        </w:rPr>
        <w:t>of this Section and, in addition:</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2"/>
        </w:rPr>
        <w:t xml:space="preserve">the consent of the Borrower (such consent not to be unreasonably withheld or delayed) shall be required unless (1) an Event of Default under </w:t>
      </w:r>
      <w:r>
        <w:rPr>
          <w:rFonts w:ascii="Times New Roman;Times;serif" w:hAnsi="Times New Roman;Times;serif"/>
          <w:sz w:val="22"/>
          <w:u w:val="single"/>
        </w:rPr>
        <w:t>Section 8.01(a)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4"/>
        </w:rPr>
        <w:t xml:space="preserve"> </w:t>
      </w:r>
      <w:r>
        <w:rPr>
          <w:rFonts w:ascii="Times New Roman;Times;serif" w:hAnsi="Times New Roman;Times;serif"/>
          <w:sz w:val="22"/>
        </w:rPr>
        <w:t xml:space="preserve">(with respect to the terms, covenants and agreements contained in </w:t>
      </w:r>
      <w:r>
        <w:rPr>
          <w:rFonts w:ascii="Times New Roman;Times;serif" w:hAnsi="Times New Roman;Times;serif"/>
          <w:sz w:val="22"/>
          <w:u w:val="single"/>
        </w:rPr>
        <w:t>Article VII</w:t>
      </w:r>
      <w:r>
        <w:rPr>
          <w:rFonts w:ascii="Times New Roman;Times;serif" w:hAnsi="Times New Roman;Times;serif"/>
          <w:sz w:val="24"/>
        </w:rPr>
        <w:t xml:space="preserve"> </w:t>
      </w:r>
      <w:r>
        <w:rPr>
          <w:rFonts w:ascii="Times New Roman;Times;serif" w:hAnsi="Times New Roman;Times;serif"/>
          <w:sz w:val="22"/>
        </w:rPr>
        <w:t xml:space="preserve">only) or </w:t>
      </w:r>
      <w:r>
        <w:rPr>
          <w:rFonts w:ascii="Times New Roman;Times;serif" w:hAnsi="Times New Roman;Times;serif"/>
          <w:sz w:val="22"/>
          <w:u w:val="single"/>
        </w:rPr>
        <w:t>(f)</w:t>
      </w:r>
      <w:r>
        <w:rPr>
          <w:rFonts w:ascii="Times New Roman;Times;serif" w:hAnsi="Times New Roman;Times;serif"/>
          <w:sz w:val="24"/>
        </w:rPr>
        <w:t xml:space="preserve"> </w:t>
      </w:r>
      <w:r>
        <w:rPr>
          <w:rFonts w:ascii="Times New Roman;Times;serif" w:hAnsi="Times New Roman;Times;serif"/>
          <w:sz w:val="22"/>
        </w:rPr>
        <w:t xml:space="preserve">has occurred and is continuing at the time of such assignment or (2) such assignment is to a Lender, an Affiliate of a Lender or an Approved Fund,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the Borrower shall be deemed to have consented to any such assignment unless it shall have objected thereto by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written notice to the Administrative Agent within 10 Business Days after having received notice thereof;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2"/>
        </w:rPr>
        <w:t>the consent of the Administrative Agent (such consent not to be unreasonably withheld or delayed) shall be required if such assignment is to a Person that is not a Lender, an Affiliate of such Lender or an Approved Fund with respect to such Lender.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(iv)</w:t>
      </w:r>
      <w:r>
        <w:rPr>
          <w:rFonts w:ascii="Times New Roman;Times;serif" w:hAnsi="Times New Roman;Times;serif"/>
          <w:sz w:val="22"/>
          <w:u w:val="single"/>
        </w:rPr>
        <w:t>Assignment and Assumption</w:t>
      </w:r>
      <w:r>
        <w:rPr>
          <w:rFonts w:ascii="Times New Roman;Times;serif" w:hAnsi="Times New Roman;Times;serif"/>
          <w:sz w:val="22"/>
        </w:rPr>
        <w:t xml:space="preserve">.  The parties to each assignment shall execute and deliver to the Administrative Agent an Assignment and Assumption, together with a processing and recordation fee in the amount of $3,500;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(v)</w:t>
      </w:r>
      <w:r>
        <w:rPr>
          <w:rFonts w:ascii="Times New Roman;Times;serif" w:hAnsi="Times New Roman;Times;serif"/>
          <w:sz w:val="22"/>
          <w:u w:val="single"/>
        </w:rPr>
        <w:t>No Assignment to Certain Persons</w:t>
      </w:r>
      <w:r>
        <w:rPr>
          <w:rFonts w:ascii="Times New Roman;Times;serif" w:hAnsi="Times New Roman;Times;serif"/>
          <w:sz w:val="22"/>
        </w:rPr>
        <w:t xml:space="preserve">.  No such assignment shall be made (A) to the Borrower or any of the Borrower’s Affiliates or Subsidiaries, or (B) to any Defaulting Lender or any of its Affiliates or Subsidiaries, or any Person who, upon becoming a Lender hereunder, would constitute any of the foregoing Persons described in this </w:t>
      </w:r>
      <w:r>
        <w:rPr>
          <w:rFonts w:ascii="Times New Roman;Times;serif" w:hAnsi="Times New Roman;Times;serif"/>
          <w:sz w:val="22"/>
          <w:u w:val="single"/>
        </w:rPr>
        <w:t>clause (B)</w:t>
      </w:r>
      <w:r>
        <w:rPr>
          <w:rFonts w:ascii="Times New Roman;Times;serif" w:hAnsi="Times New Roman;Times;serif"/>
          <w:sz w:val="22"/>
        </w:rPr>
        <w:t>, or (C) to a natural person (or to a holding company, investment vehicle or trust for, or owned and operated for the primary benefit of a natural person).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(vi)</w:t>
      </w:r>
      <w:r>
        <w:rPr>
          <w:rFonts w:ascii="Times New Roman;Times;serif" w:hAnsi="Times New Roman;Times;serif"/>
          <w:sz w:val="22"/>
          <w:u w:val="single"/>
        </w:rPr>
        <w:t>Certain Additional Payments</w:t>
      </w:r>
      <w:r>
        <w:rPr>
          <w:rFonts w:ascii="Times New Roman;Times;serif" w:hAnsi="Times New Roman;Times;serif"/>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Subject to acceptance and recording thereof by the Administrative Agent pursuant to </w:t>
      </w:r>
      <w:r>
        <w:rPr>
          <w:rFonts w:ascii="Times New Roman;Times;serif" w:hAnsi="Times New Roman;Times;serif"/>
          <w:sz w:val="22"/>
          <w:u w:val="single"/>
        </w:rPr>
        <w:t>subsection (c)</w:t>
      </w:r>
      <w:r>
        <w:rPr>
          <w:rFonts w:ascii="Times New Roman;Times;serif" w:hAnsi="Times New Roman;Times;serif"/>
          <w:sz w:val="22"/>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sz w:val="22"/>
          <w:u w:val="single"/>
        </w:rPr>
        <w:t>Sections 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2"/>
        </w:rPr>
        <w:t xml:space="preserve">, </w:t>
      </w:r>
      <w:r>
        <w:rPr>
          <w:rFonts w:ascii="Times New Roman;Times;serif" w:hAnsi="Times New Roman;Times;serif"/>
          <w:sz w:val="22"/>
          <w:u w:val="single"/>
        </w:rPr>
        <w:t>3.05</w:t>
      </w:r>
      <w:r>
        <w:rPr>
          <w:rFonts w:ascii="Times New Roman;Times;serif" w:hAnsi="Times New Roman;Times;serif"/>
          <w:sz w:val="22"/>
        </w:rPr>
        <w:t xml:space="preserve">, and </w:t>
      </w:r>
      <w:r>
        <w:rPr>
          <w:rFonts w:ascii="Times New Roman;Times;serif" w:hAnsi="Times New Roman;Times;serif"/>
          <w:sz w:val="22"/>
          <w:u w:val="single"/>
        </w:rPr>
        <w:t>10.04</w:t>
      </w:r>
      <w:r>
        <w:rPr>
          <w:rFonts w:ascii="Times New Roman;Times;serif" w:hAnsi="Times New Roman;Times;serif"/>
          <w:sz w:val="22"/>
        </w:rPr>
        <w:t xml:space="preserve"> with respect to facts and circumstances occurring prior to the effective date of such assignment, </w:t>
      </w:r>
      <w:r>
        <w:rPr>
          <w:rFonts w:ascii="Times New Roman;Times;serif" w:hAnsi="Times New Roman;Times;serif"/>
          <w:sz w:val="22"/>
          <w:u w:val="single"/>
        </w:rPr>
        <w:t>provided</w:t>
      </w:r>
      <w:r>
        <w:rPr>
          <w:rFonts w:ascii="Times New Roman;Times;serif" w:hAnsi="Times New Roman;Times;serif"/>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Times;serif" w:hAnsi="Times New Roman;Times;serif"/>
          <w:sz w:val="22"/>
          <w:u w:val="single"/>
        </w:rPr>
        <w:t>subsection (d)</w:t>
      </w:r>
      <w:r>
        <w:rPr>
          <w:rFonts w:ascii="Times New Roman;Times;serif" w:hAnsi="Times New Roman;Times;serif"/>
          <w:sz w:val="22"/>
        </w:rPr>
        <w:t xml:space="preserve"> of this Section.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Register</w:t>
      </w:r>
      <w:r>
        <w:rPr>
          <w:rFonts w:ascii="Times New Roman;Times;serif" w:hAnsi="Times New Roman;Times;serif"/>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sz w:val="22"/>
          <w:u w:val="single"/>
        </w:rPr>
        <w:t>Register</w:t>
      </w:r>
      <w:r>
        <w:rPr>
          <w:rFonts w:ascii="Times New Roman;Times;serif" w:hAnsi="Times New Roman;Times;serif"/>
          <w:sz w:val="24"/>
        </w:rPr>
        <w:t>”</w:t>
      </w:r>
      <w:r>
        <w:rPr>
          <w:rFonts w:ascii="Times New Roman;Times;serif" w:hAnsi="Times New Roman;Times;serif"/>
          <w:sz w:val="22"/>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or any Lender at any reasonable time and from time to time upon reasonable prior notice.  In addition, at any time that a request for a consent for a material or substantive change to the Loan Documents is pending, any Lender wishing to consult with other Lenders in connection therewith may request and receive from the Administrative Agent a copy of the Register.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Participations</w:t>
      </w:r>
      <w:r>
        <w:rPr>
          <w:rFonts w:ascii="Times New Roman;Times;serif" w:hAnsi="Times New Roman;Times;serif"/>
          <w:sz w:val="22"/>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Times;serif" w:hAnsi="Times New Roman;Times;serif"/>
          <w:sz w:val="22"/>
          <w:u w:val="single"/>
        </w:rPr>
        <w:t>Participant</w:t>
      </w:r>
      <w:r>
        <w:rPr>
          <w:rFonts w:ascii="Times New Roman;Times;serif" w:hAnsi="Times New Roman;Times;serif"/>
          <w:sz w:val="24"/>
        </w:rPr>
        <w:t>”</w:t>
      </w:r>
      <w:r>
        <w:rPr>
          <w:rFonts w:ascii="Times New Roman;Times;serif" w:hAnsi="Times New Roman;Times;serif"/>
          <w:sz w:val="22"/>
        </w:rPr>
        <w:t xml:space="preserve">) in all or a portion of such Lender’s rights and/or obligations under this Agreement (including all or a portion of its Commitment and/or the Loans owing to it);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shall continue to deal solely and directly with such Lender in connection with such Lender’s rights and obligations under this Agreement.  For the avoidance of doubt, each Lender shall be responsible for the indemnity </w:t>
      </w:r>
      <w:r>
        <w:rPr>
          <w:rFonts w:ascii="Times New Roman;Times;serif" w:hAnsi="Times New Roman;Times;serif"/>
          <w:sz w:val="22"/>
          <w:u w:val="single"/>
        </w:rPr>
        <w:t>under Section 10.04(c)</w:t>
      </w:r>
      <w:r>
        <w:rPr>
          <w:rFonts w:ascii="Times New Roman;Times;serif" w:hAnsi="Times New Roman;Times;serif"/>
          <w:sz w:val="24"/>
        </w:rPr>
        <w:t xml:space="preserve"> </w:t>
      </w:r>
      <w:r>
        <w:rPr>
          <w:rFonts w:ascii="Times New Roman;Times;serif" w:hAnsi="Times New Roman;Times;serif"/>
          <w:sz w:val="22"/>
        </w:rPr>
        <w:t>without regard to the existence of any participation.</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2"/>
          <w:u w:val="single"/>
        </w:rPr>
        <w:t>provided</w:t>
      </w:r>
      <w:r>
        <w:rPr>
          <w:rFonts w:ascii="Times New Roman;Times;serif" w:hAnsi="Times New Roman;Times;serif"/>
          <w:sz w:val="22"/>
        </w:rPr>
        <w:t xml:space="preserve"> that such agreement or instrument may provide that such Lender will not, without the consent of the Participant, agree to any amendment, waiver or other modification described in the first proviso to </w:t>
      </w:r>
      <w:r>
        <w:rPr>
          <w:rFonts w:ascii="Times New Roman;Times;serif" w:hAnsi="Times New Roman;Times;serif"/>
          <w:sz w:val="22"/>
          <w:u w:val="single"/>
        </w:rPr>
        <w:t>Section 10.01</w:t>
      </w:r>
      <w:r>
        <w:rPr>
          <w:rFonts w:ascii="Times New Roman;Times;serif" w:hAnsi="Times New Roman;Times;serif"/>
          <w:sz w:val="22"/>
        </w:rPr>
        <w:t xml:space="preserve"> that affects such Participant.  The Borrower agrees that each Participant shall be entitled to the benefits of </w:t>
      </w:r>
      <w:r>
        <w:rPr>
          <w:rFonts w:ascii="Times New Roman;Times;serif" w:hAnsi="Times New Roman;Times;serif"/>
          <w:sz w:val="22"/>
          <w:u w:val="single"/>
        </w:rPr>
        <w:t>Sections</w:t>
      </w:r>
      <w:r>
        <w:rPr>
          <w:rFonts w:ascii="Times New Roman;Times;serif" w:hAnsi="Times New Roman;Times;serif"/>
          <w:sz w:val="22"/>
        </w:rPr>
        <w:t xml:space="preserve"> </w:t>
      </w:r>
      <w:r>
        <w:rPr>
          <w:rFonts w:ascii="Times New Roman;Times;serif" w:hAnsi="Times New Roman;Times;serif"/>
          <w:sz w:val="22"/>
          <w:u w:val="single"/>
        </w:rPr>
        <w:t>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2"/>
        </w:rPr>
        <w:t xml:space="preserve"> and </w:t>
      </w:r>
      <w:r>
        <w:rPr>
          <w:rFonts w:ascii="Times New Roman;Times;serif" w:hAnsi="Times New Roman;Times;serif"/>
          <w:sz w:val="22"/>
          <w:u w:val="single"/>
        </w:rPr>
        <w:t>3.05</w:t>
      </w:r>
      <w:r>
        <w:rPr>
          <w:rFonts w:ascii="Times New Roman;Times;serif" w:hAnsi="Times New Roman;Times;serif"/>
          <w:sz w:val="22"/>
        </w:rPr>
        <w:t xml:space="preserve"> to the same extent as if it were a Lender and had acquired its interest by assignment pursuant to </w:t>
      </w:r>
      <w:r>
        <w:rPr>
          <w:rFonts w:ascii="Times New Roman;Times;serif" w:hAnsi="Times New Roman;Times;serif"/>
          <w:sz w:val="22"/>
          <w:u w:val="single"/>
        </w:rPr>
        <w:t>subsection (b)</w:t>
      </w:r>
      <w:r>
        <w:rPr>
          <w:rFonts w:ascii="Times New Roman;Times;serif" w:hAnsi="Times New Roman;Times;serif"/>
          <w:sz w:val="22"/>
        </w:rPr>
        <w:t xml:space="preserve"> of this Section (it being understood that the documentation required under </w:t>
      </w:r>
      <w:r>
        <w:rPr>
          <w:rFonts w:ascii="Times New Roman;Times;serif" w:hAnsi="Times New Roman;Times;serif"/>
          <w:sz w:val="22"/>
          <w:u w:val="single"/>
        </w:rPr>
        <w:t>Section 3.01(e)</w:t>
      </w:r>
      <w:r>
        <w:rPr>
          <w:rFonts w:ascii="Times New Roman;Times;serif" w:hAnsi="Times New Roman;Times;serif"/>
          <w:sz w:val="22"/>
        </w:rPr>
        <w:t xml:space="preserve"> shall be delivered to the Lender who sells the participation) to the same extent as if it were a Lender and had acquired its interest by assignment pursuant to paragraph (b) of this Section; </w:t>
      </w:r>
      <w:r>
        <w:rPr>
          <w:rFonts w:ascii="Times New Roman;Times;serif" w:hAnsi="Times New Roman;Times;serif"/>
          <w:sz w:val="22"/>
          <w:u w:val="single"/>
        </w:rPr>
        <w:t>provided</w:t>
      </w:r>
      <w:r>
        <w:rPr>
          <w:rFonts w:ascii="Times New Roman;Times;serif" w:hAnsi="Times New Roman;Times;serif"/>
          <w:sz w:val="22"/>
        </w:rPr>
        <w:t xml:space="preserve"> that such Participant (A) agrees to be subject to the provisions of </w:t>
      </w:r>
      <w:r>
        <w:rPr>
          <w:rFonts w:ascii="Times New Roman;Times;serif" w:hAnsi="Times New Roman;Times;serif"/>
          <w:sz w:val="22"/>
          <w:u w:val="single"/>
        </w:rPr>
        <w:t>Sections 3.06</w:t>
      </w:r>
      <w:r>
        <w:rPr>
          <w:rFonts w:ascii="Times New Roman;Times;serif" w:hAnsi="Times New Roman;Times;serif"/>
          <w:sz w:val="22"/>
        </w:rPr>
        <w:t xml:space="preserve"> and </w:t>
      </w:r>
      <w:r>
        <w:rPr>
          <w:rFonts w:ascii="Times New Roman;Times;serif" w:hAnsi="Times New Roman;Times;serif"/>
          <w:sz w:val="22"/>
          <w:u w:val="single"/>
        </w:rPr>
        <w:t>10.13</w:t>
      </w:r>
      <w:r>
        <w:rPr>
          <w:rFonts w:ascii="Times New Roman;Times;serif" w:hAnsi="Times New Roman;Times;serif"/>
          <w:sz w:val="22"/>
        </w:rPr>
        <w:t xml:space="preserve"> as if it were an assignee under paragraph (b) of this Section and (B) shall not be entitled to receive any greater payment under </w:t>
      </w:r>
      <w:r>
        <w:rPr>
          <w:rFonts w:ascii="Times New Roman;Times;serif" w:hAnsi="Times New Roman;Times;serif"/>
          <w:sz w:val="22"/>
          <w:u w:val="single"/>
        </w:rPr>
        <w:t>Sections 3.01</w:t>
      </w:r>
      <w:r>
        <w:rPr>
          <w:rFonts w:ascii="Times New Roman;Times;serif" w:hAnsi="Times New Roman;Times;serif"/>
          <w:sz w:val="22"/>
        </w:rPr>
        <w:t xml:space="preserve"> or </w:t>
      </w:r>
      <w:r>
        <w:rPr>
          <w:rFonts w:ascii="Times New Roman;Times;serif" w:hAnsi="Times New Roman;Times;serif"/>
          <w:sz w:val="22"/>
          <w:u w:val="single"/>
        </w:rPr>
        <w:t>3.04</w:t>
      </w:r>
      <w:r>
        <w:rPr>
          <w:rFonts w:ascii="Times New Roman;Times;serif" w:hAnsi="Times New Roman;Times;serif"/>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sz w:val="22"/>
          <w:u w:val="single"/>
        </w:rPr>
        <w:t>Section 3.06</w:t>
      </w:r>
      <w:r>
        <w:rPr>
          <w:rFonts w:ascii="Times New Roman;Times;serif" w:hAnsi="Times New Roman;Times;serif"/>
          <w:sz w:val="22"/>
        </w:rPr>
        <w:t xml:space="preserve"> with respect to any Participant.  To the extent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72</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permitted by law, each Participant also shall be entitled to the benefits of </w:t>
      </w:r>
      <w:r>
        <w:rPr>
          <w:rFonts w:ascii="Times New Roman;Times;serif" w:hAnsi="Times New Roman;Times;serif"/>
          <w:sz w:val="22"/>
          <w:u w:val="single"/>
        </w:rPr>
        <w:t>Section 10.08</w:t>
      </w:r>
      <w:r>
        <w:rPr>
          <w:rFonts w:ascii="Times New Roman;Times;serif" w:hAnsi="Times New Roman;Times;serif"/>
          <w:sz w:val="22"/>
        </w:rPr>
        <w:t xml:space="preserve"> as though it were a Lender, </w:t>
      </w:r>
      <w:r>
        <w:rPr>
          <w:rFonts w:ascii="Times New Roman;Times;serif" w:hAnsi="Times New Roman;Times;serif"/>
          <w:sz w:val="22"/>
          <w:u w:val="single"/>
        </w:rPr>
        <w:t>provided</w:t>
      </w:r>
      <w:r>
        <w:rPr>
          <w:rFonts w:ascii="Times New Roman;Times;serif" w:hAnsi="Times New Roman;Times;serif"/>
          <w:sz w:val="22"/>
        </w:rPr>
        <w:t xml:space="preserve"> that such Participant agrees to be subject to </w:t>
      </w:r>
      <w:r>
        <w:rPr>
          <w:rFonts w:ascii="Times New Roman;Times;serif" w:hAnsi="Times New Roman;Times;serif"/>
          <w:sz w:val="22"/>
          <w:u w:val="single"/>
        </w:rPr>
        <w:t>Section 2.13</w:t>
      </w:r>
      <w:r>
        <w:rPr>
          <w:rFonts w:ascii="Times New Roman;Times;serif" w:hAnsi="Times New Roman;Times;serif"/>
          <w:sz w:val="22"/>
        </w:rPr>
        <w:t xml:space="preserve"> as though it were a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2"/>
          <w:u w:val="single"/>
        </w:rPr>
        <w:t>Participant Register</w:t>
      </w:r>
      <w:r>
        <w:rPr>
          <w:rFonts w:ascii="Times New Roman;Times;serif" w:hAnsi="Times New Roman;Times;serif"/>
          <w:sz w:val="22"/>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sz w:val="22"/>
          <w:u w:val="single"/>
        </w:rPr>
        <w:t>Participant Register</w:t>
      </w:r>
      <w:r>
        <w:rPr>
          <w:rFonts w:ascii="Times New Roman;Times;serif" w:hAnsi="Times New Roman;Times;serif"/>
          <w:sz w:val="24"/>
        </w:rPr>
        <w:t>”</w:t>
      </w:r>
      <w:r>
        <w:rPr>
          <w:rFonts w:ascii="Times New Roman;Times;serif" w:hAnsi="Times New Roman;Times;serif"/>
          <w:sz w:val="22"/>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2"/>
          <w:u w:val="single"/>
        </w:rPr>
        <w:t>Limitations upon Participant Rights</w:t>
      </w:r>
      <w:r>
        <w:rPr>
          <w:rFonts w:ascii="Times New Roman;Times;serif" w:hAnsi="Times New Roman;Times;serif"/>
          <w:sz w:val="22"/>
        </w:rPr>
        <w:t xml:space="preserve">.  A Participant shall not be entitled to receive any greater payment under </w:t>
      </w:r>
      <w:r>
        <w:rPr>
          <w:rFonts w:ascii="Times New Roman;Times;serif" w:hAnsi="Times New Roman;Times;serif"/>
          <w:sz w:val="22"/>
          <w:u w:val="single"/>
        </w:rPr>
        <w:t>Section 3.01</w:t>
      </w:r>
      <w:r>
        <w:rPr>
          <w:rFonts w:ascii="Times New Roman;Times;serif" w:hAnsi="Times New Roman;Times;serif"/>
          <w:sz w:val="24"/>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4"/>
        </w:rPr>
        <w:t xml:space="preserve"> </w:t>
      </w:r>
      <w:r>
        <w:rPr>
          <w:rFonts w:ascii="Times New Roman;Times;serif" w:hAnsi="Times New Roman;Times;serif"/>
          <w:sz w:val="22"/>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Times;serif" w:hAnsi="Times New Roman;Times;serif"/>
          <w:sz w:val="22"/>
          <w:u w:val="single"/>
        </w:rPr>
        <w:t>Section 3.01</w:t>
      </w:r>
      <w:r>
        <w:rPr>
          <w:rFonts w:ascii="Times New Roman;Times;serif" w:hAnsi="Times New Roman;Times;serif"/>
          <w:sz w:val="24"/>
        </w:rPr>
        <w:t xml:space="preserve"> </w:t>
      </w:r>
      <w:r>
        <w:rPr>
          <w:rFonts w:ascii="Times New Roman;Times;serif" w:hAnsi="Times New Roman;Times;serif"/>
          <w:sz w:val="22"/>
        </w:rPr>
        <w:t xml:space="preserve">unless the Borrower is notified of the participation sold to such Participant and such Participant agrees, for the benefit of the Borrower, to comply with </w:t>
      </w:r>
      <w:r>
        <w:rPr>
          <w:rFonts w:ascii="Times New Roman;Times;serif" w:hAnsi="Times New Roman;Times;serif"/>
          <w:sz w:val="22"/>
          <w:u w:val="single"/>
        </w:rPr>
        <w:t>Section 3.01(e)</w:t>
      </w:r>
      <w:r>
        <w:rPr>
          <w:rFonts w:ascii="Times New Roman;Times;serif" w:hAnsi="Times New Roman;Times;serif"/>
          <w:sz w:val="24"/>
        </w:rPr>
        <w:t xml:space="preserve"> </w:t>
      </w:r>
      <w:r>
        <w:rPr>
          <w:rFonts w:ascii="Times New Roman;Times;serif" w:hAnsi="Times New Roman;Times;serif"/>
          <w:sz w:val="22"/>
        </w:rPr>
        <w:t>as though it were a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2"/>
          <w:u w:val="single"/>
        </w:rPr>
        <w:t>Certain Pledges</w:t>
      </w:r>
      <w:r>
        <w:rPr>
          <w:rFonts w:ascii="Times New Roman;Times;serif" w:hAnsi="Times New Roman;Times;serif"/>
          <w:sz w:val="22"/>
        </w:rPr>
        <w:t xml:space="preserve">.  Any Lender may at any time, without notice to or consent of any Person,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no such pledge or assignment shall release such Lender from any of its obligations hereunder or substitute any such pledgee or assignee for such Lender as a party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10.07</w:t>
      </w:r>
      <w:bookmarkStart w:id="2997" w:name="_Toc107702342"/>
      <w:bookmarkStart w:id="2998" w:name="_Toc236686954"/>
      <w:bookmarkStart w:id="2999" w:name="_Toc184647691"/>
      <w:bookmarkStart w:id="3000" w:name="_Toc184646763"/>
      <w:bookmarkStart w:id="3001" w:name="_Toc184645824"/>
      <w:bookmarkStart w:id="3002" w:name="_Toc184645018"/>
      <w:bookmarkStart w:id="3003" w:name="_Toc184644214"/>
      <w:bookmarkStart w:id="3004" w:name="_Toc184643410"/>
      <w:bookmarkStart w:id="3005" w:name="_Toc184642978"/>
      <w:bookmarkEnd w:id="2997"/>
      <w:bookmarkEnd w:id="2998"/>
      <w:bookmarkEnd w:id="2999"/>
      <w:bookmarkEnd w:id="3000"/>
      <w:bookmarkEnd w:id="3001"/>
      <w:bookmarkEnd w:id="3002"/>
      <w:bookmarkEnd w:id="3003"/>
      <w:bookmarkEnd w:id="3004"/>
      <w:bookmarkEnd w:id="3005"/>
      <w:r>
        <w:rPr>
          <w:rFonts w:ascii="Times New Roman;Times;serif" w:hAnsi="Times New Roman;Times;serif"/>
          <w:b/>
          <w:sz w:val="22"/>
        </w:rPr>
        <w:t>Treatment of Certain Information; Confidentiality</w:t>
      </w:r>
      <w:r>
        <w:rPr>
          <w:rFonts w:ascii="Times New Roman;Times;serif" w:hAnsi="Times New Roman;Times;serif"/>
          <w:sz w:val="22"/>
        </w:rPr>
        <w:t xml:space="preserve">.  Each of the Administrative Agent, the Lenders agree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shall have agreed (orally or in writing)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under which payments are to be made by reference to the Borrower and its obligations,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73</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such Information (x) is or becomes publicly available other than as a result of a breach of this Section or (y) is or becomes available to the Administrative Agent, any Lender or any of their respective Affiliates on a nonconfidential basis from a source other than the Borrower or any of its Subsidiaries.  In addition, the Administrative Agent and the Lenders may disclose the existence of this Agreement and information about this Agreement (excluding, in all cases, information about the present or prospective business of the Borrower and its Subsidiaries, including, without limitation, any financial projections related thereto)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purposes of this Section, “</w:t>
      </w:r>
      <w:r>
        <w:rPr>
          <w:rFonts w:ascii="Times New Roman;Times;serif" w:hAnsi="Times New Roman;Times;serif"/>
          <w:sz w:val="22"/>
          <w:u w:val="single"/>
        </w:rPr>
        <w:t>Information</w:t>
      </w:r>
      <w:r>
        <w:rPr>
          <w:rFonts w:ascii="Times New Roman;Times;serif" w:hAnsi="Times New Roman;Times;serif"/>
          <w:sz w:val="22"/>
        </w:rPr>
        <w:t xml:space="preserve">” means all information received from the Borrower or any Subsidiary relating to the Borrower or any Subsidiary or any of their respective businesses, other than any such information that is available to the Administrative Agent, any Lender on a nonconfidential basis prior to disclosure by the Borrower or any Subsidiary, </w:t>
      </w:r>
      <w:r>
        <w:rPr>
          <w:rFonts w:ascii="Times New Roman;Times;serif" w:hAnsi="Times New Roman;Times;serif"/>
          <w:sz w:val="22"/>
          <w:u w:val="single"/>
        </w:rPr>
        <w:t>provided</w:t>
      </w:r>
      <w:r>
        <w:rPr>
          <w:rFonts w:ascii="Times New Roman;Times;serif" w:hAnsi="Times New Roman;Times;serif"/>
          <w:sz w:val="22"/>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nothing herein prohibits any individual from communicating or disclosing information regarding suspected violations of law, rules or regulations to a governmental, regulatory or self-regulatory authority without any notification to any Person in accordance with applicable laws, rules, regulations or regulatory guidance.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10.08</w:t>
      </w:r>
      <w:bookmarkStart w:id="3006" w:name="_Toc107702343"/>
      <w:bookmarkStart w:id="3007" w:name="_Toc236686955"/>
      <w:bookmarkStart w:id="3008" w:name="_Toc184647692"/>
      <w:bookmarkStart w:id="3009" w:name="_Toc184646764"/>
      <w:bookmarkStart w:id="3010" w:name="_Toc184645825"/>
      <w:bookmarkStart w:id="3011" w:name="_Toc184645019"/>
      <w:bookmarkStart w:id="3012" w:name="_Toc184644215"/>
      <w:bookmarkStart w:id="3013" w:name="_Toc184643411"/>
      <w:bookmarkStart w:id="3014" w:name="_Toc184642979"/>
      <w:bookmarkEnd w:id="3006"/>
      <w:bookmarkEnd w:id="3007"/>
      <w:bookmarkEnd w:id="3008"/>
      <w:bookmarkEnd w:id="3009"/>
      <w:bookmarkEnd w:id="3010"/>
      <w:bookmarkEnd w:id="3011"/>
      <w:bookmarkEnd w:id="3012"/>
      <w:bookmarkEnd w:id="3013"/>
      <w:bookmarkEnd w:id="3014"/>
      <w:r>
        <w:rPr>
          <w:rFonts w:ascii="Times New Roman;Times;serif" w:hAnsi="Times New Roman;Times;serif"/>
          <w:b/>
          <w:sz w:val="22"/>
        </w:rPr>
        <w:t>Right of Setoff</w:t>
      </w:r>
      <w:r>
        <w:rPr>
          <w:rFonts w:ascii="Times New Roman;Times;serif" w:hAnsi="Times New Roman;Times;serif"/>
          <w:sz w:val="22"/>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their respective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or office holding such deposit or obligated on such indebtedness; </w:t>
      </w:r>
      <w:r>
        <w:rPr>
          <w:rFonts w:ascii="Times New Roman;Times;serif" w:hAnsi="Times New Roman;Times;serif"/>
          <w:sz w:val="22"/>
          <w:u w:val="single"/>
        </w:rPr>
        <w:t>provided</w:t>
      </w:r>
      <w:r>
        <w:rPr>
          <w:rFonts w:ascii="Times New Roman;Times;serif" w:hAnsi="Times New Roman;Times;serif"/>
          <w:sz w:val="22"/>
        </w:rPr>
        <w:t xml:space="preserve">, that in the event that any Defaulting Lender shall exercise any such right of setoff hereunder, (x) all amounts so set off shall be paid over immediately to the Administrative Agent for further application in accordance with the provisions of </w:t>
      </w:r>
      <w:r>
        <w:rPr>
          <w:rFonts w:ascii="Times New Roman;Times;serif" w:hAnsi="Times New Roman;Times;serif"/>
          <w:sz w:val="22"/>
          <w:u w:val="single"/>
        </w:rPr>
        <w:t>Section 2.17</w:t>
      </w:r>
      <w:r>
        <w:rPr>
          <w:rFonts w:ascii="Times New Roman;Times;serif" w:hAnsi="Times New Roman;Times;serif"/>
          <w:sz w:val="24"/>
        </w:rPr>
        <w:t xml:space="preserve"> </w:t>
      </w:r>
      <w:r>
        <w:rPr>
          <w:rFonts w:ascii="Times New Roman;Times;serif" w:hAnsi="Times New Roman;Times;serif"/>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74</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Administrative Agent promptly after any such setoff and application,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 the failure to give such notice shall not affect the validity of such setoff and application.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10.09</w:t>
      </w:r>
      <w:bookmarkStart w:id="3015" w:name="_Toc107702344"/>
      <w:bookmarkStart w:id="3016" w:name="_Toc236686956"/>
      <w:bookmarkStart w:id="3017" w:name="_Toc184647693"/>
      <w:bookmarkStart w:id="3018" w:name="_Toc184646765"/>
      <w:bookmarkStart w:id="3019" w:name="_Toc184645826"/>
      <w:bookmarkStart w:id="3020" w:name="_Toc184645020"/>
      <w:bookmarkStart w:id="3021" w:name="_Toc184644216"/>
      <w:bookmarkStart w:id="3022" w:name="_Toc184643412"/>
      <w:bookmarkStart w:id="3023" w:name="_Toc184642980"/>
      <w:bookmarkEnd w:id="3015"/>
      <w:bookmarkEnd w:id="3016"/>
      <w:bookmarkEnd w:id="3017"/>
      <w:bookmarkEnd w:id="3018"/>
      <w:bookmarkEnd w:id="3019"/>
      <w:bookmarkEnd w:id="3020"/>
      <w:bookmarkEnd w:id="3021"/>
      <w:bookmarkEnd w:id="3022"/>
      <w:bookmarkEnd w:id="3023"/>
      <w:r>
        <w:rPr>
          <w:rFonts w:ascii="Times New Roman;Times;serif" w:hAnsi="Times New Roman;Times;serif"/>
          <w:b/>
          <w:sz w:val="22"/>
        </w:rPr>
        <w:t>Interest Rate Limitation</w:t>
      </w:r>
      <w:r>
        <w:rPr>
          <w:rFonts w:ascii="Times New Roman;Times;serif" w:hAnsi="Times New Roman;Times;serif"/>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sz w:val="22"/>
          <w:u w:val="single"/>
        </w:rPr>
        <w:t>Maximum Rate</w:t>
      </w:r>
      <w:r>
        <w:rPr>
          <w:rFonts w:ascii="Times New Roman;Times;serif" w:hAnsi="Times New Roman;Times;serif"/>
          <w:sz w:val="24"/>
        </w:rPr>
        <w:t>”</w:t>
      </w:r>
      <w:r>
        <w:rPr>
          <w:rFonts w:ascii="Times New Roman;Times;serif" w:hAnsi="Times New Roman;Times;serif"/>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10.10</w:t>
      </w:r>
      <w:bookmarkStart w:id="3024" w:name="_Toc107702345"/>
      <w:bookmarkStart w:id="3025" w:name="_Toc236686957"/>
      <w:bookmarkStart w:id="3026" w:name="_Toc184647694"/>
      <w:bookmarkStart w:id="3027" w:name="_Toc184646766"/>
      <w:bookmarkStart w:id="3028" w:name="_Toc184645827"/>
      <w:bookmarkStart w:id="3029" w:name="_Toc184645021"/>
      <w:bookmarkStart w:id="3030" w:name="_Toc184644217"/>
      <w:bookmarkStart w:id="3031" w:name="_Toc184643413"/>
      <w:bookmarkStart w:id="3032" w:name="_Toc184642981"/>
      <w:bookmarkEnd w:id="3024"/>
      <w:bookmarkEnd w:id="3025"/>
      <w:bookmarkEnd w:id="3026"/>
      <w:bookmarkEnd w:id="3027"/>
      <w:bookmarkEnd w:id="3028"/>
      <w:bookmarkEnd w:id="3029"/>
      <w:bookmarkEnd w:id="3030"/>
      <w:bookmarkEnd w:id="3031"/>
      <w:bookmarkEnd w:id="3032"/>
      <w:r>
        <w:rPr>
          <w:rFonts w:ascii="Times New Roman;Times;serif" w:hAnsi="Times New Roman;Times;serif"/>
          <w:b/>
          <w:sz w:val="22"/>
        </w:rPr>
        <w:t>Integration; Effectiveness</w:t>
      </w:r>
      <w:r>
        <w:rPr>
          <w:rFonts w:ascii="Times New Roman;Times;serif" w:hAnsi="Times New Roman;Times;serif"/>
          <w:sz w:val="22"/>
        </w:rPr>
        <w:t xml:space="preserve">.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2"/>
          <w:u w:val="single"/>
        </w:rPr>
        <w:t>Section 4.01</w:t>
      </w:r>
      <w:r>
        <w:rPr>
          <w:rFonts w:ascii="Times New Roman;Times;serif" w:hAnsi="Times New Roman;Times;serif"/>
          <w:sz w:val="22"/>
        </w:rPr>
        <w:t xml:space="preserve">, each of this Agreement and the other Loan Documents shall become effective when it shall have been executed by the Administrative Agent and when the Administrative Agent shall have received counterparts hereof or thereof, as applicable, that, when taken together, bear the signatures of each of the other parties hereto or thereto, as applicable.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10.11</w:t>
      </w:r>
      <w:bookmarkStart w:id="3033" w:name="_Toc107702346"/>
      <w:bookmarkStart w:id="3034" w:name="_Toc236686958"/>
      <w:bookmarkStart w:id="3035" w:name="_Toc184647695"/>
      <w:bookmarkStart w:id="3036" w:name="_Toc184646767"/>
      <w:bookmarkStart w:id="3037" w:name="_Toc184645828"/>
      <w:bookmarkStart w:id="3038" w:name="_Toc184645022"/>
      <w:bookmarkStart w:id="3039" w:name="_Toc184644218"/>
      <w:bookmarkStart w:id="3040" w:name="_Toc184643414"/>
      <w:bookmarkStart w:id="3041" w:name="_Toc184642982"/>
      <w:bookmarkEnd w:id="3033"/>
      <w:bookmarkEnd w:id="3034"/>
      <w:bookmarkEnd w:id="3035"/>
      <w:bookmarkEnd w:id="3036"/>
      <w:bookmarkEnd w:id="3037"/>
      <w:bookmarkEnd w:id="3038"/>
      <w:bookmarkEnd w:id="3039"/>
      <w:bookmarkEnd w:id="3040"/>
      <w:bookmarkEnd w:id="3041"/>
      <w:r>
        <w:rPr>
          <w:rFonts w:ascii="Times New Roman;Times;serif" w:hAnsi="Times New Roman;Times;serif"/>
          <w:b/>
          <w:sz w:val="22"/>
        </w:rPr>
        <w:t>Survival of Representations and Warranties</w:t>
      </w:r>
      <w:r>
        <w:rPr>
          <w:rFonts w:ascii="Times New Roman;Times;serif" w:hAnsi="Times New Roman;Times;serif"/>
          <w:sz w:val="22"/>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10.12</w:t>
      </w:r>
      <w:bookmarkStart w:id="3042" w:name="_Toc107702347"/>
      <w:bookmarkStart w:id="3043" w:name="_Toc236686959"/>
      <w:bookmarkStart w:id="3044" w:name="_Toc184647696"/>
      <w:bookmarkStart w:id="3045" w:name="_Toc184646768"/>
      <w:bookmarkStart w:id="3046" w:name="_Toc184645829"/>
      <w:bookmarkStart w:id="3047" w:name="_Toc184645023"/>
      <w:bookmarkStart w:id="3048" w:name="_Toc184644219"/>
      <w:bookmarkStart w:id="3049" w:name="_Toc184643415"/>
      <w:bookmarkStart w:id="3050" w:name="_Toc184642983"/>
      <w:bookmarkEnd w:id="3042"/>
      <w:bookmarkEnd w:id="3043"/>
      <w:bookmarkEnd w:id="3044"/>
      <w:bookmarkEnd w:id="3045"/>
      <w:bookmarkEnd w:id="3046"/>
      <w:bookmarkEnd w:id="3047"/>
      <w:bookmarkEnd w:id="3048"/>
      <w:bookmarkEnd w:id="3049"/>
      <w:bookmarkEnd w:id="3050"/>
      <w:r>
        <w:rPr>
          <w:rFonts w:ascii="Times New Roman;Times;serif" w:hAnsi="Times New Roman;Times;serif"/>
          <w:b/>
          <w:sz w:val="22"/>
        </w:rPr>
        <w:t>Severability</w:t>
      </w:r>
      <w:r>
        <w:rPr>
          <w:rFonts w:ascii="Times New Roman;Times;serif" w:hAnsi="Times New Roman;Times;serif"/>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sz w:val="22"/>
          <w:u w:val="single"/>
        </w:rPr>
        <w:t>Section 10.12</w:t>
      </w:r>
      <w:r>
        <w:rPr>
          <w:rFonts w:ascii="Times New Roman;Times;serif" w:hAnsi="Times New Roman;Times;serif"/>
          <w:sz w:val="22"/>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10.13</w:t>
      </w:r>
      <w:bookmarkStart w:id="3051" w:name="_Toc107702348"/>
      <w:bookmarkStart w:id="3052" w:name="_Toc236686960"/>
      <w:bookmarkStart w:id="3053" w:name="_Toc184647697"/>
      <w:bookmarkStart w:id="3054" w:name="_Toc184646769"/>
      <w:bookmarkStart w:id="3055" w:name="_Toc184645830"/>
      <w:bookmarkStart w:id="3056" w:name="_Toc184645024"/>
      <w:bookmarkStart w:id="3057" w:name="_Toc184644220"/>
      <w:bookmarkStart w:id="3058" w:name="_Toc184643416"/>
      <w:bookmarkStart w:id="3059" w:name="_Toc184642984"/>
      <w:bookmarkEnd w:id="3051"/>
      <w:bookmarkEnd w:id="3052"/>
      <w:bookmarkEnd w:id="3053"/>
      <w:bookmarkEnd w:id="3054"/>
      <w:bookmarkEnd w:id="3055"/>
      <w:bookmarkEnd w:id="3056"/>
      <w:bookmarkEnd w:id="3057"/>
      <w:bookmarkEnd w:id="3058"/>
      <w:bookmarkEnd w:id="3059"/>
      <w:r>
        <w:rPr>
          <w:rFonts w:ascii="Times New Roman;Times;serif" w:hAnsi="Times New Roman;Times;serif"/>
          <w:b/>
          <w:sz w:val="22"/>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if the Borrower is required to pay any additional amount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2"/>
        </w:rPr>
        <w:t xml:space="preserve">, or if any Lender is a Defaulting Lender or a Non-Consenting Lender (as defined below),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sz w:val="22"/>
          <w:u w:val="single"/>
        </w:rPr>
        <w:t>Section 10.06</w:t>
      </w:r>
      <w:r>
        <w:rPr>
          <w:rFonts w:ascii="Times New Roman;Times;serif" w:hAnsi="Times New Roman;Times;serif"/>
          <w:sz w:val="22"/>
        </w:rPr>
        <w:t xml:space="preserve">), all of its interests, rights and obligations under this Agreement and the related Loan Documents to an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75</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assignee that shall assume such obligations (which assignee may be another Lender, if a Lender accepts such assignment), </w:t>
      </w:r>
      <w:r>
        <w:rPr>
          <w:rFonts w:ascii="Times New Roman;Times;serif" w:hAnsi="Times New Roman;Times;serif"/>
          <w:sz w:val="22"/>
          <w:u w:val="single"/>
        </w:rPr>
        <w:t>provided</w:t>
      </w:r>
      <w:r>
        <w:rPr>
          <w:rFonts w:ascii="Times New Roman;Times;serif" w:hAnsi="Times New Roman;Times;serif"/>
          <w:sz w:val="24"/>
        </w:rPr>
        <w:t xml:space="preserve"> </w:t>
      </w:r>
      <w:r>
        <w:rPr>
          <w:rFonts w:ascii="Times New Roman;Times;serif" w:hAnsi="Times New Roman;Times;serif"/>
          <w:sz w:val="22"/>
        </w:rPr>
        <w:t>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(a)the Borrower shall have paid  to the Administrative Agent the assignment fee specified in </w:t>
      </w:r>
      <w:r>
        <w:rPr>
          <w:rFonts w:ascii="Times New Roman;Times;serif" w:hAnsi="Times New Roman;Times;serif"/>
          <w:sz w:val="22"/>
          <w:u w:val="single"/>
        </w:rPr>
        <w:t>Section 10.06(b)</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Times;serif" w:hAnsi="Times New Roman;Times;serif"/>
          <w:sz w:val="22"/>
          <w:u w:val="single"/>
        </w:rPr>
        <w:t>Section 3.05</w:t>
      </w:r>
      <w:r>
        <w:rPr>
          <w:rFonts w:ascii="Times New Roman;Times;serif" w:hAnsi="Times New Roman;Times;serif"/>
          <w:sz w:val="22"/>
        </w:rPr>
        <w:t>) from the assignee (to the extent of such outstanding principal and accrued interest and fees) or the Borrower (in the case of all other amounts);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(c)in the case of any such assignment resulting from a claim for compensation under </w:t>
      </w:r>
      <w:r>
        <w:rPr>
          <w:rFonts w:ascii="Times New Roman;Times;serif" w:hAnsi="Times New Roman;Times;serif"/>
          <w:sz w:val="22"/>
          <w:u w:val="single"/>
        </w:rPr>
        <w:t>Section 3.04</w:t>
      </w:r>
      <w:r>
        <w:rPr>
          <w:rFonts w:ascii="Times New Roman;Times;serif" w:hAnsi="Times New Roman;Times;serif"/>
          <w:sz w:val="24"/>
        </w:rPr>
        <w:t xml:space="preserve"> </w:t>
      </w:r>
      <w:r>
        <w:rPr>
          <w:rFonts w:ascii="Times New Roman;Times;serif" w:hAnsi="Times New Roman;Times;serif"/>
          <w:sz w:val="22"/>
        </w:rPr>
        <w:t xml:space="preserve">or payments required to be made pursuant to </w:t>
      </w:r>
      <w:r>
        <w:rPr>
          <w:rFonts w:ascii="Times New Roman;Times;serif" w:hAnsi="Times New Roman;Times;serif"/>
          <w:sz w:val="22"/>
          <w:u w:val="single"/>
        </w:rPr>
        <w:t>Section 3.01</w:t>
      </w:r>
      <w:r>
        <w:rPr>
          <w:rFonts w:ascii="Times New Roman;Times;serif" w:hAnsi="Times New Roman;Times;serif"/>
          <w:sz w:val="22"/>
        </w:rPr>
        <w:t xml:space="preserve">, such assignment will result in a reduction in such compensation or payments thereafter;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(d)such assignment does not conflict with applicable Laws;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(e)with respect to the replacement of a Non-Consenting Lender, such assignment is requested within 90 days of such Lender’s failure to approve the applicable amendment, waiver or consent.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For purposes of this </w:t>
      </w:r>
      <w:r>
        <w:rPr>
          <w:rFonts w:ascii="Times New Roman;Times;serif" w:hAnsi="Times New Roman;Times;serif"/>
          <w:sz w:val="22"/>
          <w:u w:val="single"/>
        </w:rPr>
        <w:t>Section 10.13</w:t>
      </w:r>
      <w:r>
        <w:rPr>
          <w:rFonts w:ascii="Times New Roman;Times;serif" w:hAnsi="Times New Roman;Times;serif"/>
          <w:sz w:val="22"/>
        </w:rPr>
        <w:t>, a “</w:t>
      </w:r>
      <w:r>
        <w:rPr>
          <w:rFonts w:ascii="Times New Roman;Times;serif" w:hAnsi="Times New Roman;Times;serif"/>
          <w:sz w:val="22"/>
          <w:u w:val="single"/>
        </w:rPr>
        <w:t>Non-Consenting Lender</w:t>
      </w:r>
      <w:r>
        <w:rPr>
          <w:rFonts w:ascii="Times New Roman;Times;serif" w:hAnsi="Times New Roman;Times;serif"/>
          <w:sz w:val="22"/>
        </w:rPr>
        <w:t xml:space="preserve">” means a Lender that fails to approve an amendment, waiver or consent requested by the Borrower pursuant to </w:t>
      </w:r>
      <w:r>
        <w:rPr>
          <w:rFonts w:ascii="Times New Roman;Times;serif" w:hAnsi="Times New Roman;Times;serif"/>
          <w:sz w:val="22"/>
          <w:u w:val="single"/>
        </w:rPr>
        <w:t>Section 10.01</w:t>
      </w:r>
      <w:r>
        <w:rPr>
          <w:rFonts w:ascii="Times New Roman;Times;serif" w:hAnsi="Times New Roman;Times;serif"/>
          <w:sz w:val="22"/>
        </w:rPr>
        <w:t xml:space="preserve"> that has received the written approval of not less than the Required Lenders but also requires the approval of such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10.14</w:t>
      </w:r>
      <w:bookmarkStart w:id="3060" w:name="_Toc107702349"/>
      <w:bookmarkStart w:id="3061" w:name="_Toc236686961"/>
      <w:bookmarkStart w:id="3062" w:name="_Toc184647698"/>
      <w:bookmarkStart w:id="3063" w:name="_Toc184646770"/>
      <w:bookmarkStart w:id="3064" w:name="_Toc184645831"/>
      <w:bookmarkStart w:id="3065" w:name="_Toc184645025"/>
      <w:bookmarkStart w:id="3066" w:name="_Toc184644221"/>
      <w:bookmarkStart w:id="3067" w:name="_Toc184643417"/>
      <w:bookmarkStart w:id="3068" w:name="_Toc184642985"/>
      <w:bookmarkEnd w:id="3060"/>
      <w:bookmarkEnd w:id="3061"/>
      <w:bookmarkEnd w:id="3062"/>
      <w:bookmarkEnd w:id="3063"/>
      <w:bookmarkEnd w:id="3064"/>
      <w:bookmarkEnd w:id="3065"/>
      <w:bookmarkEnd w:id="3066"/>
      <w:bookmarkEnd w:id="3067"/>
      <w:bookmarkEnd w:id="3068"/>
      <w:r>
        <w:rPr>
          <w:rFonts w:ascii="Times New Roman;Times;serif" w:hAnsi="Times New Roman;Times;serif"/>
          <w:b/>
          <w:sz w:val="22"/>
        </w:rPr>
        <w:t>Governing Law; Jurisdiction; Etc</w:t>
      </w:r>
      <w:r>
        <w:rPr>
          <w:rFonts w:ascii="Times New Roman;Times;serif" w:hAnsi="Times New Roman;Times;serif"/>
          <w:sz w:val="22"/>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2"/>
          <w:u w:val="single"/>
        </w:rPr>
        <w:t>GOVERNING LAW</w:t>
      </w:r>
      <w:r>
        <w:rPr>
          <w:rFonts w:ascii="Times New Roman;Times;serif" w:hAnsi="Times New Roman;Times;serif"/>
          <w:sz w:val="22"/>
        </w:rPr>
        <w:t>.  THIS AGREEMENT SHALL BE GOVERNED BY, AND CONSTRUED IN ACCORDANCE WITH, THE LAW OF THE STATE OF NEW YORK.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2"/>
          <w:u w:val="single"/>
        </w:rPr>
        <w:t>SUBMISSION TO JURISDICTION</w:t>
      </w:r>
      <w:r>
        <w:rPr>
          <w:rFonts w:ascii="Times New Roman;Times;serif" w:hAnsi="Times New Roman;Times;serif"/>
          <w:sz w:val="22"/>
        </w:rPr>
        <w:t xml:space="preserve">.  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76</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PROCEEDING RELATING TO THIS AGREEMENT OR ANY OTHER LOAN DOCUMENT AGAINST THE BORROWER OR ITS PROPERTIES IN THE COURTS OF ANY JURISDICTION.</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2"/>
          <w:u w:val="single"/>
        </w:rPr>
        <w:t>WAIVER OF VENUE</w:t>
      </w:r>
      <w:r>
        <w:rPr>
          <w:rFonts w:ascii="Times New Roman;Times;serif" w:hAnsi="Times New Roman;Times;serif"/>
          <w:sz w:val="22"/>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2"/>
          <w:u w:val="single"/>
        </w:rPr>
        <w:t>SERVICE OF PROCESS</w:t>
      </w:r>
      <w:r>
        <w:rPr>
          <w:rFonts w:ascii="Times New Roman;Times;serif" w:hAnsi="Times New Roman;Times;serif"/>
          <w:sz w:val="22"/>
        </w:rPr>
        <w:t xml:space="preserve">.  EACH PARTY HERETO IRREVOCABLY CONSENTS TO SERVICE OF PROCESS IN THE MANNER PROVIDED FOR NOTICES IN </w:t>
      </w:r>
      <w:r>
        <w:rPr>
          <w:rFonts w:ascii="Times New Roman;Times;serif" w:hAnsi="Times New Roman;Times;serif"/>
          <w:sz w:val="22"/>
          <w:u w:val="single"/>
        </w:rPr>
        <w:t>SECTION 10.02(a)</w:t>
      </w:r>
      <w:r>
        <w:rPr>
          <w:rFonts w:ascii="Times New Roman;Times;serif" w:hAnsi="Times New Roman;Times;serif"/>
          <w:sz w:val="22"/>
        </w:rPr>
        <w:t xml:space="preserve">.  NOTHING IN THIS AGREEMENT WILL AFFECT THE RIGHT OF ANY PARTY HERETO TO SERVE PROCESS IN ANY OTHER MANNER PERMITTED BY APPLICABLE LAW; </w:t>
      </w:r>
      <w:r>
        <w:rPr>
          <w:rFonts w:ascii="Times New Roman;Times;serif" w:hAnsi="Times New Roman;Times;serif"/>
          <w:sz w:val="22"/>
          <w:u w:val="single"/>
        </w:rPr>
        <w:t>PROVIDED</w:t>
      </w:r>
      <w:r>
        <w:rPr>
          <w:rFonts w:ascii="Times New Roman;Times;serif" w:hAnsi="Times New Roman;Times;serif"/>
          <w:sz w:val="22"/>
        </w:rPr>
        <w:t>, THAT NO ELECTRONIC COMMUNICATION SHALL CONSTITUTE SERVICE OF PROCESS HEREUNDER.</w:t>
      </w:r>
    </w:p>
    <w:p>
      <w:pPr>
        <w:pStyle w:val="TextBody"/>
        <w:bidi w:val="0"/>
        <w:spacing w:before="0" w:after="180"/>
        <w:ind w:left="0" w:right="0" w:hanging="0"/>
        <w:jc w:val="both"/>
        <w:rPr>
          <w:rFonts w:ascii="Times New Roman;Times;serif" w:hAnsi="Times New Roman;Times;serif"/>
          <w:sz w:val="24"/>
        </w:rPr>
      </w:pPr>
      <w:r>
        <w:rPr>
          <w:rFonts w:ascii="Times New Roman;Times;serif" w:hAnsi="Times New Roman;Times;serif"/>
          <w:b/>
          <w:sz w:val="22"/>
        </w:rPr>
        <w:t>10.15</w:t>
      </w:r>
      <w:bookmarkStart w:id="3069" w:name="_Toc107702350"/>
      <w:bookmarkStart w:id="3070" w:name="_Toc236686962"/>
      <w:bookmarkStart w:id="3071" w:name="_Toc184647699"/>
      <w:bookmarkStart w:id="3072" w:name="_Toc184646771"/>
      <w:bookmarkStart w:id="3073" w:name="_Toc184645832"/>
      <w:bookmarkStart w:id="3074" w:name="_Toc184645026"/>
      <w:bookmarkStart w:id="3075" w:name="_Toc184644222"/>
      <w:bookmarkStart w:id="3076" w:name="_Toc184643418"/>
      <w:bookmarkStart w:id="3077" w:name="_Toc184642986"/>
      <w:bookmarkEnd w:id="3069"/>
      <w:bookmarkEnd w:id="3070"/>
      <w:bookmarkEnd w:id="3071"/>
      <w:bookmarkEnd w:id="3072"/>
      <w:bookmarkEnd w:id="3073"/>
      <w:bookmarkEnd w:id="3074"/>
      <w:bookmarkEnd w:id="3075"/>
      <w:bookmarkEnd w:id="3076"/>
      <w:bookmarkEnd w:id="3077"/>
      <w:r>
        <w:rPr>
          <w:rFonts w:ascii="Times New Roman;Times;serif" w:hAnsi="Times New Roman;Times;serif"/>
          <w:b/>
          <w:sz w:val="22"/>
        </w:rPr>
        <w:t>WAIVER OF JURY TRIAL</w:t>
      </w:r>
      <w:r>
        <w:rPr>
          <w:rFonts w:ascii="Times New Roman;Times;serif" w:hAnsi="Times New Roman;Times;serif"/>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180"/>
        <w:ind w:left="0" w:right="0" w:hanging="0"/>
        <w:jc w:val="both"/>
        <w:rPr>
          <w:rFonts w:ascii="Times New Roman;Times;serif" w:hAnsi="Times New Roman;Times;serif"/>
          <w:sz w:val="24"/>
        </w:rPr>
      </w:pPr>
      <w:r>
        <w:rPr>
          <w:rFonts w:ascii="Times New Roman;Times;serif" w:hAnsi="Times New Roman;Times;serif"/>
          <w:b/>
          <w:sz w:val="22"/>
        </w:rPr>
        <w:t>10.16</w:t>
      </w:r>
      <w:bookmarkStart w:id="3078" w:name="_Toc107702351"/>
      <w:bookmarkStart w:id="3079" w:name="_Toc236686963"/>
      <w:bookmarkStart w:id="3080" w:name="_Toc184647700"/>
      <w:bookmarkStart w:id="3081" w:name="_Toc184646772"/>
      <w:bookmarkStart w:id="3082" w:name="_Toc184645833"/>
      <w:bookmarkStart w:id="3083" w:name="_Toc184645027"/>
      <w:bookmarkStart w:id="3084" w:name="_Toc184644223"/>
      <w:bookmarkStart w:id="3085" w:name="_Toc184643419"/>
      <w:bookmarkStart w:id="3086" w:name="_Toc184642987"/>
      <w:bookmarkEnd w:id="3078"/>
      <w:bookmarkEnd w:id="3079"/>
      <w:bookmarkEnd w:id="3080"/>
      <w:bookmarkEnd w:id="3081"/>
      <w:bookmarkEnd w:id="3082"/>
      <w:bookmarkEnd w:id="3083"/>
      <w:bookmarkEnd w:id="3084"/>
      <w:bookmarkEnd w:id="3085"/>
      <w:bookmarkEnd w:id="3086"/>
      <w:r>
        <w:rPr>
          <w:rFonts w:ascii="Times New Roman;Times;serif" w:hAnsi="Times New Roman;Times;serif"/>
          <w:b/>
          <w:sz w:val="22"/>
        </w:rPr>
        <w:t>No Advisory or Fiduciary Responsibility</w:t>
      </w:r>
      <w:r>
        <w:rPr>
          <w:rFonts w:ascii="Times New Roman;Times;serif" w:hAnsi="Times New Roman;Times;serif"/>
          <w:sz w:val="22"/>
        </w:rPr>
        <w:t xml:space="preserve">.  In connection with all aspects of each transaction contemplated hereby (including in connection with any amendment, waiver or other modification hereof or of any other Loan Document), the Borrower acknowledges and agrees, and acknowledges each of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and each Arranger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Arranger has any obligation to the Borrower or any of its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the Borrower and its Affiliates, and neither the Administrative Agent nor any Arranger has any obligation to disclose any of such interests to the Borrower or any of its Affiliates.  To the fullest extent permitted by law, the Borrower hereby waives and releases any claims that it may have against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77</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180"/>
        <w:ind w:left="0" w:right="0" w:hanging="0"/>
        <w:jc w:val="both"/>
        <w:rPr>
          <w:rFonts w:ascii="Times New Roman;Times;serif" w:hAnsi="Times New Roman;Times;serif"/>
          <w:sz w:val="22"/>
        </w:rPr>
      </w:pPr>
      <w:r>
        <w:rPr>
          <w:rFonts w:ascii="Times New Roman;Times;serif" w:hAnsi="Times New Roman;Times;serif"/>
          <w:sz w:val="22"/>
        </w:rPr>
        <w:t>Administrative Agent and the Arrangers with respect to any breach or alleged breach of agency or fiduciary duty in connection with any aspect of any transaction contemplated hereby.  Nothing contained herein shall relieve any Person of its written contractual obligations under the Loan Documents.</w:t>
      </w:r>
    </w:p>
    <w:p>
      <w:pPr>
        <w:pStyle w:val="TextBody"/>
        <w:bidi w:val="0"/>
        <w:spacing w:before="0" w:after="180"/>
        <w:ind w:left="0" w:right="0" w:hanging="0"/>
        <w:jc w:val="both"/>
        <w:rPr>
          <w:rFonts w:ascii="Times New Roman;Times;serif" w:hAnsi="Times New Roman;Times;serif"/>
          <w:sz w:val="24"/>
        </w:rPr>
      </w:pPr>
      <w:r>
        <w:rPr>
          <w:rFonts w:ascii="Times New Roman;Times;serif" w:hAnsi="Times New Roman;Times;serif"/>
          <w:b/>
          <w:sz w:val="22"/>
        </w:rPr>
        <w:t>10.17</w:t>
      </w:r>
      <w:bookmarkStart w:id="3087" w:name="_Toc107702352"/>
      <w:bookmarkStart w:id="3088" w:name="_Toc236686964"/>
      <w:bookmarkStart w:id="3089" w:name="_Toc184647701"/>
      <w:bookmarkStart w:id="3090" w:name="_Toc184646773"/>
      <w:bookmarkStart w:id="3091" w:name="_Toc184645834"/>
      <w:bookmarkStart w:id="3092" w:name="_Toc184645028"/>
      <w:bookmarkStart w:id="3093" w:name="_Toc184644224"/>
      <w:bookmarkStart w:id="3094" w:name="_Toc184643420"/>
      <w:bookmarkStart w:id="3095" w:name="_Toc184642988"/>
      <w:bookmarkEnd w:id="3087"/>
      <w:bookmarkEnd w:id="3088"/>
      <w:bookmarkEnd w:id="3089"/>
      <w:bookmarkEnd w:id="3090"/>
      <w:bookmarkEnd w:id="3091"/>
      <w:bookmarkEnd w:id="3092"/>
      <w:bookmarkEnd w:id="3093"/>
      <w:bookmarkEnd w:id="3094"/>
      <w:bookmarkEnd w:id="3095"/>
      <w:r>
        <w:rPr>
          <w:rFonts w:ascii="Times New Roman;Times;serif" w:hAnsi="Times New Roman;Times;serif"/>
          <w:b/>
          <w:sz w:val="22"/>
        </w:rPr>
        <w:t>USA PATRIOT Act Notice</w:t>
      </w:r>
      <w:r>
        <w:rPr>
          <w:rFonts w:ascii="Times New Roman;Times;serif" w:hAnsi="Times New Roman;Times;serif"/>
          <w:sz w:val="22"/>
        </w:rPr>
        <w:t xml:space="preserve">.  Each Lender that is subject to the PATRIOT Act (as hereinafter defined) and the Administrative Agent (for itself and not on behalf of any Lender) hereby notifies the Borrower that pursuant to the requirements of the USA </w:t>
      </w:r>
      <w:r>
        <w:rPr>
          <w:rFonts w:ascii="Times New Roman;Times;serif" w:hAnsi="Times New Roman;Times;serif"/>
          <w:caps/>
          <w:sz w:val="22"/>
        </w:rPr>
        <w:t>Patriot</w:t>
      </w:r>
      <w:r>
        <w:rPr>
          <w:rFonts w:ascii="Times New Roman;Times;serif" w:hAnsi="Times New Roman;Times;serif"/>
          <w:sz w:val="24"/>
        </w:rPr>
        <w:t xml:space="preserve"> </w:t>
      </w:r>
      <w:r>
        <w:rPr>
          <w:rFonts w:ascii="Times New Roman;Times;serif" w:hAnsi="Times New Roman;Times;serif"/>
          <w:sz w:val="22"/>
        </w:rPr>
        <w:t>Act (Title III of Pub. L. 107-56 (signed into law October 26, 2001)) (the “</w:t>
      </w:r>
      <w:r>
        <w:rPr>
          <w:rFonts w:ascii="Times New Roman;Times;serif" w:hAnsi="Times New Roman;Times;serif"/>
          <w:sz w:val="22"/>
          <w:u w:val="single"/>
        </w:rPr>
        <w:t>PATRIOT</w:t>
      </w:r>
      <w:r>
        <w:rPr>
          <w:rFonts w:ascii="Times New Roman;Times;serif" w:hAnsi="Times New Roman;Times;serif"/>
          <w:sz w:val="24"/>
        </w:rPr>
        <w:t xml:space="preserve"> </w:t>
      </w:r>
      <w:r>
        <w:rPr>
          <w:rFonts w:ascii="Times New Roman;Times;serif" w:hAnsi="Times New Roman;Times;serif"/>
          <w:sz w:val="22"/>
          <w:u w:val="single"/>
        </w:rPr>
        <w:t>Act</w:t>
      </w:r>
      <w:r>
        <w:rPr>
          <w:rFonts w:ascii="Times New Roman;Times;serif" w:hAnsi="Times New Roman;Times;serif"/>
          <w:sz w:val="24"/>
        </w:rPr>
        <w:t>”</w:t>
      </w:r>
      <w:r>
        <w:rPr>
          <w:rFonts w:ascii="Times New Roman;Times;serif" w:hAnsi="Times New Roman;Times;serif"/>
          <w:sz w:val="22"/>
        </w:rPr>
        <w: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pStyle w:val="TextBody"/>
        <w:bidi w:val="0"/>
        <w:spacing w:before="0" w:after="180"/>
        <w:ind w:left="0" w:right="0" w:hanging="0"/>
        <w:jc w:val="both"/>
        <w:rPr>
          <w:rFonts w:ascii="Times New Roman;Times;serif" w:hAnsi="Times New Roman;Times;serif"/>
          <w:sz w:val="24"/>
        </w:rPr>
      </w:pPr>
      <w:r>
        <w:rPr>
          <w:rFonts w:ascii="Times New Roman;Times;serif" w:hAnsi="Times New Roman;Times;serif"/>
          <w:b/>
          <w:sz w:val="22"/>
        </w:rPr>
        <w:t>10.18</w:t>
      </w:r>
      <w:bookmarkStart w:id="3096" w:name="_Toc107702353"/>
      <w:bookmarkStart w:id="3097" w:name="_Toc236686965"/>
      <w:bookmarkStart w:id="3098" w:name="_Toc184647702"/>
      <w:bookmarkStart w:id="3099" w:name="_Toc184646774"/>
      <w:bookmarkStart w:id="3100" w:name="_Toc184645835"/>
      <w:bookmarkStart w:id="3101" w:name="_Toc184645029"/>
      <w:bookmarkStart w:id="3102" w:name="_Toc184644225"/>
      <w:bookmarkStart w:id="3103" w:name="_Toc184643421"/>
      <w:bookmarkStart w:id="3104" w:name="_Toc184642989"/>
      <w:bookmarkEnd w:id="3096"/>
      <w:bookmarkEnd w:id="3097"/>
      <w:bookmarkEnd w:id="3098"/>
      <w:bookmarkEnd w:id="3099"/>
      <w:bookmarkEnd w:id="3100"/>
      <w:bookmarkEnd w:id="3101"/>
      <w:bookmarkEnd w:id="3102"/>
      <w:bookmarkEnd w:id="3103"/>
      <w:bookmarkEnd w:id="3104"/>
      <w:r>
        <w:rPr>
          <w:rFonts w:ascii="Times New Roman;Times;serif" w:hAnsi="Times New Roman;Times;serif"/>
          <w:b/>
          <w:sz w:val="22"/>
        </w:rPr>
        <w:t>Judgment Currency</w:t>
      </w:r>
      <w:r>
        <w:rPr>
          <w:rFonts w:ascii="Times New Roman;Times;serif" w:hAnsi="Times New Roman;Times;serif"/>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Times;serif" w:hAnsi="Times New Roman;Times;serif"/>
          <w:sz w:val="22"/>
          <w:u w:val="single"/>
        </w:rPr>
        <w:t>Judgment Currency</w:t>
      </w:r>
      <w:r>
        <w:rPr>
          <w:rFonts w:ascii="Times New Roman;Times;serif" w:hAnsi="Times New Roman;Times;serif"/>
          <w:sz w:val="24"/>
        </w:rPr>
        <w:t>”</w:t>
      </w:r>
      <w:r>
        <w:rPr>
          <w:rFonts w:ascii="Times New Roman;Times;serif" w:hAnsi="Times New Roman;Times;serif"/>
          <w:sz w:val="22"/>
        </w:rPr>
        <w:t>) other than that in which such sum is denominated in accordance with the applicable provisions of this Agreement (the “</w:t>
      </w:r>
      <w:r>
        <w:rPr>
          <w:rFonts w:ascii="Times New Roman;Times;serif" w:hAnsi="Times New Roman;Times;serif"/>
          <w:sz w:val="22"/>
          <w:u w:val="single"/>
        </w:rPr>
        <w:t>Agreement Currency</w:t>
      </w:r>
      <w:r>
        <w:rPr>
          <w:rFonts w:ascii="Times New Roman;Times;serif" w:hAnsi="Times New Roman;Times;serif"/>
          <w:sz w:val="24"/>
        </w:rPr>
        <w:t>”</w:t>
      </w:r>
      <w:r>
        <w:rPr>
          <w:rFonts w:ascii="Times New Roman;Times;serif" w:hAnsi="Times New Roman;Times;serif"/>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10.19</w:t>
      </w:r>
      <w:bookmarkStart w:id="3105" w:name="_Toc107702354"/>
      <w:bookmarkStart w:id="3106" w:name="_Toc236686966"/>
      <w:bookmarkStart w:id="3107" w:name="_Toc184647703"/>
      <w:bookmarkStart w:id="3108" w:name="_Toc184646775"/>
      <w:bookmarkStart w:id="3109" w:name="_Toc184645836"/>
      <w:bookmarkStart w:id="3110" w:name="_Toc184645030"/>
      <w:bookmarkStart w:id="3111" w:name="_Toc184644226"/>
      <w:bookmarkStart w:id="3112" w:name="_Toc184643422"/>
      <w:bookmarkStart w:id="3113" w:name="_Toc184642990"/>
      <w:bookmarkEnd w:id="3105"/>
      <w:bookmarkEnd w:id="3106"/>
      <w:bookmarkEnd w:id="3107"/>
      <w:bookmarkEnd w:id="3108"/>
      <w:bookmarkEnd w:id="3109"/>
      <w:bookmarkEnd w:id="3110"/>
      <w:bookmarkEnd w:id="3111"/>
      <w:bookmarkEnd w:id="3112"/>
      <w:bookmarkEnd w:id="3113"/>
      <w:r>
        <w:rPr>
          <w:rFonts w:ascii="Times New Roman;Times;serif" w:hAnsi="Times New Roman;Times;serif"/>
          <w:b/>
          <w:sz w:val="22"/>
        </w:rPr>
        <w:t>Electronic Execution; Electronic Records; Counterparts.  </w:t>
      </w:r>
      <w:r>
        <w:rPr>
          <w:rFonts w:ascii="Times New Roman;Times;serif" w:hAnsi="Times New Roman;Times;serif"/>
          <w:sz w:val="22"/>
        </w:rPr>
        <w:t>This Agreement and any document, amendment, approval, consent, information, notice, certificate, request, statement, disclosure or authorization related to this Agreement (each a “</w:t>
      </w:r>
      <w:r>
        <w:rPr>
          <w:rFonts w:ascii="Times New Roman;Times;serif" w:hAnsi="Times New Roman;Times;serif"/>
          <w:sz w:val="22"/>
          <w:u w:val="single"/>
        </w:rPr>
        <w:t>Communication</w:t>
      </w:r>
      <w:r>
        <w:rPr>
          <w:rFonts w:ascii="Times New Roman;Times;serif" w:hAnsi="Times New Roman;Times;serif"/>
          <w:sz w:val="24"/>
        </w:rPr>
        <w:t>”</w:t>
      </w:r>
      <w:r>
        <w:rPr>
          <w:rFonts w:ascii="Times New Roman;Times;serif" w:hAnsi="Times New Roman;Times;serif"/>
          <w:sz w:val="22"/>
        </w:rPr>
        <w:t xml:space="preserve">), including Communications required to be in writing, may be in the form of an Electronic Record and may be executed using Electronic Signatures.  Each of the parties hereto agrees that any Electronic Signature on or associated with any Communication shall be valid and binding on each such party to the same extent as a manual, original signature, and that any Communication entered into by Electronic Signature, will constitute the legal, valid and binding obligation of each such party enforceable against each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78</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Administrative Agent and each of the Lenders may, at its option, create one or more copies of any Communication in the form of an imaged Electronic Record (“</w:t>
      </w:r>
      <w:r>
        <w:rPr>
          <w:rFonts w:ascii="Times New Roman;Times;serif" w:hAnsi="Times New Roman;Times;serif"/>
          <w:sz w:val="22"/>
          <w:u w:val="single"/>
        </w:rPr>
        <w:t>Electronic Copy</w:t>
      </w:r>
      <w:r>
        <w:rPr>
          <w:rFonts w:ascii="Times New Roman;Times;serif" w:hAnsi="Times New Roman;Times;serif"/>
          <w:sz w:val="24"/>
        </w:rPr>
        <w:t>”</w:t>
      </w:r>
      <w:r>
        <w:rPr>
          <w:rFonts w:ascii="Times New Roman;Times;serif" w:hAnsi="Times New Roman;Times;serif"/>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Borrower and/or any Lender without further verification and (b) upon the request of the Administrative Agent or any Lender, any Electronic Signature shall be promptly followed by such manually executed counterpart. </w:t>
      </w:r>
    </w:p>
    <w:p>
      <w:pPr>
        <w:pStyle w:val="TextBody"/>
        <w:bidi w:val="0"/>
        <w:spacing w:before="0" w:after="240"/>
        <w:ind w:left="0" w:right="0" w:firstLine="720"/>
        <w:jc w:val="both"/>
        <w:rPr>
          <w:rFonts w:ascii="Times New Roman;Times;serif" w:hAnsi="Times New Roman;Times;serif"/>
          <w:sz w:val="22"/>
        </w:rPr>
      </w:pPr>
      <w:bookmarkStart w:id="3114" w:name="_Toc107702355"/>
      <w:bookmarkStart w:id="3115" w:name="_Toc184646776"/>
      <w:bookmarkStart w:id="3116" w:name="_Toc184645837"/>
      <w:bookmarkStart w:id="3117" w:name="_Toc184645031"/>
      <w:bookmarkStart w:id="3118" w:name="_Toc184644227"/>
      <w:bookmarkStart w:id="3119" w:name="_Toc184643423"/>
      <w:bookmarkStart w:id="3120" w:name="_Toc184642991"/>
      <w:bookmarkEnd w:id="3114"/>
      <w:bookmarkEnd w:id="3115"/>
      <w:bookmarkEnd w:id="3116"/>
      <w:bookmarkEnd w:id="3117"/>
      <w:bookmarkEnd w:id="3118"/>
      <w:bookmarkEnd w:id="3119"/>
      <w:bookmarkEnd w:id="3120"/>
      <w:r>
        <w:rPr>
          <w:rFonts w:ascii="Times New Roman;Times;serif" w:hAnsi="Times New Roman;Times;serif"/>
          <w:sz w:val="22"/>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before="0" w:after="240"/>
        <w:ind w:left="0" w:right="0" w:firstLine="720"/>
        <w:jc w:val="both"/>
        <w:rPr>
          <w:rFonts w:ascii="Times New Roman;Times;serif" w:hAnsi="Times New Roman;Times;serif"/>
          <w:sz w:val="22"/>
        </w:rPr>
      </w:pPr>
      <w:bookmarkStart w:id="3121" w:name="_Toc107702356"/>
      <w:bookmarkStart w:id="3122" w:name="_Toc184646777"/>
      <w:bookmarkStart w:id="3123" w:name="_Toc184645838"/>
      <w:bookmarkStart w:id="3124" w:name="_Toc184645032"/>
      <w:bookmarkStart w:id="3125" w:name="_Toc184644228"/>
      <w:bookmarkStart w:id="3126" w:name="_Toc184643424"/>
      <w:bookmarkStart w:id="3127" w:name="_Toc184642992"/>
      <w:bookmarkEnd w:id="3121"/>
      <w:bookmarkEnd w:id="3122"/>
      <w:bookmarkEnd w:id="3123"/>
      <w:bookmarkEnd w:id="3124"/>
      <w:bookmarkEnd w:id="3125"/>
      <w:bookmarkEnd w:id="3126"/>
      <w:bookmarkEnd w:id="3127"/>
      <w:r>
        <w:rPr>
          <w:rFonts w:ascii="Times New Roman;Times;serif" w:hAnsi="Times New Roman;Times;serif"/>
          <w:sz w:val="22"/>
        </w:rPr>
        <w:t>The Borrower and each Lender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and each Related Party for any liabilities arising solely from the Administrative Agent’s and/or any Lender’s reliance on or use of Electronic Signatures, including any liabilities arising as a result of the failure of the Borrower to use any available security measures in connection with the execution, delivery or transmission of any Electronic Signature.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10.20</w:t>
      </w:r>
      <w:bookmarkStart w:id="3128" w:name="_Toc107702357"/>
      <w:bookmarkStart w:id="3129" w:name="_Toc236686967"/>
      <w:bookmarkStart w:id="3130" w:name="_Toc184647704"/>
      <w:bookmarkStart w:id="3131" w:name="_Toc184646778"/>
      <w:bookmarkStart w:id="3132" w:name="_Toc184645839"/>
      <w:bookmarkStart w:id="3133" w:name="_Toc184645033"/>
      <w:bookmarkStart w:id="3134" w:name="_Toc184644229"/>
      <w:bookmarkStart w:id="3135" w:name="_Toc184643425"/>
      <w:bookmarkStart w:id="3136" w:name="_Toc184642993"/>
      <w:bookmarkEnd w:id="3128"/>
      <w:bookmarkEnd w:id="3129"/>
      <w:bookmarkEnd w:id="3130"/>
      <w:bookmarkEnd w:id="3131"/>
      <w:bookmarkEnd w:id="3132"/>
      <w:bookmarkEnd w:id="3133"/>
      <w:bookmarkEnd w:id="3134"/>
      <w:bookmarkEnd w:id="3135"/>
      <w:bookmarkEnd w:id="3136"/>
      <w:r>
        <w:rPr>
          <w:rFonts w:ascii="Times New Roman;Times;serif" w:hAnsi="Times New Roman;Times;serif"/>
          <w:b/>
          <w:sz w:val="22"/>
        </w:rPr>
        <w:t>Acknowledgement and Consent to Bail-In of Affected Financial Institutions</w:t>
      </w:r>
      <w:r>
        <w:rPr>
          <w:rFonts w:ascii="Times New Roman;Times;serif" w:hAnsi="Times New Roman;Times;serif"/>
          <w:sz w:val="22"/>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(b)the effects of any Bail-In Action on any such liability, including, if applicable: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(i)a reduction in full or in part or cancellation of any such liability;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79</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ownership will be accepted by it in lieu of any rights with respect to any such liability under this Agreement or any other Loan Document; or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(iii)the variation of the terms of such liability in connection with the exercise of the Write-Down and Conversion Powers of the applicable Resolution Authority.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2"/>
        </w:rPr>
        <w:t>10.21</w:t>
      </w:r>
      <w:bookmarkStart w:id="3137" w:name="_Toc107702358"/>
      <w:bookmarkStart w:id="3138" w:name="_Toc236686968"/>
      <w:bookmarkStart w:id="3139" w:name="_Toc184647705"/>
      <w:bookmarkStart w:id="3140" w:name="_Toc184646779"/>
      <w:bookmarkStart w:id="3141" w:name="_Toc184645840"/>
      <w:bookmarkStart w:id="3142" w:name="_Toc184645034"/>
      <w:bookmarkStart w:id="3143" w:name="_Toc184644230"/>
      <w:bookmarkStart w:id="3144" w:name="_Toc184643426"/>
      <w:bookmarkStart w:id="3145" w:name="_Toc184642994"/>
      <w:bookmarkEnd w:id="3137"/>
      <w:bookmarkEnd w:id="3138"/>
      <w:bookmarkEnd w:id="3139"/>
      <w:bookmarkEnd w:id="3140"/>
      <w:bookmarkEnd w:id="3141"/>
      <w:bookmarkEnd w:id="3142"/>
      <w:bookmarkEnd w:id="3143"/>
      <w:bookmarkEnd w:id="3144"/>
      <w:bookmarkEnd w:id="3145"/>
      <w:r>
        <w:rPr>
          <w:rFonts w:ascii="Times New Roman;Times;serif" w:hAnsi="Times New Roman;Times;serif"/>
          <w:b/>
          <w:sz w:val="22"/>
        </w:rPr>
        <w:t>Acknowledgement Regarding Any Supported QFCs</w:t>
      </w:r>
      <w:r>
        <w:rPr>
          <w:rFonts w:ascii="Times New Roman;Times;serif" w:hAnsi="Times New Roman;Times;serif"/>
          <w:sz w:val="22"/>
        </w:rPr>
        <w:t>.  To the extent that the Loan Documents provide support, through a guarantee or otherwise, for any Swap Contract or any other agreement or instrument that is a QFC (such support, “</w:t>
      </w:r>
      <w:r>
        <w:rPr>
          <w:rFonts w:ascii="Times New Roman;Times;serif" w:hAnsi="Times New Roman;Times;serif"/>
          <w:sz w:val="22"/>
          <w:u w:val="single"/>
        </w:rPr>
        <w:t>QFC Credit Support</w:t>
      </w:r>
      <w:r>
        <w:rPr>
          <w:rFonts w:ascii="Times New Roman;Times;serif" w:hAnsi="Times New Roman;Times;serif"/>
          <w:sz w:val="24"/>
        </w:rPr>
        <w:t>”</w:t>
      </w:r>
      <w:r>
        <w:rPr>
          <w:rFonts w:ascii="Times New Roman;Times;serif" w:hAnsi="Times New Roman;Times;serif"/>
          <w:sz w:val="22"/>
        </w:rPr>
        <w:t>, and each such QFC, a “</w:t>
      </w:r>
      <w:r>
        <w:rPr>
          <w:rFonts w:ascii="Times New Roman;Times;serif" w:hAnsi="Times New Roman;Times;serif"/>
          <w:sz w:val="22"/>
          <w:u w:val="single"/>
        </w:rPr>
        <w:t>Supported QFC</w:t>
      </w:r>
      <w:r>
        <w:rPr>
          <w:rFonts w:ascii="Times New Roman;Times;serif" w:hAnsi="Times New Roman;Times;serif"/>
          <w:sz w:val="24"/>
        </w:rPr>
        <w:t>”</w:t>
      </w:r>
      <w:r>
        <w:rPr>
          <w:rFonts w:ascii="Times New Roman;Times;serif" w:hAnsi="Times New Roman;Times;serif"/>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2"/>
          <w:u w:val="single"/>
        </w:rPr>
        <w:t>U.S. Special Resolution Regimes</w:t>
      </w:r>
      <w:r>
        <w:rPr>
          <w:rFonts w:ascii="Times New Roman;Times;serif" w:hAnsi="Times New Roman;Times;serif"/>
          <w:sz w:val="24"/>
        </w:rPr>
        <w:t>”</w:t>
      </w:r>
      <w:r>
        <w:rPr>
          <w:rFonts w:ascii="Times New Roman;Times;serif" w:hAnsi="Times New Roman;Times;serif"/>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(a)In the event a Covered Entity that is party to a Supported QFC (each, a “</w:t>
      </w:r>
      <w:r>
        <w:rPr>
          <w:rFonts w:ascii="Times New Roman;Times;serif" w:hAnsi="Times New Roman;Times;serif"/>
          <w:sz w:val="22"/>
          <w:u w:val="single"/>
        </w:rPr>
        <w:t>Covered Party</w:t>
      </w:r>
      <w:r>
        <w:rPr>
          <w:rFonts w:ascii="Times New Roman;Times;serif" w:hAnsi="Times New Roman;Times;serif"/>
          <w:sz w:val="24"/>
        </w:rPr>
        <w:t>”</w:t>
      </w:r>
      <w:r>
        <w:rPr>
          <w:rFonts w:ascii="Times New Roman;Times;serif" w:hAnsi="Times New Roman;Times;serif"/>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 xml:space="preserve">(b)As used in this </w:t>
      </w:r>
      <w:r>
        <w:rPr>
          <w:rFonts w:ascii="Times New Roman;Times;serif" w:hAnsi="Times New Roman;Times;serif"/>
          <w:sz w:val="22"/>
          <w:u w:val="single"/>
        </w:rPr>
        <w:t>Section 10.21</w:t>
      </w:r>
      <w:r>
        <w:rPr>
          <w:rFonts w:ascii="Times New Roman;Times;serif" w:hAnsi="Times New Roman;Times;serif"/>
          <w:sz w:val="22"/>
        </w:rPr>
        <w:t>, the following terms have the following meanings:</w:t>
      </w:r>
    </w:p>
    <w:p>
      <w:pPr>
        <w:pStyle w:val="TextBody"/>
        <w:bidi w:val="0"/>
        <w:spacing w:before="0" w:after="240"/>
        <w:ind w:left="1440" w:right="0" w:firstLine="720"/>
        <w:jc w:val="both"/>
        <w:rPr/>
      </w:pPr>
      <w:r>
        <w:rPr/>
        <w:t>“</w:t>
      </w:r>
      <w:r>
        <w:rPr>
          <w:rFonts w:ascii="Times New Roman;Times;serif" w:hAnsi="Times New Roman;Times;serif"/>
          <w:sz w:val="22"/>
          <w:u w:val="single"/>
        </w:rPr>
        <w:t>BHC Act Affiliate</w:t>
      </w:r>
      <w:r>
        <w:rPr>
          <w:rFonts w:ascii="Times New Roman;Times;serif" w:hAnsi="Times New Roman;Times;serif"/>
          <w:sz w:val="22"/>
        </w:rPr>
        <w:t>” of a party means an “affiliate” (as such term is defined under, and interpreted in accordance with, 12 U.S.C. 1841(k)) of such party.</w:t>
      </w:r>
    </w:p>
    <w:p>
      <w:pPr>
        <w:pStyle w:val="TextBody"/>
        <w:bidi w:val="0"/>
        <w:spacing w:before="0" w:after="240"/>
        <w:ind w:left="144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2"/>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1440" w:right="0" w:firstLine="720"/>
        <w:jc w:val="both"/>
        <w:rPr/>
      </w:pPr>
      <w:r>
        <w:rPr/>
        <w:t>“</w:t>
      </w:r>
      <w:r>
        <w:rPr>
          <w:rFonts w:ascii="Times New Roman;Times;serif" w:hAnsi="Times New Roman;Times;serif"/>
          <w:sz w:val="22"/>
          <w:u w:val="single"/>
        </w:rPr>
        <w:t>Default Right</w:t>
      </w:r>
      <w:r>
        <w:rPr>
          <w:rFonts w:ascii="Times New Roman;Times;serif" w:hAnsi="Times New Roman;Times;serif"/>
          <w:sz w:val="22"/>
        </w:rPr>
        <w:t>” has the meaning assigned to that term in, and shall be interpreted in accordance with, 12 C.F.R. §§ 252.81, 47.2 or 382.1, as applicable.</w:t>
      </w:r>
    </w:p>
    <w:p>
      <w:pPr>
        <w:pStyle w:val="TextBody"/>
        <w:bidi w:val="0"/>
        <w:spacing w:before="0" w:after="240"/>
        <w:ind w:left="1440" w:right="0" w:firstLine="720"/>
        <w:jc w:val="both"/>
        <w:rPr/>
      </w:pPr>
      <w:bookmarkStart w:id="3146" w:name="_Toc107702359"/>
      <w:bookmarkStart w:id="3147" w:name="_Toc184646780"/>
      <w:bookmarkStart w:id="3148" w:name="_Toc184645841"/>
      <w:bookmarkStart w:id="3149" w:name="_Toc184645035"/>
      <w:bookmarkStart w:id="3150" w:name="_Toc184644231"/>
      <w:bookmarkStart w:id="3151" w:name="_Toc184643427"/>
      <w:bookmarkStart w:id="3152" w:name="_Toc184642995"/>
      <w:bookmarkEnd w:id="3146"/>
      <w:bookmarkEnd w:id="3147"/>
      <w:bookmarkEnd w:id="3148"/>
      <w:bookmarkEnd w:id="3149"/>
      <w:bookmarkEnd w:id="3150"/>
      <w:bookmarkEnd w:id="3151"/>
      <w:bookmarkEnd w:id="3152"/>
      <w:r>
        <w:rPr/>
        <w:t>“</w:t>
      </w:r>
      <w:r>
        <w:rPr>
          <w:rFonts w:ascii="Times New Roman;Times;serif" w:hAnsi="Times New Roman;Times;serif"/>
          <w:sz w:val="22"/>
          <w:u w:val="single"/>
        </w:rPr>
        <w:t>QFC</w:t>
      </w:r>
      <w:r>
        <w:rPr>
          <w:rFonts w:ascii="Times New Roman;Times;serif" w:hAnsi="Times New Roman;Times;serif"/>
          <w:sz w:val="22"/>
        </w:rPr>
        <w:t>” has the meaning assigned to the term “qualified financial contract” in, and shall be interpreted in accordance with, 12 U.S.C. 5390(c)(8)(D).</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80</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b/>
          <w:i/>
          <w:sz w:val="22"/>
        </w:rPr>
      </w:pPr>
      <w:r>
        <w:rPr>
          <w:rFonts w:ascii="Times New Roman;Times;serif" w:hAnsi="Times New Roman;Times;serif"/>
          <w:b/>
          <w:i/>
          <w:sz w:val="22"/>
        </w:rPr>
        <w:t>[Signature pages follow.]</w:t>
      </w:r>
    </w:p>
    <w:p>
      <w:pPr>
        <w:pStyle w:val="TextBody"/>
        <w:bidi w:val="0"/>
        <w:spacing w:before="0" w:after="240"/>
        <w:ind w:left="0" w:right="0" w:firstLine="720"/>
        <w:jc w:val="both"/>
        <w:rPr/>
      </w:pPr>
      <w:r>
        <w:rPr/>
        <w:t>​</w:t>
      </w:r>
    </w:p>
    <w:tbl>
      <w:tblPr>
        <w:tblW w:w="624" w:type="dxa"/>
        <w:jc w:val="left"/>
        <w:tblInd w:w="0" w:type="dxa"/>
        <w:tblLayout w:type="fixed"/>
        <w:tblCellMar>
          <w:top w:w="0" w:type="dxa"/>
          <w:left w:w="0" w:type="dxa"/>
          <w:bottom w:w="0" w:type="dxa"/>
          <w:right w:w="0" w:type="dxa"/>
        </w:tblCellMar>
      </w:tblPr>
      <w:tblGrid>
        <w:gridCol w:w="124"/>
        <w:gridCol w:w="346"/>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81</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lineRule="auto" w:line="1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600654530_5</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2"/>
        </w:rPr>
        <w:t>IN WITNESS WHEREOF,</w:t>
      </w:r>
      <w:r>
        <w:rPr>
          <w:rFonts w:ascii="Times New Roman;Times;serif" w:hAnsi="Times New Roman;Times;serif"/>
          <w:sz w:val="22"/>
        </w:rPr>
        <w:t xml:space="preserve"> the parties hereto have caused this Agreement to be duly executed as of the date first above written.</w:t>
      </w:r>
    </w:p>
    <w:tbl>
      <w:tblPr>
        <w:tblW w:w="3143" w:type="dxa"/>
        <w:jc w:val="left"/>
        <w:tblInd w:w="0" w:type="dxa"/>
        <w:tblLayout w:type="fixed"/>
        <w:tblCellMar>
          <w:top w:w="0" w:type="dxa"/>
          <w:left w:w="0" w:type="dxa"/>
          <w:bottom w:w="0" w:type="dxa"/>
          <w:right w:w="0" w:type="dxa"/>
        </w:tblCellMar>
      </w:tblPr>
      <w:tblGrid>
        <w:gridCol w:w="124"/>
        <w:gridCol w:w="1219"/>
        <w:gridCol w:w="230"/>
        <w:gridCol w:w="1570"/>
      </w:tblGrid>
      <w:tr>
        <w:trPr/>
        <w:tc>
          <w:tcPr>
            <w:tcW w:w="124" w:type="dxa"/>
            <w:tcBorders/>
            <w:vAlign w:val="center"/>
          </w:tcPr>
          <w:p>
            <w:pPr>
              <w:pStyle w:val="TableContents"/>
              <w:bidi w:val="0"/>
              <w:spacing w:before="0" w:after="240"/>
              <w:ind w:left="0" w:right="0" w:hanging="0"/>
              <w:jc w:val="both"/>
              <w:rPr/>
            </w:pPr>
            <w:r>
              <w:rPr/>
              <w:t>​</w:t>
            </w:r>
          </w:p>
        </w:tc>
        <w:tc>
          <w:tcPr>
            <w:tcW w:w="1449" w:type="dxa"/>
            <w:gridSpan w:val="2"/>
            <w:tcBorders/>
            <w:vAlign w:val="center"/>
          </w:tcPr>
          <w:p>
            <w:pPr>
              <w:pStyle w:val="TableContents"/>
              <w:bidi w:val="0"/>
              <w:spacing w:before="0" w:after="240"/>
              <w:ind w:left="0" w:right="0" w:hanging="0"/>
              <w:jc w:val="both"/>
              <w:rPr/>
            </w:pPr>
            <w:r>
              <w:rPr/>
              <w:t>​</w:t>
            </w:r>
          </w:p>
        </w:tc>
        <w:tc>
          <w:tcPr>
            <w:tcW w:w="1570" w:type="dxa"/>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3019" w:type="dxa"/>
            <w:gridSpan w:val="3"/>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AVNET, INC</w:t>
            </w:r>
            <w:r>
              <w:rPr>
                <w:rFonts w:ascii="Times New Roman;Times;serif" w:hAnsi="Times New Roman;Times;serif"/>
                <w:sz w:val="22"/>
              </w:rPr>
              <w:t>.</w:t>
            </w:r>
          </w:p>
        </w:tc>
      </w:tr>
      <w:tr>
        <w:trPr/>
        <w:tc>
          <w:tcPr>
            <w:tcW w:w="124" w:type="dxa"/>
            <w:tcBorders/>
            <w:vAlign w:val="center"/>
          </w:tcPr>
          <w:p>
            <w:pPr>
              <w:pStyle w:val="TableContents"/>
              <w:bidi w:val="0"/>
              <w:spacing w:before="0" w:after="240"/>
              <w:ind w:left="0" w:right="0" w:hanging="0"/>
              <w:jc w:val="both"/>
              <w:rPr/>
            </w:pPr>
            <w:r>
              <w:rPr/>
              <w:t>​</w:t>
            </w:r>
          </w:p>
        </w:tc>
        <w:tc>
          <w:tcPr>
            <w:tcW w:w="1219" w:type="dxa"/>
            <w:tcBorders/>
            <w:vAlign w:val="center"/>
          </w:tcPr>
          <w:p>
            <w:pPr>
              <w:pStyle w:val="TableContents"/>
              <w:bidi w:val="0"/>
              <w:spacing w:before="0" w:after="240"/>
              <w:ind w:left="0" w:right="0" w:hanging="0"/>
              <w:jc w:val="both"/>
              <w:rPr/>
            </w:pPr>
            <w:r>
              <w:rPr/>
              <w:t>​</w:t>
            </w:r>
          </w:p>
        </w:tc>
        <w:tc>
          <w:tcPr>
            <w:tcW w:w="18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1219" w:type="dxa"/>
            <w:tcBorders/>
            <w:vAlign w:val="center"/>
          </w:tcPr>
          <w:p>
            <w:pPr>
              <w:pStyle w:val="TableContents"/>
              <w:bidi w:val="0"/>
              <w:spacing w:before="0" w:after="240"/>
              <w:ind w:left="0" w:right="0" w:hanging="0"/>
              <w:jc w:val="both"/>
              <w:rPr/>
            </w:pPr>
            <w:r>
              <w:rPr/>
              <w:t>​</w:t>
            </w:r>
          </w:p>
        </w:tc>
        <w:tc>
          <w:tcPr>
            <w:tcW w:w="18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12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Monica Pantea</w:t>
            </w:r>
          </w:p>
        </w:tc>
      </w:tr>
      <w:tr>
        <w:trPr/>
        <w:tc>
          <w:tcPr>
            <w:tcW w:w="124" w:type="dxa"/>
            <w:tcBorders/>
            <w:vAlign w:val="center"/>
          </w:tcPr>
          <w:p>
            <w:pPr>
              <w:pStyle w:val="TableContents"/>
              <w:bidi w:val="0"/>
              <w:spacing w:before="0" w:after="240"/>
              <w:ind w:left="0" w:right="0" w:hanging="0"/>
              <w:jc w:val="both"/>
              <w:rPr/>
            </w:pPr>
            <w:r>
              <w:rPr/>
              <w:t>​</w:t>
            </w:r>
          </w:p>
        </w:tc>
        <w:tc>
          <w:tcPr>
            <w:tcW w:w="121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18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Monica Pantea</w:t>
            </w:r>
          </w:p>
        </w:tc>
      </w:tr>
      <w:tr>
        <w:trPr/>
        <w:tc>
          <w:tcPr>
            <w:tcW w:w="124" w:type="dxa"/>
            <w:tcBorders/>
            <w:vAlign w:val="center"/>
          </w:tcPr>
          <w:p>
            <w:pPr>
              <w:pStyle w:val="TableContents"/>
              <w:bidi w:val="0"/>
              <w:spacing w:before="0" w:after="240"/>
              <w:ind w:left="0" w:right="0" w:hanging="0"/>
              <w:jc w:val="both"/>
              <w:rPr/>
            </w:pPr>
            <w:r>
              <w:rPr/>
              <w:t>​</w:t>
            </w:r>
          </w:p>
        </w:tc>
        <w:tc>
          <w:tcPr>
            <w:tcW w:w="121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80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Treasurer</w:t>
            </w:r>
          </w:p>
        </w:tc>
      </w:tr>
      <w:tr>
        <w:trPr/>
        <w:tc>
          <w:tcPr>
            <w:tcW w:w="124" w:type="dxa"/>
            <w:tcBorders/>
            <w:vAlign w:val="center"/>
          </w:tcPr>
          <w:p>
            <w:pPr>
              <w:pStyle w:val="TableContents"/>
              <w:bidi w:val="0"/>
              <w:spacing w:before="0" w:after="240"/>
              <w:ind w:left="0" w:right="0" w:hanging="0"/>
              <w:jc w:val="both"/>
              <w:rPr/>
            </w:pPr>
            <w:r>
              <w:rPr/>
              <w:t>​</w:t>
            </w:r>
          </w:p>
        </w:tc>
        <w:tc>
          <w:tcPr>
            <w:tcW w:w="1449" w:type="dxa"/>
            <w:gridSpan w:val="2"/>
            <w:tcBorders/>
            <w:vAlign w:val="center"/>
          </w:tcPr>
          <w:p>
            <w:pPr>
              <w:pStyle w:val="TableContents"/>
              <w:bidi w:val="0"/>
              <w:spacing w:before="0" w:after="240"/>
              <w:ind w:left="0" w:right="0" w:hanging="0"/>
              <w:jc w:val="both"/>
              <w:rPr/>
            </w:pPr>
            <w:r>
              <w:rPr/>
              <w:t>​</w:t>
            </w:r>
          </w:p>
        </w:tc>
        <w:tc>
          <w:tcPr>
            <w:tcW w:w="1570" w:type="dxa"/>
            <w:tcBorders/>
            <w:vAlign w:val="center"/>
          </w:tcPr>
          <w:p>
            <w:pPr>
              <w:pStyle w:val="TableContents"/>
              <w:bidi w:val="0"/>
              <w:spacing w:before="0" w:after="240"/>
              <w:ind w:left="0" w:right="0" w:hanging="0"/>
              <w:jc w:val="left"/>
              <w:rPr/>
            </w:pPr>
            <w:r>
              <w:rPr/>
              <w:t>​</w:t>
            </w:r>
          </w:p>
        </w:tc>
      </w:tr>
    </w:tbl>
    <w:p>
      <w:pPr>
        <w:pStyle w:val="TextBody"/>
        <w:bidi w:val="0"/>
        <w:spacing w:before="120" w:after="283"/>
        <w:ind w:left="4320" w:right="0" w:hanging="0"/>
        <w:jc w:val="left"/>
        <w:rPr/>
      </w:pPr>
      <w:r>
        <w:rPr/>
        <w:t>​</w:t>
      </w:r>
    </w:p>
    <w:p>
      <w:pPr>
        <w:pStyle w:val="TextBody"/>
        <w:bidi w:val="0"/>
        <w:spacing w:before="120" w:after="0"/>
        <w:ind w:left="4320" w:right="0" w:hanging="0"/>
        <w:jc w:val="left"/>
        <w:rPr/>
      </w:pPr>
      <w:r>
        <w:rPr/>
        <w:t>​</w:t>
      </w:r>
    </w:p>
    <w:p>
      <w:pPr>
        <w:pStyle w:val="TextBody"/>
        <w:bidi w:val="0"/>
        <w:spacing w:before="120" w:after="0"/>
        <w:ind w:left="4320" w:right="0" w:hanging="0"/>
        <w:jc w:val="left"/>
        <w:rPr/>
      </w:pPr>
      <w:r>
        <w:rPr/>
        <w:t>​</w:t>
      </w:r>
    </w:p>
    <w:p>
      <w:pPr>
        <w:pStyle w:val="TextBody"/>
        <w:bidi w:val="0"/>
        <w:spacing w:before="120" w:after="0"/>
        <w:ind w:left="4320" w:right="0" w:hanging="0"/>
        <w:jc w:val="left"/>
        <w:rPr/>
      </w:pPr>
      <w:r>
        <w:rPr/>
        <w:t>​</w:t>
      </w:r>
    </w:p>
    <w:p>
      <w:pPr>
        <w:pStyle w:val="TextBody"/>
        <w:bidi w:val="0"/>
        <w:spacing w:before="120" w:after="283"/>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Avnet,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tbl>
      <w:tblPr>
        <w:tblW w:w="5078" w:type="dxa"/>
        <w:jc w:val="left"/>
        <w:tblInd w:w="0" w:type="dxa"/>
        <w:tblLayout w:type="fixed"/>
        <w:tblCellMar>
          <w:top w:w="0" w:type="dxa"/>
          <w:left w:w="0" w:type="dxa"/>
          <w:bottom w:w="0" w:type="dxa"/>
          <w:right w:w="0" w:type="dxa"/>
        </w:tblCellMar>
      </w:tblPr>
      <w:tblGrid>
        <w:gridCol w:w="124"/>
        <w:gridCol w:w="2554"/>
        <w:gridCol w:w="307"/>
        <w:gridCol w:w="2093"/>
      </w:tblGrid>
      <w:tr>
        <w:trPr/>
        <w:tc>
          <w:tcPr>
            <w:tcW w:w="124" w:type="dxa"/>
            <w:tcBorders/>
            <w:vAlign w:val="center"/>
          </w:tcPr>
          <w:p>
            <w:pPr>
              <w:pStyle w:val="TableContents"/>
              <w:bidi w:val="0"/>
              <w:spacing w:before="0" w:after="0"/>
              <w:ind w:left="0" w:right="0" w:hanging="0"/>
              <w:jc w:val="both"/>
              <w:rPr/>
            </w:pPr>
            <w:r>
              <w:rPr/>
              <w:t>​</w:t>
            </w:r>
          </w:p>
        </w:tc>
        <w:tc>
          <w:tcPr>
            <w:tcW w:w="2861" w:type="dxa"/>
            <w:gridSpan w:val="2"/>
            <w:tcBorders/>
            <w:vAlign w:val="center"/>
          </w:tcPr>
          <w:p>
            <w:pPr>
              <w:pStyle w:val="TableContents"/>
              <w:bidi w:val="0"/>
              <w:spacing w:before="0" w:after="0"/>
              <w:ind w:left="0" w:right="0" w:hanging="0"/>
              <w:jc w:val="both"/>
              <w:rPr/>
            </w:pPr>
            <w:r>
              <w:rPr/>
              <w:t>​</w:t>
            </w:r>
          </w:p>
        </w:tc>
        <w:tc>
          <w:tcPr>
            <w:tcW w:w="209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2861" w:type="dxa"/>
            <w:gridSpan w:val="2"/>
            <w:tcBorders/>
            <w:vAlign w:val="center"/>
          </w:tcPr>
          <w:p>
            <w:pPr>
              <w:pStyle w:val="TableContents"/>
              <w:bidi w:val="0"/>
              <w:spacing w:before="0" w:after="240"/>
              <w:ind w:left="0" w:right="0" w:hanging="0"/>
              <w:jc w:val="both"/>
              <w:rPr/>
            </w:pPr>
            <w:r>
              <w:rPr/>
              <w:t>​</w:t>
            </w:r>
          </w:p>
        </w:tc>
        <w:tc>
          <w:tcPr>
            <w:tcW w:w="2093" w:type="dxa"/>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4954" w:type="dxa"/>
            <w:gridSpan w:val="3"/>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 xml:space="preserve">BANK OF AMERICA, N.A., </w:t>
            </w:r>
            <w:r>
              <w:rPr>
                <w:rFonts w:ascii="Times New Roman;Times;serif" w:hAnsi="Times New Roman;Times;serif"/>
                <w:sz w:val="22"/>
              </w:rPr>
              <w:t>as</w:t>
            </w:r>
          </w:p>
        </w:tc>
      </w:tr>
      <w:tr>
        <w:trPr/>
        <w:tc>
          <w:tcPr>
            <w:tcW w:w="124" w:type="dxa"/>
            <w:tcBorders/>
            <w:vAlign w:val="center"/>
          </w:tcPr>
          <w:p>
            <w:pPr>
              <w:pStyle w:val="TableContents"/>
              <w:bidi w:val="0"/>
              <w:spacing w:before="0" w:after="240"/>
              <w:ind w:left="0" w:right="0" w:hanging="0"/>
              <w:jc w:val="both"/>
              <w:rPr/>
            </w:pPr>
            <w:r>
              <w:rPr/>
              <w:t>​</w:t>
            </w:r>
          </w:p>
        </w:tc>
        <w:tc>
          <w:tcPr>
            <w:tcW w:w="4954" w:type="dxa"/>
            <w:gridSpan w:val="3"/>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Administrative Agent</w:t>
            </w:r>
          </w:p>
        </w:tc>
      </w:tr>
      <w:tr>
        <w:trPr/>
        <w:tc>
          <w:tcPr>
            <w:tcW w:w="124" w:type="dxa"/>
            <w:tcBorders/>
            <w:vAlign w:val="center"/>
          </w:tcPr>
          <w:p>
            <w:pPr>
              <w:pStyle w:val="TableContents"/>
              <w:bidi w:val="0"/>
              <w:spacing w:before="0" w:after="240"/>
              <w:ind w:left="0" w:right="0" w:hanging="0"/>
              <w:jc w:val="both"/>
              <w:rPr/>
            </w:pPr>
            <w:r>
              <w:rPr/>
              <w:t>​</w:t>
            </w:r>
          </w:p>
        </w:tc>
        <w:tc>
          <w:tcPr>
            <w:tcW w:w="2554" w:type="dxa"/>
            <w:tcBorders/>
            <w:vAlign w:val="center"/>
          </w:tcPr>
          <w:p>
            <w:pPr>
              <w:pStyle w:val="TableContents"/>
              <w:bidi w:val="0"/>
              <w:spacing w:before="0" w:after="240"/>
              <w:ind w:left="0" w:right="0" w:hanging="0"/>
              <w:jc w:val="both"/>
              <w:rPr/>
            </w:pPr>
            <w:r>
              <w:rPr/>
              <w:t>​</w:t>
            </w:r>
          </w:p>
        </w:tc>
        <w:tc>
          <w:tcPr>
            <w:tcW w:w="24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2554" w:type="dxa"/>
            <w:tcBorders/>
            <w:vAlign w:val="center"/>
          </w:tcPr>
          <w:p>
            <w:pPr>
              <w:pStyle w:val="TableContents"/>
              <w:bidi w:val="0"/>
              <w:spacing w:before="0" w:after="240"/>
              <w:ind w:left="0" w:right="0" w:hanging="0"/>
              <w:jc w:val="both"/>
              <w:rPr/>
            </w:pPr>
            <w:r>
              <w:rPr/>
              <w:t>​</w:t>
            </w:r>
          </w:p>
        </w:tc>
        <w:tc>
          <w:tcPr>
            <w:tcW w:w="24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2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Elizabeth Uribe</w:t>
            </w:r>
          </w:p>
        </w:tc>
      </w:tr>
      <w:tr>
        <w:trPr/>
        <w:tc>
          <w:tcPr>
            <w:tcW w:w="124" w:type="dxa"/>
            <w:tcBorders/>
            <w:vAlign w:val="center"/>
          </w:tcPr>
          <w:p>
            <w:pPr>
              <w:pStyle w:val="TableContents"/>
              <w:bidi w:val="0"/>
              <w:spacing w:before="0" w:after="240"/>
              <w:ind w:left="0" w:right="0" w:hanging="0"/>
              <w:jc w:val="both"/>
              <w:rPr/>
            </w:pPr>
            <w:r>
              <w:rPr/>
              <w:t>​</w:t>
            </w:r>
          </w:p>
        </w:tc>
        <w:tc>
          <w:tcPr>
            <w:tcW w:w="255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Elizabeth Uribe</w:t>
            </w:r>
          </w:p>
        </w:tc>
      </w:tr>
      <w:tr>
        <w:trPr/>
        <w:tc>
          <w:tcPr>
            <w:tcW w:w="124" w:type="dxa"/>
            <w:tcBorders/>
            <w:vAlign w:val="center"/>
          </w:tcPr>
          <w:p>
            <w:pPr>
              <w:pStyle w:val="TableContents"/>
              <w:bidi w:val="0"/>
              <w:spacing w:before="0" w:after="240"/>
              <w:ind w:left="0" w:right="0" w:hanging="0"/>
              <w:jc w:val="both"/>
              <w:rPr/>
            </w:pPr>
            <w:r>
              <w:rPr/>
              <w:t>​</w:t>
            </w:r>
          </w:p>
        </w:tc>
        <w:tc>
          <w:tcPr>
            <w:tcW w:w="255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Assistant Vice President</w:t>
            </w:r>
          </w:p>
        </w:tc>
      </w:tr>
      <w:tr>
        <w:trPr/>
        <w:tc>
          <w:tcPr>
            <w:tcW w:w="124" w:type="dxa"/>
            <w:tcBorders/>
            <w:vAlign w:val="center"/>
          </w:tcPr>
          <w:p>
            <w:pPr>
              <w:pStyle w:val="TableContents"/>
              <w:bidi w:val="0"/>
              <w:spacing w:before="0" w:after="240"/>
              <w:ind w:left="0" w:right="0" w:hanging="0"/>
              <w:jc w:val="both"/>
              <w:rPr/>
            </w:pPr>
            <w:r>
              <w:rPr/>
              <w:t>​</w:t>
            </w:r>
          </w:p>
        </w:tc>
        <w:tc>
          <w:tcPr>
            <w:tcW w:w="2861" w:type="dxa"/>
            <w:gridSpan w:val="2"/>
            <w:tcBorders/>
            <w:vAlign w:val="center"/>
          </w:tcPr>
          <w:p>
            <w:pPr>
              <w:pStyle w:val="TableContents"/>
              <w:bidi w:val="0"/>
              <w:spacing w:before="0" w:after="240"/>
              <w:ind w:left="0" w:right="0" w:hanging="0"/>
              <w:jc w:val="both"/>
              <w:rPr/>
            </w:pPr>
            <w:r>
              <w:rPr/>
              <w:t>​</w:t>
            </w:r>
          </w:p>
        </w:tc>
        <w:tc>
          <w:tcPr>
            <w:tcW w:w="2093"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120" w:after="283"/>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Avnet,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tbl>
      <w:tblPr>
        <w:tblW w:w="6390" w:type="dxa"/>
        <w:jc w:val="left"/>
        <w:tblInd w:w="0" w:type="dxa"/>
        <w:tblLayout w:type="fixed"/>
        <w:tblCellMar>
          <w:top w:w="0" w:type="dxa"/>
          <w:left w:w="0" w:type="dxa"/>
          <w:bottom w:w="0" w:type="dxa"/>
          <w:right w:w="0" w:type="dxa"/>
        </w:tblCellMar>
      </w:tblPr>
      <w:tblGrid>
        <w:gridCol w:w="124"/>
        <w:gridCol w:w="3251"/>
        <w:gridCol w:w="385"/>
        <w:gridCol w:w="2630"/>
      </w:tblGrid>
      <w:tr>
        <w:trPr/>
        <w:tc>
          <w:tcPr>
            <w:tcW w:w="124" w:type="dxa"/>
            <w:tcBorders/>
            <w:vAlign w:val="center"/>
          </w:tcPr>
          <w:p>
            <w:pPr>
              <w:pStyle w:val="TableContents"/>
              <w:bidi w:val="0"/>
              <w:spacing w:before="0" w:after="0"/>
              <w:ind w:left="0" w:right="0" w:hanging="0"/>
              <w:jc w:val="both"/>
              <w:rPr/>
            </w:pPr>
            <w:r>
              <w:rPr/>
              <w:t>​</w:t>
            </w:r>
          </w:p>
        </w:tc>
        <w:tc>
          <w:tcPr>
            <w:tcW w:w="3636" w:type="dxa"/>
            <w:gridSpan w:val="2"/>
            <w:tcBorders/>
            <w:vAlign w:val="center"/>
          </w:tcPr>
          <w:p>
            <w:pPr>
              <w:pStyle w:val="TableContents"/>
              <w:bidi w:val="0"/>
              <w:spacing w:before="0" w:after="0"/>
              <w:ind w:left="0" w:right="0" w:hanging="0"/>
              <w:jc w:val="both"/>
              <w:rPr/>
            </w:pPr>
            <w:r>
              <w:rPr/>
              <w:t>​</w:t>
            </w:r>
          </w:p>
        </w:tc>
        <w:tc>
          <w:tcPr>
            <w:tcW w:w="2630"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3636" w:type="dxa"/>
            <w:gridSpan w:val="2"/>
            <w:tcBorders/>
            <w:vAlign w:val="center"/>
          </w:tcPr>
          <w:p>
            <w:pPr>
              <w:pStyle w:val="TableContents"/>
              <w:bidi w:val="0"/>
              <w:spacing w:before="0" w:after="240"/>
              <w:ind w:left="0" w:right="0" w:hanging="0"/>
              <w:jc w:val="both"/>
              <w:rPr/>
            </w:pPr>
            <w:r>
              <w:rPr/>
              <w:t>​</w:t>
            </w:r>
          </w:p>
        </w:tc>
        <w:tc>
          <w:tcPr>
            <w:tcW w:w="2630" w:type="dxa"/>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6266" w:type="dxa"/>
            <w:gridSpan w:val="3"/>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 xml:space="preserve">BANK OF AMERICA, N.A., </w:t>
            </w:r>
            <w:r>
              <w:rPr>
                <w:rFonts w:ascii="Times New Roman;Times;serif" w:hAnsi="Times New Roman;Times;serif"/>
                <w:sz w:val="22"/>
              </w:rPr>
              <w:t>as a Lender</w:t>
            </w:r>
          </w:p>
        </w:tc>
      </w:tr>
      <w:tr>
        <w:trPr/>
        <w:tc>
          <w:tcPr>
            <w:tcW w:w="124" w:type="dxa"/>
            <w:tcBorders/>
            <w:vAlign w:val="center"/>
          </w:tcPr>
          <w:p>
            <w:pPr>
              <w:pStyle w:val="TableContents"/>
              <w:bidi w:val="0"/>
              <w:spacing w:before="0" w:after="240"/>
              <w:ind w:left="0" w:right="0" w:hanging="0"/>
              <w:jc w:val="both"/>
              <w:rPr/>
            </w:pPr>
            <w:r>
              <w:rPr/>
              <w:t>​</w:t>
            </w:r>
          </w:p>
        </w:tc>
        <w:tc>
          <w:tcPr>
            <w:tcW w:w="3251" w:type="dxa"/>
            <w:tcBorders/>
            <w:vAlign w:val="center"/>
          </w:tcPr>
          <w:p>
            <w:pPr>
              <w:pStyle w:val="TableContents"/>
              <w:bidi w:val="0"/>
              <w:spacing w:before="0" w:after="240"/>
              <w:ind w:left="0" w:right="0" w:hanging="0"/>
              <w:jc w:val="both"/>
              <w:rPr/>
            </w:pPr>
            <w:r>
              <w:rPr/>
              <w:t>​</w:t>
            </w:r>
          </w:p>
        </w:tc>
        <w:tc>
          <w:tcPr>
            <w:tcW w:w="3015"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3251" w:type="dxa"/>
            <w:tcBorders/>
            <w:vAlign w:val="center"/>
          </w:tcPr>
          <w:p>
            <w:pPr>
              <w:pStyle w:val="TableContents"/>
              <w:bidi w:val="0"/>
              <w:spacing w:before="0" w:after="240"/>
              <w:ind w:left="0" w:right="0" w:hanging="0"/>
              <w:jc w:val="both"/>
              <w:rPr/>
            </w:pPr>
            <w:r>
              <w:rPr/>
              <w:t>​</w:t>
            </w:r>
          </w:p>
        </w:tc>
        <w:tc>
          <w:tcPr>
            <w:tcW w:w="3015"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32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015"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Carlos A. Delgado Robledo</w:t>
            </w:r>
          </w:p>
        </w:tc>
      </w:tr>
      <w:tr>
        <w:trPr/>
        <w:tc>
          <w:tcPr>
            <w:tcW w:w="124" w:type="dxa"/>
            <w:tcBorders/>
            <w:vAlign w:val="center"/>
          </w:tcPr>
          <w:p>
            <w:pPr>
              <w:pStyle w:val="TableContents"/>
              <w:bidi w:val="0"/>
              <w:spacing w:before="0" w:after="240"/>
              <w:ind w:left="0" w:right="0" w:hanging="0"/>
              <w:jc w:val="both"/>
              <w:rPr/>
            </w:pPr>
            <w:r>
              <w:rPr/>
              <w:t>​</w:t>
            </w:r>
          </w:p>
        </w:tc>
        <w:tc>
          <w:tcPr>
            <w:tcW w:w="325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1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Carlos A. Delgado Robledo</w:t>
            </w:r>
          </w:p>
        </w:tc>
      </w:tr>
      <w:tr>
        <w:trPr/>
        <w:tc>
          <w:tcPr>
            <w:tcW w:w="124" w:type="dxa"/>
            <w:tcBorders/>
            <w:vAlign w:val="center"/>
          </w:tcPr>
          <w:p>
            <w:pPr>
              <w:pStyle w:val="TableContents"/>
              <w:bidi w:val="0"/>
              <w:spacing w:before="0" w:after="240"/>
              <w:ind w:left="0" w:right="0" w:hanging="0"/>
              <w:jc w:val="both"/>
              <w:rPr/>
            </w:pPr>
            <w:r>
              <w:rPr/>
              <w:t>​</w:t>
            </w:r>
          </w:p>
        </w:tc>
        <w:tc>
          <w:tcPr>
            <w:tcW w:w="325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1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240"/>
              <w:ind w:left="0" w:right="0" w:hanging="0"/>
              <w:jc w:val="both"/>
              <w:rPr/>
            </w:pPr>
            <w:r>
              <w:rPr/>
              <w:t>​</w:t>
            </w:r>
          </w:p>
        </w:tc>
        <w:tc>
          <w:tcPr>
            <w:tcW w:w="3636" w:type="dxa"/>
            <w:gridSpan w:val="2"/>
            <w:tcBorders/>
            <w:vAlign w:val="center"/>
          </w:tcPr>
          <w:p>
            <w:pPr>
              <w:pStyle w:val="TableContents"/>
              <w:bidi w:val="0"/>
              <w:spacing w:before="0" w:after="240"/>
              <w:ind w:left="0" w:right="0" w:hanging="0"/>
              <w:jc w:val="both"/>
              <w:rPr/>
            </w:pPr>
            <w:r>
              <w:rPr/>
              <w:t>​</w:t>
            </w:r>
          </w:p>
        </w:tc>
        <w:tc>
          <w:tcPr>
            <w:tcW w:w="2630"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120" w:after="0"/>
        <w:ind w:left="432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Avnet,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120" w:after="283"/>
        <w:ind w:left="4320" w:right="0" w:hanging="0"/>
        <w:jc w:val="left"/>
        <w:rPr/>
      </w:pPr>
      <w:r>
        <w:rPr/>
        <w:t>​</w:t>
      </w:r>
    </w:p>
    <w:tbl>
      <w:tblPr>
        <w:tblW w:w="6826" w:type="dxa"/>
        <w:jc w:val="left"/>
        <w:tblInd w:w="0" w:type="dxa"/>
        <w:tblLayout w:type="fixed"/>
        <w:tblCellMar>
          <w:top w:w="0" w:type="dxa"/>
          <w:left w:w="0" w:type="dxa"/>
          <w:bottom w:w="0" w:type="dxa"/>
          <w:right w:w="0" w:type="dxa"/>
        </w:tblCellMar>
      </w:tblPr>
      <w:tblGrid>
        <w:gridCol w:w="124"/>
        <w:gridCol w:w="4872"/>
        <w:gridCol w:w="236"/>
        <w:gridCol w:w="1594"/>
      </w:tblGrid>
      <w:tr>
        <w:trPr/>
        <w:tc>
          <w:tcPr>
            <w:tcW w:w="124" w:type="dxa"/>
            <w:tcBorders/>
            <w:vAlign w:val="center"/>
          </w:tcPr>
          <w:p>
            <w:pPr>
              <w:pStyle w:val="TableContents"/>
              <w:bidi w:val="0"/>
              <w:spacing w:before="0" w:after="0"/>
              <w:ind w:left="0" w:right="0" w:hanging="0"/>
              <w:jc w:val="both"/>
              <w:rPr/>
            </w:pPr>
            <w:r>
              <w:rPr/>
              <w:t>​</w:t>
            </w:r>
          </w:p>
        </w:tc>
        <w:tc>
          <w:tcPr>
            <w:tcW w:w="5108" w:type="dxa"/>
            <w:gridSpan w:val="2"/>
            <w:tcBorders/>
            <w:vAlign w:val="center"/>
          </w:tcPr>
          <w:p>
            <w:pPr>
              <w:pStyle w:val="TableContents"/>
              <w:bidi w:val="0"/>
              <w:spacing w:before="0" w:after="0"/>
              <w:ind w:left="0" w:right="0" w:hanging="0"/>
              <w:jc w:val="both"/>
              <w:rPr/>
            </w:pPr>
            <w:r>
              <w:rPr/>
              <w:t>​</w:t>
            </w:r>
          </w:p>
        </w:tc>
        <w:tc>
          <w:tcPr>
            <w:tcW w:w="159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5108" w:type="dxa"/>
            <w:gridSpan w:val="2"/>
            <w:tcBorders/>
            <w:vAlign w:val="center"/>
          </w:tcPr>
          <w:p>
            <w:pPr>
              <w:pStyle w:val="TableContents"/>
              <w:bidi w:val="0"/>
              <w:spacing w:before="0" w:after="240"/>
              <w:ind w:left="0" w:right="0" w:hanging="0"/>
              <w:jc w:val="both"/>
              <w:rPr/>
            </w:pPr>
            <w:r>
              <w:rPr/>
              <w:t>​</w:t>
            </w:r>
          </w:p>
        </w:tc>
        <w:tc>
          <w:tcPr>
            <w:tcW w:w="1594" w:type="dxa"/>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6702" w:type="dxa"/>
            <w:gridSpan w:val="3"/>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COMMERZBANK AG, NEW YORK BRANCH, as a Lender</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240"/>
              <w:ind w:left="0" w:right="0" w:hanging="0"/>
              <w:jc w:val="both"/>
              <w:rPr/>
            </w:pPr>
            <w:r>
              <w:rPr/>
              <w:t>​</w:t>
            </w:r>
          </w:p>
        </w:tc>
        <w:tc>
          <w:tcPr>
            <w:tcW w:w="183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240"/>
              <w:ind w:left="0" w:right="0" w:hanging="0"/>
              <w:jc w:val="both"/>
              <w:rPr/>
            </w:pPr>
            <w:r>
              <w:rPr/>
              <w:t>​</w:t>
            </w:r>
          </w:p>
        </w:tc>
        <w:tc>
          <w:tcPr>
            <w:tcW w:w="183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83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Maurice Kiefer</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183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Maurice Kiefer</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83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240"/>
              <w:ind w:left="0" w:right="0" w:hanging="0"/>
              <w:jc w:val="both"/>
              <w:rPr/>
            </w:pPr>
            <w:r>
              <w:rPr/>
              <w:t>​</w:t>
            </w:r>
          </w:p>
        </w:tc>
        <w:tc>
          <w:tcPr>
            <w:tcW w:w="5108" w:type="dxa"/>
            <w:gridSpan w:val="2"/>
            <w:tcBorders/>
            <w:vAlign w:val="center"/>
          </w:tcPr>
          <w:p>
            <w:pPr>
              <w:pStyle w:val="TableContents"/>
              <w:bidi w:val="0"/>
              <w:spacing w:before="0" w:after="240"/>
              <w:ind w:left="0" w:right="0" w:hanging="0"/>
              <w:jc w:val="both"/>
              <w:rPr/>
            </w:pPr>
            <w:r>
              <w:rPr/>
              <w:t>​</w:t>
            </w:r>
          </w:p>
        </w:tc>
        <w:tc>
          <w:tcPr>
            <w:tcW w:w="159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5108" w:type="dxa"/>
            <w:gridSpan w:val="2"/>
            <w:tcBorders/>
            <w:vAlign w:val="center"/>
          </w:tcPr>
          <w:p>
            <w:pPr>
              <w:pStyle w:val="TableContents"/>
              <w:bidi w:val="0"/>
              <w:spacing w:before="0" w:after="240"/>
              <w:ind w:left="0" w:right="0" w:hanging="0"/>
              <w:jc w:val="both"/>
              <w:rPr/>
            </w:pPr>
            <w:r>
              <w:rPr/>
              <w:t>​</w:t>
            </w:r>
          </w:p>
        </w:tc>
        <w:tc>
          <w:tcPr>
            <w:tcW w:w="159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83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Jeff Sullivan  </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183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Jeff Sullivan</w:t>
            </w:r>
          </w:p>
        </w:tc>
      </w:tr>
      <w:tr>
        <w:trPr/>
        <w:tc>
          <w:tcPr>
            <w:tcW w:w="124" w:type="dxa"/>
            <w:tcBorders/>
            <w:vAlign w:val="center"/>
          </w:tcPr>
          <w:p>
            <w:pPr>
              <w:pStyle w:val="TableContents"/>
              <w:bidi w:val="0"/>
              <w:spacing w:before="0" w:after="240"/>
              <w:ind w:left="0" w:right="0" w:hanging="0"/>
              <w:jc w:val="both"/>
              <w:rPr/>
            </w:pPr>
            <w:r>
              <w:rPr/>
              <w:t>​</w:t>
            </w:r>
          </w:p>
        </w:tc>
        <w:tc>
          <w:tcPr>
            <w:tcW w:w="487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83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240"/>
              <w:ind w:left="0" w:right="0" w:hanging="0"/>
              <w:jc w:val="both"/>
              <w:rPr/>
            </w:pPr>
            <w:r>
              <w:rPr/>
              <w:t>​</w:t>
            </w:r>
          </w:p>
        </w:tc>
        <w:tc>
          <w:tcPr>
            <w:tcW w:w="5108" w:type="dxa"/>
            <w:gridSpan w:val="2"/>
            <w:tcBorders/>
            <w:vAlign w:val="center"/>
          </w:tcPr>
          <w:p>
            <w:pPr>
              <w:pStyle w:val="TableContents"/>
              <w:bidi w:val="0"/>
              <w:spacing w:before="0" w:after="240"/>
              <w:ind w:left="0" w:right="0" w:hanging="0"/>
              <w:jc w:val="both"/>
              <w:rPr/>
            </w:pPr>
            <w:r>
              <w:rPr/>
              <w:t>​</w:t>
            </w:r>
          </w:p>
        </w:tc>
        <w:tc>
          <w:tcPr>
            <w:tcW w:w="1594"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5108" w:type="dxa"/>
            <w:gridSpan w:val="2"/>
            <w:tcBorders/>
            <w:vAlign w:val="center"/>
          </w:tcPr>
          <w:p>
            <w:pPr>
              <w:pStyle w:val="TableContents"/>
              <w:bidi w:val="0"/>
              <w:spacing w:before="0" w:after="240"/>
              <w:ind w:left="0" w:right="0" w:hanging="0"/>
              <w:jc w:val="both"/>
              <w:rPr/>
            </w:pPr>
            <w:r>
              <w:rPr/>
              <w:t>​</w:t>
            </w:r>
          </w:p>
        </w:tc>
        <w:tc>
          <w:tcPr>
            <w:tcW w:w="1594"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Avnet,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HorizontalLine"/>
        <w:pBdr>
          <w:bottom w:val="double" w:sz="2" w:space="0" w:color="808080"/>
        </w:pBdr>
        <w:bidi w:val="0"/>
        <w:spacing w:before="0" w:after="283"/>
        <w:jc w:val="left"/>
        <w:rPr/>
      </w:pPr>
      <w:r>
        <w:rPr/>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r>
        <w:trPr/>
        <w:tc>
          <w:tcPr>
            <w:tcW w:w="124" w:type="dxa"/>
            <w:tcBorders/>
            <w:vAlign w:val="center"/>
          </w:tcPr>
          <w:p>
            <w:pPr>
              <w:pStyle w:val="TableContents"/>
              <w:bidi w:val="0"/>
              <w:spacing w:lineRule="atLeast" w:line="200"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lineRule="atLeast" w:line="200" w:before="0" w:after="0"/>
              <w:ind w:left="0" w:right="0" w:hanging="0"/>
              <w:jc w:val="right"/>
              <w:rPr/>
            </w:pPr>
            <w:r>
              <w:rPr/>
              <w:t>​</w:t>
            </w:r>
          </w:p>
        </w:tc>
      </w:tr>
    </w:tbl>
    <w:p>
      <w:pPr>
        <w:pStyle w:val="TextBody"/>
        <w:bidi w:val="0"/>
        <w:spacing w:before="0" w:after="0"/>
        <w:ind w:left="0" w:right="0" w:hanging="0"/>
        <w:jc w:val="center"/>
        <w:rPr/>
      </w:pPr>
      <w:r>
        <w:rPr/>
        <w:t>​</w:t>
      </w:r>
    </w:p>
    <w:tbl>
      <w:tblPr>
        <w:tblW w:w="5020" w:type="dxa"/>
        <w:jc w:val="left"/>
        <w:tblInd w:w="0" w:type="dxa"/>
        <w:tblLayout w:type="fixed"/>
        <w:tblCellMar>
          <w:top w:w="0" w:type="dxa"/>
          <w:left w:w="0" w:type="dxa"/>
          <w:bottom w:w="0" w:type="dxa"/>
          <w:right w:w="0" w:type="dxa"/>
        </w:tblCellMar>
      </w:tblPr>
      <w:tblGrid>
        <w:gridCol w:w="124"/>
        <w:gridCol w:w="2496"/>
        <w:gridCol w:w="302"/>
        <w:gridCol w:w="2098"/>
      </w:tblGrid>
      <w:tr>
        <w:trPr/>
        <w:tc>
          <w:tcPr>
            <w:tcW w:w="124" w:type="dxa"/>
            <w:tcBorders/>
            <w:vAlign w:val="center"/>
          </w:tcPr>
          <w:p>
            <w:pPr>
              <w:pStyle w:val="TableContents"/>
              <w:bidi w:val="0"/>
              <w:spacing w:before="0" w:after="240"/>
              <w:ind w:left="0" w:right="0" w:hanging="0"/>
              <w:jc w:val="both"/>
              <w:rPr/>
            </w:pPr>
            <w:r>
              <w:rPr/>
              <w:t>​</w:t>
            </w:r>
          </w:p>
        </w:tc>
        <w:tc>
          <w:tcPr>
            <w:tcW w:w="4896" w:type="dxa"/>
            <w:gridSpan w:val="3"/>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DBS BANK LTD., as a Lender</w:t>
            </w:r>
          </w:p>
        </w:tc>
      </w:tr>
      <w:tr>
        <w:trPr/>
        <w:tc>
          <w:tcPr>
            <w:tcW w:w="124" w:type="dxa"/>
            <w:tcBorders/>
            <w:vAlign w:val="center"/>
          </w:tcPr>
          <w:p>
            <w:pPr>
              <w:pStyle w:val="TableContents"/>
              <w:bidi w:val="0"/>
              <w:spacing w:before="0" w:after="240"/>
              <w:ind w:left="0" w:right="0" w:hanging="0"/>
              <w:jc w:val="both"/>
              <w:rPr/>
            </w:pPr>
            <w:r>
              <w:rPr/>
              <w:t>​</w:t>
            </w:r>
          </w:p>
        </w:tc>
        <w:tc>
          <w:tcPr>
            <w:tcW w:w="2496" w:type="dxa"/>
            <w:tcBorders/>
            <w:vAlign w:val="center"/>
          </w:tcPr>
          <w:p>
            <w:pPr>
              <w:pStyle w:val="TableContents"/>
              <w:bidi w:val="0"/>
              <w:spacing w:before="0" w:after="240"/>
              <w:ind w:left="0" w:right="0" w:hanging="0"/>
              <w:jc w:val="both"/>
              <w:rPr/>
            </w:pPr>
            <w:r>
              <w:rPr/>
              <w:t>​</w:t>
            </w:r>
          </w:p>
        </w:tc>
        <w:tc>
          <w:tcPr>
            <w:tcW w:w="24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2496" w:type="dxa"/>
            <w:tcBorders/>
            <w:vAlign w:val="center"/>
          </w:tcPr>
          <w:p>
            <w:pPr>
              <w:pStyle w:val="TableContents"/>
              <w:bidi w:val="0"/>
              <w:spacing w:before="0" w:after="240"/>
              <w:ind w:left="0" w:right="0" w:hanging="0"/>
              <w:jc w:val="both"/>
              <w:rPr/>
            </w:pPr>
            <w:r>
              <w:rPr/>
              <w:t>​</w:t>
            </w:r>
          </w:p>
        </w:tc>
        <w:tc>
          <w:tcPr>
            <w:tcW w:w="2400" w:type="dxa"/>
            <w:gridSpan w:val="2"/>
            <w:tcBorders/>
            <w:vAlign w:val="center"/>
          </w:tcPr>
          <w:p>
            <w:pPr>
              <w:pStyle w:val="TableContents"/>
              <w:bidi w:val="0"/>
              <w:spacing w:before="0" w:after="240"/>
              <w:ind w:left="0" w:right="0" w:hanging="0"/>
              <w:jc w:val="both"/>
              <w:rPr/>
            </w:pPr>
            <w:r>
              <w:rPr/>
              <w:t>​</w:t>
            </w:r>
          </w:p>
        </w:tc>
      </w:tr>
      <w:tr>
        <w:trPr/>
        <w:tc>
          <w:tcPr>
            <w:tcW w:w="124" w:type="dxa"/>
            <w:tcBorders/>
            <w:vAlign w:val="center"/>
          </w:tcPr>
          <w:p>
            <w:pPr>
              <w:pStyle w:val="TableContents"/>
              <w:bidi w:val="0"/>
              <w:spacing w:before="0" w:after="240"/>
              <w:ind w:left="0" w:right="0" w:hanging="0"/>
              <w:jc w:val="both"/>
              <w:rPr/>
            </w:pPr>
            <w:r>
              <w:rPr/>
              <w:t>​</w:t>
            </w:r>
          </w:p>
        </w:tc>
        <w:tc>
          <w:tcPr>
            <w:tcW w:w="2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Goh Soo Ching</w:t>
            </w:r>
          </w:p>
        </w:tc>
      </w:tr>
      <w:tr>
        <w:trPr/>
        <w:tc>
          <w:tcPr>
            <w:tcW w:w="124" w:type="dxa"/>
            <w:tcBorders/>
            <w:vAlign w:val="center"/>
          </w:tcPr>
          <w:p>
            <w:pPr>
              <w:pStyle w:val="TableContents"/>
              <w:bidi w:val="0"/>
              <w:spacing w:before="0" w:after="240"/>
              <w:ind w:left="0" w:right="0" w:hanging="0"/>
              <w:jc w:val="both"/>
              <w:rPr/>
            </w:pPr>
            <w:r>
              <w:rPr/>
              <w:t>​</w:t>
            </w:r>
          </w:p>
        </w:tc>
        <w:tc>
          <w:tcPr>
            <w:tcW w:w="249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Goh Soo Ching</w:t>
            </w:r>
          </w:p>
        </w:tc>
      </w:tr>
      <w:tr>
        <w:trPr/>
        <w:tc>
          <w:tcPr>
            <w:tcW w:w="124" w:type="dxa"/>
            <w:tcBorders/>
            <w:vAlign w:val="center"/>
          </w:tcPr>
          <w:p>
            <w:pPr>
              <w:pStyle w:val="TableContents"/>
              <w:bidi w:val="0"/>
              <w:spacing w:before="0" w:after="240"/>
              <w:ind w:left="0" w:right="0" w:hanging="0"/>
              <w:jc w:val="both"/>
              <w:rPr/>
            </w:pPr>
            <w:r>
              <w:rPr/>
              <w:t>​</w:t>
            </w:r>
          </w:p>
        </w:tc>
        <w:tc>
          <w:tcPr>
            <w:tcW w:w="249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Assistant Vice President</w:t>
            </w:r>
          </w:p>
        </w:tc>
      </w:tr>
      <w:tr>
        <w:trPr/>
        <w:tc>
          <w:tcPr>
            <w:tcW w:w="124" w:type="dxa"/>
            <w:tcBorders/>
            <w:vAlign w:val="center"/>
          </w:tcPr>
          <w:p>
            <w:pPr>
              <w:pStyle w:val="TableContents"/>
              <w:bidi w:val="0"/>
              <w:spacing w:before="0" w:after="240"/>
              <w:ind w:left="0" w:right="0" w:hanging="0"/>
              <w:jc w:val="both"/>
              <w:rPr/>
            </w:pPr>
            <w:r>
              <w:rPr/>
              <w:t>​</w:t>
            </w:r>
          </w:p>
        </w:tc>
        <w:tc>
          <w:tcPr>
            <w:tcW w:w="2798" w:type="dxa"/>
            <w:gridSpan w:val="2"/>
            <w:tcBorders/>
            <w:vAlign w:val="center"/>
          </w:tcPr>
          <w:p>
            <w:pPr>
              <w:pStyle w:val="TableContents"/>
              <w:bidi w:val="0"/>
              <w:spacing w:before="0" w:after="240"/>
              <w:ind w:left="0" w:right="0" w:hanging="0"/>
              <w:jc w:val="both"/>
              <w:rPr/>
            </w:pPr>
            <w:r>
              <w:rPr/>
              <w:t>​</w:t>
            </w:r>
          </w:p>
        </w:tc>
        <w:tc>
          <w:tcPr>
            <w:tcW w:w="2098"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Avnet,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4"/>
        </w:rPr>
      </w:pPr>
      <w:bookmarkStart w:id="3153" w:name="avt-20260627xex21d1.htm"/>
      <w:bookmarkStart w:id="3154" w:name="ksavt20260627xex21d1"/>
      <w:bookmarkEnd w:id="3153"/>
      <w:bookmarkEnd w:id="3154"/>
      <w:r>
        <w:rPr>
          <w:rFonts w:ascii="Arial;Helvetica;sans-serif" w:hAnsi="Arial;Helvetica;sans-serif"/>
          <w:b/>
          <w:sz w:val="24"/>
        </w:rPr>
        <w:t>Exhibit 21.1</w:t>
      </w:r>
      <w:r>
        <w:br w:type="page"/>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 xml:space="preserve">Avnet, Inc.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Arial;Helvetica;sans-serif" w:hAnsi="Arial;Helvetica;sans-serif"/>
          <w:b/>
          <w:sz w:val="24"/>
        </w:rPr>
      </w:pPr>
      <w:r>
        <w:rPr>
          <w:rFonts w:ascii="Arial;Helvetica;sans-serif" w:hAnsi="Arial;Helvetica;sans-serif"/>
          <w:b/>
          <w:sz w:val="24"/>
        </w:rPr>
        <w:t>Foreign and Domestic Subsidiaries</w:t>
      </w:r>
    </w:p>
    <w:p>
      <w:pPr>
        <w:pStyle w:val="TextBody"/>
        <w:bidi w:val="0"/>
        <w:spacing w:before="0" w:after="0"/>
        <w:ind w:left="0" w:right="0" w:hanging="0"/>
        <w:jc w:val="left"/>
        <w:rPr/>
      </w:pPr>
      <w:r>
        <w:rPr/>
        <w:t>​</w:t>
      </w:r>
    </w:p>
    <w:tbl>
      <w:tblPr>
        <w:tblW w:w="8012" w:type="dxa"/>
        <w:jc w:val="left"/>
        <w:tblInd w:w="0" w:type="dxa"/>
        <w:tblLayout w:type="fixed"/>
        <w:tblCellMar>
          <w:top w:w="0" w:type="dxa"/>
          <w:left w:w="0" w:type="dxa"/>
          <w:bottom w:w="0" w:type="dxa"/>
          <w:right w:w="0" w:type="dxa"/>
        </w:tblCellMar>
      </w:tblPr>
      <w:tblGrid>
        <w:gridCol w:w="6481"/>
        <w:gridCol w:w="153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p>
        </w:tc>
        <w:tc>
          <w:tcPr>
            <w:tcW w:w="1531" w:type="dxa"/>
            <w:tcBorders/>
            <w:vAlign w:val="center"/>
          </w:tcPr>
          <w:p>
            <w:pPr>
              <w:pStyle w:val="TableContents"/>
              <w:bidi w:val="0"/>
              <w:spacing w:before="0" w:after="283"/>
              <w:ind w:left="0" w:right="0" w:hanging="0"/>
              <w:jc w:val="left"/>
              <w:rPr>
                <w:sz w:val="4"/>
                <w:szCs w:val="4"/>
              </w:rPr>
            </w:pPr>
            <w:r>
              <w:rPr>
                <w:sz w:val="4"/>
                <w:szCs w:val="4"/>
              </w:rPr>
            </w:r>
          </w:p>
        </w:tc>
      </w:tr>
      <w:tr>
        <w:trPr/>
        <w:tc>
          <w:tcPr>
            <w:tcW w:w="6481" w:type="dxa"/>
            <w:tcBorders/>
            <w:shd w:fill="C0C0C0"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Company Name</w:t>
            </w:r>
          </w:p>
        </w:tc>
        <w:tc>
          <w:tcPr>
            <w:tcW w:w="1531" w:type="dxa"/>
            <w:tcBorders/>
            <w:shd w:fill="C0C0C0"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Country</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(Asia Pacific Holdings)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(Holdings) Ltd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(NZ)</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New Zealand</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(Shanghai)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Avnet (Tianjin) Logistics Ltd. </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Asia Pte Ltd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Singapore</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ASIC Israel Ltd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Israel</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B.V.</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Netherlands</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Bidco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Business Services GmbH</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Components Israel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Israel</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de Mexico, S.A. de C.V.</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Delaware Holdings, Inc.</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Delaware LLC</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do Brasil Ltda.</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Brazil</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DOO</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Serbia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Electronics Marketing (Australia) Pty Ltd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Australia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Electronics Technology (China)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Electronics Technology (Shenzhen)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Electronics Turkey İthalat İhracat Sanayi ve Ticaret Limited Şirketi</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Turkey</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 Holdings (Japan) Kabushiki Kaisha</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Japan</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 Sp. z.o.o.</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Poland</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Elektronische Bauelemente GmbH</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Austria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France SAS</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GmbH</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GmbH</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Switzerland</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Italy S.r.l.</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Italy</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EMG Ltd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Europe (Branch office in France)</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Europe BV</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Europe TradeCo</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Avnet Finance International S.à r.l. </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Luxembourg</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France S.A.S.</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Group Finance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Malta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Group Holdings LLC</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Holding Europe BV</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Holding South Africa (Pty)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South Africa</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Holdings UK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Holdings, LLC</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Iberia S.L.U.</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Spain</w:t>
            </w:r>
          </w:p>
        </w:tc>
      </w:tr>
      <w:tr>
        <w:trPr/>
        <w:tc>
          <w:tcPr>
            <w:tcW w:w="648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India Private Limited</w:t>
            </w:r>
          </w:p>
        </w:tc>
        <w:tc>
          <w:tcPr>
            <w:tcW w:w="1531" w:type="dxa"/>
            <w:tcBorders>
              <w:bottom w:val="single" w:sz="2" w:space="0" w:color="C0C0C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India</w:t>
            </w:r>
          </w:p>
        </w:tc>
      </w:tr>
    </w:tbl>
    <w:p>
      <w:pPr>
        <w:pStyle w:val="HorizontalLine"/>
        <w:pBdr>
          <w:bottom w:val="double" w:sz="2" w:space="0" w:color="808080"/>
        </w:pBdr>
        <w:bidi w:val="0"/>
        <w:spacing w:before="0" w:after="283"/>
        <w:jc w:val="left"/>
        <w:rPr/>
      </w:pPr>
      <w:r>
        <w:rPr/>
      </w:r>
    </w:p>
    <w:tbl>
      <w:tblPr>
        <w:tblW w:w="7742" w:type="dxa"/>
        <w:jc w:val="left"/>
        <w:tblInd w:w="0" w:type="dxa"/>
        <w:tblLayout w:type="fixed"/>
        <w:tblCellMar>
          <w:top w:w="0" w:type="dxa"/>
          <w:left w:w="0" w:type="dxa"/>
          <w:bottom w:w="28" w:type="dxa"/>
          <w:right w:w="0" w:type="dxa"/>
        </w:tblCellMar>
      </w:tblPr>
      <w:tblGrid>
        <w:gridCol w:w="5251"/>
        <w:gridCol w:w="2491"/>
      </w:tblGrid>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Integrated Solutions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Integrated Solutions IC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International (Canada)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International Holdings UK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International, LLC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Kabushiki Kaisha</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Japan</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Korea, Inc.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Korea, Republic of</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Ireland</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Logistics Bernburg GmbH &amp; Co. KG</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Logistics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Malaysia Sdn Bhd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Malaysia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Avnet Mexicana S. de R.L. de C.V. </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Nortec AB</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Sweden</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Nortec ApS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Denmark</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Nortec AS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Norway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Nortec Oy</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Finland</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Overseas Holdings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Malta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Philippines Pty Ltd., Inc.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Philippines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Receivables Corporation</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SellCo B.V.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Netherlands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Services S. de R.L. de C.V.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South Africa (Pty)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South Africa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Sunrise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SUPPLY CHAIN SOLUTIONS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Ireland</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Technology (Thailand)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Thailand</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Technology Electronics Marketing (Taiwan) Co.,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Taiwan (Province of China)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Technology Hong Kong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Technology Solutions (China)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Technology Solutions (Tianjin)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Avnet, Inc.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AVT Holdings LLC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Beijing Vanda Yunda IT Services Co., Ltd </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Bell Microproducts Brazil Holdings, LLC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Bell Microproducts Mexico Shareholder, LLC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CELDIS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CM Satellite Systems, Inc.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COMBINED PRECISION COMPONENTS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ApS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Denmark</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EOOD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Bulgaria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Israel (2008)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Israel</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Kft</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Hungary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OÜ</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Estonia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S.r.l.</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Italy</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S.R.L.</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Romania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s.r.o.</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Slovakia</w:t>
            </w:r>
          </w:p>
        </w:tc>
      </w:tr>
      <w:tr>
        <w:trPr/>
        <w:tc>
          <w:tcPr>
            <w:tcW w:w="525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SAS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bl>
    <w:p>
      <w:pPr>
        <w:pStyle w:val="HorizontalLine"/>
        <w:pBdr>
          <w:bottom w:val="double" w:sz="2" w:space="0" w:color="808080"/>
        </w:pBdr>
        <w:bidi w:val="0"/>
        <w:spacing w:before="0" w:after="283"/>
        <w:jc w:val="left"/>
        <w:rPr/>
      </w:pPr>
      <w:r>
        <w:rPr/>
      </w:r>
    </w:p>
    <w:tbl>
      <w:tblPr>
        <w:tblW w:w="6887" w:type="dxa"/>
        <w:jc w:val="left"/>
        <w:tblInd w:w="0" w:type="dxa"/>
        <w:tblLayout w:type="fixed"/>
        <w:tblCellMar>
          <w:top w:w="0" w:type="dxa"/>
          <w:left w:w="0" w:type="dxa"/>
          <w:bottom w:w="28" w:type="dxa"/>
          <w:right w:w="0" w:type="dxa"/>
        </w:tblCellMar>
      </w:tblPr>
      <w:tblGrid>
        <w:gridCol w:w="4396"/>
        <w:gridCol w:w="2491"/>
      </w:tblGrid>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sp. z o.o.</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Spain S.L.</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Spain</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spol. s r.o.</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Czech Republic</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Ticaret Limited Sirketi</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Turkey</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TOV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Ukraine</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Druzba Za Posredovanje D.O.O.</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Slovenia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Elektronik, Unipessoal Lda,</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Portugal</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Erste Holding GmbH &amp; Co. KG</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 Management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EBV-Elektronik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Austria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Electrolink (PTY)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South Africa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Electron House (Overseas)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 14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 14 sp. zoo</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Poland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Asia Pte.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Singapore</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de Mexico, S. de R.L de C.V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Electronics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Ireland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Finance UK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Holding BV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Netherlands</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India Pvt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India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New Zealand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Korea, Republic of</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Pte.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Singapore</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Pty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Australia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Sdn. Bhd.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Malaysia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US Holdings Inc.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Element14. S. de R.L. de C.V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eluomeng Electronics (China) Co. Ltd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Eluomeng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Eluomeng Limited Company</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Taiwan (Province of China)</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Erste TENVA Property BV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(BELGIUM)</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(FRANCE) SAS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(NETHERLANDS) B.V.</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Netherlands</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AG</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Switzerland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COMPONENTS (IRELAND)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Ireland</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COMPONENTS AB</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Sweden</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COMPONENTS SL</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Spain</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DANMARK A/S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Denmark</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GMBH</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HOLDING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ITALIA SRL</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Italy</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Japan Godo Kaisha</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Japan</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FARNELL OVERSEAS</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Import Holdings LLC</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INONE HOLDINGS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Kent One Corporation</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4396"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Memec Group Holdings Limited</w:t>
            </w:r>
          </w:p>
        </w:tc>
        <w:tc>
          <w:tcPr>
            <w:tcW w:w="249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bl>
    <w:p>
      <w:pPr>
        <w:pStyle w:val="HorizontalLine"/>
        <w:pBdr>
          <w:bottom w:val="double" w:sz="2" w:space="0" w:color="808080"/>
        </w:pBdr>
        <w:bidi w:val="0"/>
        <w:spacing w:before="0" w:after="283"/>
        <w:jc w:val="left"/>
        <w:rPr/>
      </w:pPr>
      <w:r>
        <w:rPr/>
      </w:r>
    </w:p>
    <w:tbl>
      <w:tblPr>
        <w:tblW w:w="8702" w:type="dxa"/>
        <w:jc w:val="left"/>
        <w:tblInd w:w="0" w:type="dxa"/>
        <w:tblLayout w:type="fixed"/>
        <w:tblCellMar>
          <w:top w:w="0" w:type="dxa"/>
          <w:left w:w="0" w:type="dxa"/>
          <w:bottom w:w="28" w:type="dxa"/>
          <w:right w:w="0" w:type="dxa"/>
        </w:tblCellMar>
      </w:tblPr>
      <w:tblGrid>
        <w:gridCol w:w="7171"/>
        <w:gridCol w:w="1531"/>
      </w:tblGrid>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Memec Group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Memec Pty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Australia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Mexico Holdings LLC</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Newark Corporation</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Newark Electronics Corporation</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OY FARNELL (FINLAND) AB</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Finland</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(SCOTLAND)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Canada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Canada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Corp.</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PENSION FUNDING SCOTTISH LIMITED PARTNERSHIP</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PENSION TRUSTEES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Properties Inc.</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PREMIER FARNELL UK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Priya Softweb Solutions Pvt. Ltd. </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India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SEC International Holding Company II, L.L.C.</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Shanghai FR International Trading Co., Ltd.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Société Civile Immobilière du 22 rue de Dames</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Softweb Solutions Inc. </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Belgium BV</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Eschbach GmbH &amp; Co. KG</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Financial Management BV</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Holding Germany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INVESTMENTS BV</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Belgium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Tenva Management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Tria Boards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Tria Boards Ltd. </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Malta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Tria Systems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Tria Technologies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UAB "EBV Elektronik"</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Lithuania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Vanda Computer System Integration (Shanghai) Company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China</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Venezuelan Partner B.V.</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Netherlands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Witekio Corporation</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States</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Witekio France SAS</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Witekio GmbH</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Witekio Holding </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France</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Witekio UK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United Kingdom</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YEL Electronics Hong Kong Limited</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Hong Kong</w:t>
            </w:r>
          </w:p>
        </w:tc>
      </w:tr>
      <w:tr>
        <w:trPr/>
        <w:tc>
          <w:tcPr>
            <w:tcW w:w="717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ZWEITE TENVA Property GmbH Im Technologiepark</w:t>
            </w:r>
          </w:p>
        </w:tc>
        <w:tc>
          <w:tcPr>
            <w:tcW w:w="1531" w:type="dxa"/>
            <w:tcBorders>
              <w:bottom w:val="single" w:sz="2" w:space="0" w:color="C0C0C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Germany</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3155" w:name="avt-20260627xex23d1.htm"/>
      <w:bookmarkStart w:id="3156" w:name="ksavt20260627xex23d1"/>
      <w:bookmarkEnd w:id="3155"/>
      <w:bookmarkEnd w:id="3156"/>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bookmarkStart w:id="3157" w:name="Exhibit_231"/>
      <w:bookmarkEnd w:id="3157"/>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Board of Directors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(Nos. 333-262380; 333-228875; 333-214887) of Avnet, Inc. of our report dated August 14, 2026 relating to the financial statements, financial statement schedule and the effectiveness of internal control over financial reporting, which appears in this Form 10-K.</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3158" w:name="avt-20260627xex23d2.htm"/>
      <w:bookmarkStart w:id="3159" w:name="ksavt20260627xex23d2"/>
      <w:bookmarkEnd w:id="3158"/>
      <w:bookmarkEnd w:id="3159"/>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23.2</w:t>
      </w:r>
    </w:p>
    <w:p>
      <w:pPr>
        <w:pStyle w:val="TextBody"/>
        <w:bidi w:val="0"/>
        <w:spacing w:before="0" w:after="200"/>
        <w:ind w:left="0" w:right="0" w:hanging="0"/>
        <w:jc w:val="center"/>
        <w:rPr/>
      </w:pPr>
      <w:r>
        <w:rPr/>
        <w: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Consent of Independent Registered Public Accounting Firm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consent to the incorporation by reference in the registration statements (Nos. 333-208009, 333-227100 and 333-262379) on Form S-3 and the registration statements (Nos. 333-262380, 333-228875 and 333-214887) on Forms S-8 of our report dated August 15, 2025, with respect to the consolidated financial statements of Avnet, Inc.</w:t>
      </w:r>
    </w:p>
    <w:p>
      <w:pPr>
        <w:pStyle w:val="TextBody"/>
        <w:bidi w:val="0"/>
        <w:spacing w:before="0" w:after="0"/>
        <w:ind w:left="0" w:right="0" w:hanging="0"/>
        <w:jc w:val="left"/>
        <w:rPr/>
      </w:pPr>
      <w:bookmarkStart w:id="3160" w:name="Exhibit_2311"/>
      <w:bookmarkEnd w:id="3160"/>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left"/>
        <w:rPr/>
      </w:pPr>
      <w:bookmarkStart w:id="3161" w:name="avt-20260627xex31d1.htm"/>
      <w:bookmarkStart w:id="3162" w:name="ksavt20260627xex31d1"/>
      <w:bookmarkEnd w:id="3161"/>
      <w:bookmarkEnd w:id="3162"/>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3163" w:name="Exhibit_311"/>
      <w:bookmarkEnd w:id="3163"/>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Philip R. Gallagher, certify that:</w:t>
      </w:r>
    </w:p>
    <w:p>
      <w:pPr>
        <w:pStyle w:val="TextBody"/>
        <w:bidi w:val="0"/>
        <w:spacing w:before="0" w:after="0"/>
        <w:ind w:left="0" w:right="0" w:hanging="0"/>
        <w:jc w:val="left"/>
        <w:rPr/>
      </w:pPr>
      <w:r>
        <w:rPr/>
        <w:t>​</w:t>
      </w:r>
    </w:p>
    <w:tbl>
      <w:tblPr>
        <w:tblW w:w="5328" w:type="dxa"/>
        <w:jc w:val="left"/>
        <w:tblInd w:w="0" w:type="dxa"/>
        <w:tblLayout w:type="fixed"/>
        <w:tblCellMar>
          <w:top w:w="0" w:type="dxa"/>
          <w:left w:w="0" w:type="dxa"/>
          <w:bottom w:w="0" w:type="dxa"/>
          <w:right w:w="0" w:type="dxa"/>
        </w:tblCellMar>
      </w:tblPr>
      <w:tblGrid>
        <w:gridCol w:w="23"/>
        <w:gridCol w:w="17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Avnet, Inc.;</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6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6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9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pBdr/>
        <w:bidi w:val="0"/>
        <w:spacing w:before="0" w:after="0"/>
        <w:ind w:left="2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4366" w:type="dxa"/>
        <w:jc w:val="center"/>
        <w:tblInd w:w="0" w:type="dxa"/>
        <w:tblLayout w:type="fixed"/>
        <w:tblCellMar>
          <w:top w:w="0" w:type="dxa"/>
          <w:left w:w="0" w:type="dxa"/>
          <w:bottom w:w="0" w:type="dxa"/>
          <w:right w:w="0" w:type="dxa"/>
        </w:tblCellMar>
      </w:tblPr>
      <w:tblGrid>
        <w:gridCol w:w="1035"/>
        <w:gridCol w:w="915"/>
        <w:gridCol w:w="2416"/>
      </w:tblGrid>
      <w:tr>
        <w:trPr/>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57225" cy="175260"/>
                      <wp:effectExtent l="0" t="0" r="0" b="0"/>
                      <wp:wrapNone/>
                      <wp:docPr id="597" name="Frame596"/>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581025" cy="175260"/>
                      <wp:effectExtent l="0" t="0" r="0" b="0"/>
                      <wp:wrapNone/>
                      <wp:docPr id="598" name="Frame597"/>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534795" cy="175260"/>
                      <wp:effectExtent l="0" t="0" r="0" b="0"/>
                      <wp:wrapNone/>
                      <wp:docPr id="599" name="Frame598"/>
                      <a:graphic xmlns:a="http://schemas.openxmlformats.org/drawingml/2006/main">
                        <a:graphicData uri="http://schemas.microsoft.com/office/word/2010/wordprocessingShape">
                          <wps:wsp>
                            <wps:cNvSpPr txBox="1"/>
                            <wps:spPr>
                              <a:xfrm>
                                <a:off x="0" y="0"/>
                                <a:ext cx="153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2416" w:type="dxa"/>
            <w:tcBorders/>
            <w:vAlign w:val="center"/>
          </w:tcPr>
          <w:p>
            <w:pPr>
              <w:pStyle w:val="TableContents"/>
              <w:bidi w:val="0"/>
              <w:spacing w:before="0" w:after="0"/>
              <w:ind w:left="0" w:right="0" w:hanging="0"/>
              <w:jc w:val="left"/>
              <w:rPr/>
            </w:pPr>
            <w:r>
              <w:rPr/>
              <w:t>​</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416"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left"/>
        <w:rPr/>
      </w:pPr>
      <w:bookmarkStart w:id="3164" w:name="avt-20260627xex31d2.htm"/>
      <w:bookmarkStart w:id="3165" w:name="ksavt20260627xex31d2"/>
      <w:bookmarkEnd w:id="3164"/>
      <w:bookmarkEnd w:id="3165"/>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bookmarkStart w:id="3166" w:name="Exhibit_312"/>
      <w:bookmarkEnd w:id="3166"/>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Kenneth A. Jacobson, certify that:</w:t>
      </w:r>
    </w:p>
    <w:p>
      <w:pPr>
        <w:pStyle w:val="TextBody"/>
        <w:bidi w:val="0"/>
        <w:spacing w:before="0" w:after="0"/>
        <w:ind w:left="0" w:right="0" w:hanging="0"/>
        <w:jc w:val="left"/>
        <w:rPr/>
      </w:pPr>
      <w:r>
        <w:rPr/>
        <w:t>​</w:t>
      </w:r>
    </w:p>
    <w:tbl>
      <w:tblPr>
        <w:tblW w:w="5328" w:type="dxa"/>
        <w:jc w:val="left"/>
        <w:tblInd w:w="0" w:type="dxa"/>
        <w:tblLayout w:type="fixed"/>
        <w:tblCellMar>
          <w:top w:w="0" w:type="dxa"/>
          <w:left w:w="0" w:type="dxa"/>
          <w:bottom w:w="0" w:type="dxa"/>
          <w:right w:w="0" w:type="dxa"/>
        </w:tblCellMar>
      </w:tblPr>
      <w:tblGrid>
        <w:gridCol w:w="23"/>
        <w:gridCol w:w="17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Avnet, Inc.;</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6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64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pBdr/>
        <w:bidi w:val="0"/>
        <w:spacing w:before="0" w:after="0"/>
        <w:ind w:left="5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4501" w:type="dxa"/>
        <w:jc w:val="center"/>
        <w:tblInd w:w="0" w:type="dxa"/>
        <w:tblLayout w:type="fixed"/>
        <w:tblCellMar>
          <w:top w:w="0" w:type="dxa"/>
          <w:left w:w="0" w:type="dxa"/>
          <w:bottom w:w="0" w:type="dxa"/>
          <w:right w:w="0" w:type="dxa"/>
        </w:tblCellMar>
      </w:tblPr>
      <w:tblGrid>
        <w:gridCol w:w="1035"/>
        <w:gridCol w:w="915"/>
        <w:gridCol w:w="2551"/>
      </w:tblGrid>
      <w:tr>
        <w:trPr/>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57225" cy="175260"/>
                      <wp:effectExtent l="0" t="0" r="0" b="0"/>
                      <wp:wrapNone/>
                      <wp:docPr id="600" name="Frame599"/>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581025" cy="175260"/>
                      <wp:effectExtent l="0" t="0" r="0" b="0"/>
                      <wp:wrapNone/>
                      <wp:docPr id="601" name="Frame600"/>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619885" cy="175260"/>
                      <wp:effectExtent l="0" t="0" r="0" b="0"/>
                      <wp:wrapNone/>
                      <wp:docPr id="602" name="Frame60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0"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2551" w:type="dxa"/>
            <w:tcBorders/>
            <w:vAlign w:val="center"/>
          </w:tcPr>
          <w:p>
            <w:pPr>
              <w:pStyle w:val="TableContents"/>
              <w:bidi w:val="0"/>
              <w:spacing w:before="0" w:after="0"/>
              <w:ind w:left="0" w:right="0" w:hanging="0"/>
              <w:jc w:val="left"/>
              <w:rPr/>
            </w:pPr>
            <w:r>
              <w:rPr/>
              <w:t>​</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3167" w:name="avt-20260627xex32d1.htm"/>
      <w:bookmarkStart w:id="3168" w:name="ksavt20260627xex32d1"/>
      <w:bookmarkEnd w:id="3167"/>
      <w:bookmarkEnd w:id="316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3169" w:name="Exhibit_321"/>
      <w:bookmarkEnd w:id="3169"/>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10-K for the year ended June 27, 2026 (the “Report”), I, Philip R. Gallagher, Chief Executive Officer of Avnet, Inc. (the “Company”) hereby certify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78740" cy="175260"/>
                      <wp:effectExtent l="0" t="0" r="0" b="0"/>
                      <wp:wrapNone/>
                      <wp:docPr id="603" name="Frame60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9215" cy="175260"/>
                      <wp:effectExtent l="0" t="0" r="0" b="0"/>
                      <wp:wrapNone/>
                      <wp:docPr id="604" name="Frame6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97790" cy="175260"/>
                      <wp:effectExtent l="0" t="0" r="0" b="0"/>
                      <wp:wrapNone/>
                      <wp:docPr id="605" name="Frame60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47955" cy="1613535"/>
                      <wp:effectExtent l="0" t="0" r="0" b="0"/>
                      <wp:wrapNone/>
                      <wp:docPr id="606" name="Frame605"/>
                      <a:graphic xmlns:a="http://schemas.openxmlformats.org/drawingml/2006/main">
                        <a:graphicData uri="http://schemas.microsoft.com/office/word/2010/wordprocessingShape">
                          <wps:wsp>
                            <wps:cNvSpPr txBox="1"/>
                            <wps:spPr>
                              <a:xfrm>
                                <a:off x="0" y="0"/>
                                <a:ext cx="147955" cy="161353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27.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97790" cy="175260"/>
                      <wp:effectExtent l="0" t="0" r="0" b="0"/>
                      <wp:wrapNone/>
                      <wp:docPr id="607" name="Frame6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78740" cy="175260"/>
                      <wp:effectExtent l="0" t="0" r="0" b="0"/>
                      <wp:wrapNone/>
                      <wp:docPr id="608" name="Frame60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215" cy="175260"/>
                      <wp:effectExtent l="0" t="0" r="0" b="0"/>
                      <wp:wrapNone/>
                      <wp:docPr id="609" name="Frame6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8" w:space="0" w:color="000000"/>
            </w:tcBorders>
            <w:tcMar>
              <w:bottom w:w="4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97790" cy="2787015"/>
                      <wp:effectExtent l="0" t="0" r="0" b="0"/>
                      <wp:wrapNone/>
                      <wp:docPr id="610" name="Frame609"/>
                      <a:graphic xmlns:a="http://schemas.openxmlformats.org/drawingml/2006/main">
                        <a:graphicData uri="http://schemas.microsoft.com/office/word/2010/wordprocessingShape">
                          <wps:wsp>
                            <wps:cNvSpPr txBox="1"/>
                            <wps:spPr>
                              <a:xfrm>
                                <a:off x="0" y="0"/>
                                <a:ext cx="97790" cy="278701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78740" cy="175260"/>
                      <wp:effectExtent l="0" t="0" r="0" b="0"/>
                      <wp:wrapNone/>
                      <wp:docPr id="611" name="Frame6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9215" cy="175260"/>
                      <wp:effectExtent l="0" t="0" r="0" b="0"/>
                      <wp:wrapNone/>
                      <wp:docPr id="612"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97790" cy="2053590"/>
                      <wp:effectExtent l="0" t="0" r="0" b="0"/>
                      <wp:wrapNone/>
                      <wp:docPr id="613" name="Frame612"/>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78740" cy="175260"/>
                      <wp:effectExtent l="0" t="0" r="0" b="0"/>
                      <wp:wrapNone/>
                      <wp:docPr id="614" name="Frame6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9215" cy="175260"/>
                      <wp:effectExtent l="0" t="0" r="0" b="0"/>
                      <wp:wrapNone/>
                      <wp:docPr id="615"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97790" cy="2493645"/>
                      <wp:effectExtent l="0" t="0" r="0" b="0"/>
                      <wp:wrapNone/>
                      <wp:docPr id="616" name="Frame615"/>
                      <a:graphic xmlns:a="http://schemas.openxmlformats.org/drawingml/2006/main">
                        <a:graphicData uri="http://schemas.microsoft.com/office/word/2010/wordprocessingShape">
                          <wps:wsp>
                            <wps:cNvSpPr txBox="1"/>
                            <wps:spPr>
                              <a:xfrm>
                                <a:off x="0" y="0"/>
                                <a:ext cx="97790" cy="24936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left"/>
        <w:rPr/>
      </w:pPr>
      <w:bookmarkStart w:id="3170" w:name="avt-20260627xex32d2.htm"/>
      <w:bookmarkStart w:id="3171" w:name="ksavt20260627xex32d2"/>
      <w:bookmarkEnd w:id="3170"/>
      <w:bookmarkEnd w:id="3171"/>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bookmarkStart w:id="3172" w:name="Exhibit_322"/>
      <w:bookmarkEnd w:id="3172"/>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on Form 10-K for the year ended June 27, 2026 (the “Report”), I, Kenneth A. Jacobson, Chief Financial Officer of Avnet, Inc. (the “Company”) hereby certify that:</w:t>
      </w:r>
    </w:p>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p>
      <w:pPr>
        <w:pStyle w:val="TextBody"/>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4501" w:type="dxa"/>
        <w:jc w:val="center"/>
        <w:tblInd w:w="0" w:type="dxa"/>
        <w:tblLayout w:type="fixed"/>
        <w:tblCellMar>
          <w:top w:w="0" w:type="dxa"/>
          <w:left w:w="0" w:type="dxa"/>
          <w:bottom w:w="0" w:type="dxa"/>
          <w:right w:w="0" w:type="dxa"/>
        </w:tblCellMar>
      </w:tblPr>
      <w:tblGrid>
        <w:gridCol w:w="1035"/>
        <w:gridCol w:w="915"/>
        <w:gridCol w:w="2551"/>
      </w:tblGrid>
      <w:tr>
        <w:trPr/>
        <w:tc>
          <w:tcPr>
            <w:tcW w:w="1035" w:type="dxa"/>
            <w:tcBorders/>
            <w:vAlign w:val="center"/>
          </w:tcPr>
          <w:p>
            <w:pPr>
              <w:pStyle w:val="TableContents"/>
              <w:bidi w:val="0"/>
              <w:spacing w:before="0" w:after="0"/>
              <w:ind w:left="0" w:right="0" w:hanging="0"/>
              <w:jc w:val="left"/>
              <w:rPr/>
            </w:pPr>
            <w:bookmarkStart w:id="3173" w:name="CellsToJoin"/>
            <w:bookmarkStart w:id="3174" w:name="StartOfCellsToJoin"/>
            <w:bookmarkEnd w:id="3173"/>
            <w:bookmarkEnd w:id="3174"/>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9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2551" w:type="dxa"/>
            <w:tcBorders/>
            <w:vAlign w:val="center"/>
          </w:tcPr>
          <w:p>
            <w:pPr>
              <w:pStyle w:val="TableContents"/>
              <w:bidi w:val="0"/>
              <w:spacing w:before="0" w:after="0"/>
              <w:ind w:left="0" w:right="0" w:hanging="0"/>
              <w:jc w:val="left"/>
              <w:rPr/>
            </w:pPr>
            <w:r>
              <w:rPr/>
              <w:t>​</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03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Helvetica">
    <w:altName w:val="Arial"/>
    <w:charset w:val="01"/>
    <w:family w:val="auto"/>
    <w:pitch w:val="default"/>
  </w:font>
  <w:font w:name="Arial">
    <w:altName w:val="Helvetica"/>
    <w:charset w:val="01"/>
    <w:family w:val="auto"/>
    <w:pitch w:val="default"/>
  </w:font>
  <w:font w:name="12">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858/000095015301000138/p64582ex3-i.txt" TargetMode="External"/><Relationship Id="rId4" Type="http://schemas.openxmlformats.org/officeDocument/2006/relationships/hyperlink" Target="https://www.sec.gov/Archives/edgar/data/8858/000110465923063702/tm2316137d1_ex3-1.htm" TargetMode="External"/><Relationship Id="rId5" Type="http://schemas.openxmlformats.org/officeDocument/2006/relationships/hyperlink" Target="https://www.sec.gov/Archives/edgar/data/8858/000000885819000035/avt-20190629ex41617fba7.htm" TargetMode="External"/><Relationship Id="rId6" Type="http://schemas.openxmlformats.org/officeDocument/2006/relationships/hyperlink" Target="http://www.sec.gov/Archives/edgar/data/8858/000129993310002436/exhibit2.htm" TargetMode="External"/><Relationship Id="rId7" Type="http://schemas.openxmlformats.org/officeDocument/2006/relationships/hyperlink" Target="https://www.sec.gov/Archives/edgar/data/8858/000000885825000047/avt-20250902xex4d1.htm" TargetMode="External"/><Relationship Id="rId8" Type="http://schemas.openxmlformats.org/officeDocument/2006/relationships/hyperlink" Target="http://www.sec.gov/Archives/edgar/data/8858/000119312516513440/d168900dex41.htm" TargetMode="External"/><Relationship Id="rId9" Type="http://schemas.openxmlformats.org/officeDocument/2006/relationships/hyperlink" Target="https://www.sec.gov/Archives/edgar/data/8858/000119312521151797/d402267dex41.htm" TargetMode="External"/><Relationship Id="rId10" Type="http://schemas.openxmlformats.org/officeDocument/2006/relationships/hyperlink" Target="https://www.sec.gov/Archives/edgar/data/8858/000119312522151688/d318193dex41.htm" TargetMode="External"/><Relationship Id="rId11" Type="http://schemas.openxmlformats.org/officeDocument/2006/relationships/hyperlink" Target="https://www.sec.gov/Archives/edgar/data/8858/000119312523064179/d472755dex41.htm" TargetMode="External"/><Relationship Id="rId12" Type="http://schemas.openxmlformats.org/officeDocument/2006/relationships/hyperlink" Target="https://www.sec.gov/Archives/edgar/data/0000008858/000000885821000011/avt-20210102ex1023253bd.htm" TargetMode="External"/><Relationship Id="rId13" Type="http://schemas.openxmlformats.org/officeDocument/2006/relationships/hyperlink" Target="https://www.sec.gov/Archives/edgar/data/8858/000110465922097851/tm2225127d1_ex10-2.htm" TargetMode="External"/><Relationship Id="rId14" Type="http://schemas.openxmlformats.org/officeDocument/2006/relationships/hyperlink" Target="https://www.sec.gov/Archives/edgar/data/8858/000110465922097851/tm2225127d1_ex10-2.htm" TargetMode="External"/><Relationship Id="rId15" Type="http://schemas.openxmlformats.org/officeDocument/2006/relationships/hyperlink" Target="https://www.sec.gov/Archives/edgar/data/8858/000110465922097851/tm2225127d1_ex10-2.htm" TargetMode="External"/><Relationship Id="rId16" Type="http://schemas.openxmlformats.org/officeDocument/2006/relationships/hyperlink" Target="http://www.sec.gov/Archives/edgar/data/8858/000000885817000057/avt-20170701ex10230ec10.htm" TargetMode="External"/><Relationship Id="rId17" Type="http://schemas.openxmlformats.org/officeDocument/2006/relationships/hyperlink" Target="https://www.sec.gov/Archives/edgar/data/8858/000129993311000487/exhibit3.htm" TargetMode="External"/><Relationship Id="rId18" Type="http://schemas.openxmlformats.org/officeDocument/2006/relationships/hyperlink" Target="https://www.sec.gov/Archives/edgar/data/8858/000000885823000039/avt-20230930xex10d1.htm" TargetMode="External"/><Relationship Id="rId19" Type="http://schemas.openxmlformats.org/officeDocument/2006/relationships/hyperlink" Target="http://www.sec.gov/Archives/edgar/data/8858/000000885817000072/avt-20170930ex10184795b.htm" TargetMode="External"/><Relationship Id="rId20" Type="http://schemas.openxmlformats.org/officeDocument/2006/relationships/hyperlink" Target="http://www.sec.gov/Archives/edgar/data/8858/000000885813000011/avt-20130629x10kxexh1013.htm" TargetMode="External"/><Relationship Id="rId21" Type="http://schemas.openxmlformats.org/officeDocument/2006/relationships/hyperlink" Target="http://www.sec.gov/Archives/edgar/data/8858/000000885813000011/avt-20130629x10kxexh1014.htm" TargetMode="External"/><Relationship Id="rId22" Type="http://schemas.openxmlformats.org/officeDocument/2006/relationships/hyperlink" Target="http://www.sec.gov/Archives/edgar/data/8858/000000885818000047/avt-20180630ex101299a27.htm" TargetMode="External"/><Relationship Id="rId23" Type="http://schemas.openxmlformats.org/officeDocument/2006/relationships/hyperlink" Target="https://www.sec.gov/Archives/edgar/data/8858/000000885822000020/avt-20220402ex1020aefc0.htm" TargetMode="External"/><Relationship Id="rId24" Type="http://schemas.openxmlformats.org/officeDocument/2006/relationships/hyperlink" Target="https://www.sec.gov/Archives/edgar/data/8858/000000885822000020/avt-20220402ex103a0fa69.htm" TargetMode="External"/><Relationship Id="rId25" Type="http://schemas.openxmlformats.org/officeDocument/2006/relationships/hyperlink" Target="https://www.sec.gov/Archives/edgar/data/8858/000000885822000020/avt-20220402ex103b06cca.htm" TargetMode="External"/><Relationship Id="rId26" Type="http://schemas.openxmlformats.org/officeDocument/2006/relationships/hyperlink" Target="https://www.sec.gov/Archives/edgar/data/8858/000000885822000020/avt-20220402ex103c6a540.htm" TargetMode="External"/><Relationship Id="rId27" Type="http://schemas.openxmlformats.org/officeDocument/2006/relationships/hyperlink" Target="http://www.sec.gov/Archives/edgar/data/8858/000000885818000047/avt-20180630ex105ad19f1.htm" TargetMode="External"/><Relationship Id="rId28" Type="http://schemas.openxmlformats.org/officeDocument/2006/relationships/hyperlink" Target="http://www.sec.gov/Archives/edgar/data/8858/000000885818000050/avt-20180816ex102b7d7a9.htm" TargetMode="External"/><Relationship Id="rId29" Type="http://schemas.openxmlformats.org/officeDocument/2006/relationships/hyperlink" Target="https://www.sec.gov/Archives/edgar/data/8858/000110465920091427/tm2026286d1_10-2.htm" TargetMode="External"/><Relationship Id="rId30" Type="http://schemas.openxmlformats.org/officeDocument/2006/relationships/hyperlink" Target="http://www.sec.gov/Archives/edgar/data/8858/000000885818000050/avt-20180816ex1013240f4.htm" TargetMode="External"/><Relationship Id="rId31" Type="http://schemas.openxmlformats.org/officeDocument/2006/relationships/hyperlink" Target="http://www.sec.gov/Archives/edgar/data/8858/000000885820000019/avt-20200328ex101018879.htm" TargetMode="External"/><Relationship Id="rId32" Type="http://schemas.openxmlformats.org/officeDocument/2006/relationships/hyperlink" Target="https://www.sec.gov/Archives/edgar/data/8858/000110465920091427/tm2026286d1_10-1.htm" TargetMode="External"/><Relationship Id="rId33" Type="http://schemas.openxmlformats.org/officeDocument/2006/relationships/hyperlink" Target="https://www.sec.gov/Archives/edgar/data/8858/000000885822000031/avt-20220702xex10d18b4.htm" TargetMode="External"/><Relationship Id="rId34" Type="http://schemas.openxmlformats.org/officeDocument/2006/relationships/hyperlink" Target="https://www.sec.gov/Archives/edgar/data/8858/000110465921107076/tm2125327d1_ex10-1.htm" TargetMode="External"/><Relationship Id="rId35" Type="http://schemas.openxmlformats.org/officeDocument/2006/relationships/hyperlink" Target="https://www.sec.gov/Archives/edgar/data/8858/000000885822000020/avt-20220402ex1013726ef.htm" TargetMode="External"/><Relationship Id="rId36" Type="http://schemas.openxmlformats.org/officeDocument/2006/relationships/hyperlink" Target="https://www.sec.gov/Archives/edgar/data/8858/000110465922128735/tm2233169d1_ex10-1.htm" TargetMode="External"/><Relationship Id="rId37" Type="http://schemas.openxmlformats.org/officeDocument/2006/relationships/hyperlink" Target="https://www.sec.gov/Archives/edgar/data/8858/000000885823000029/avt-20230701xex10d17b8.htm" TargetMode="External"/><Relationship Id="rId38" Type="http://schemas.openxmlformats.org/officeDocument/2006/relationships/hyperlink" Target="https://www.sec.gov/Archives/edgar/data/8858/000000885824000046/avt-20241206xex10d1.htm" TargetMode="External"/><Relationship Id="rId39" Type="http://schemas.openxmlformats.org/officeDocument/2006/relationships/hyperlink" Target="https://www.sec.gov/Archives/edgar/data/8858/000000885826000062/avt-20260701xex10d1.htm" TargetMode="External"/><Relationship Id="rId40" Type="http://schemas.openxmlformats.org/officeDocument/2006/relationships/hyperlink" Target="https://www.sec.gov/Archives/edgar/data/8858/000000885825000002/avt-20250117xex10d1.htm" TargetMode="External"/><Relationship Id="rId41" Type="http://schemas.openxmlformats.org/officeDocument/2006/relationships/hyperlink" Target="https://www.sec.gov/Archives/edgar/data/8858/000000885825000043/avt-20250828xex10d1.htm" TargetMode="External"/><Relationship Id="rId42" Type="http://schemas.openxmlformats.org/officeDocument/2006/relationships/hyperlink" Target="https://www.sec.gov/Archives/edgar/data/8858/000000885825000021/avt-20250701xex10d1.htm" TargetMode="External"/><Relationship Id="rId43" Type="http://schemas.openxmlformats.org/officeDocument/2006/relationships/hyperlink" Target="https://www.sec.gov/Archives/edgar/data/8858/000000885825000043/avt-20250828xex10d2.htm" TargetMode="External"/><Relationship Id="rId44" Type="http://schemas.openxmlformats.org/officeDocument/2006/relationships/hyperlink" Target="https://www.sec.gov/Archives/edgar/data/8858/000000885824000030/avt-20240629xex19d1.htm" TargetMode="External"/><Relationship Id="rId45" Type="http://schemas.openxmlformats.org/officeDocument/2006/relationships/hyperlink" Target="https://www.sec.gov/Archives/edgar/data/8858/000000885824000030/avt-20240629xex97d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104050</Words>
  <Characters>569310</Characters>
  <CharactersWithSpaces>676576</CharactersWithSpaces>
  <Paragraphs>12351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