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18" w:space="4" w:color="000000"/>
        </w:pBdr>
        <w:bidi w:val="0"/>
        <w:spacing w:lineRule="atLeast" w:line="142" w:before="80" w:after="0"/>
        <w:ind w:left="0" w:right="0" w:hanging="0"/>
        <w:jc w:val="left"/>
        <w:rPr>
          <w:shd w:fill="00FF00" w:val="clear"/>
        </w:rPr>
      </w:pPr>
      <w:bookmarkStart w:id="0" w:name="avt-20261013x8k.htm"/>
      <w:bookmarkStart w:id="1" w:name="ksavt20261013x8k"/>
      <w:bookmarkEnd w:id="0"/>
      <w:bookmarkEnd w:id="1"/>
      <w:r>
        <w:rPr>
          <w:shd w:fill="00FF00" w:val="clea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64a6a65a_397d_40c0_887d_3db47ccdd5a4"/>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WASHINGTON, D.C. 20549</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__________________</w:t>
      </w:r>
    </w:p>
    <w:p>
      <w:pPr>
        <w:pStyle w:val="TextBody"/>
        <w:bidi w:val="0"/>
        <w:spacing w:before="120" w:after="12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 PURSUANT</w:t>
        <w:br/>
        <w:t>TO SECTION 13 OR 15(d) OF THE</w:t>
        <w:br/>
        <w:t>SECURITIES EXCHANGE ACT OF 1934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__________________</w:t>
      </w:r>
    </w:p>
    <w:p>
      <w:pPr>
        <w:pStyle w:val="TextBody"/>
        <w:bidi w:val="0"/>
        <w:spacing w:before="240" w:after="240"/>
        <w:ind w:left="0" w:right="0" w:hanging="0"/>
        <w:jc w:val="center"/>
        <w:rPr>
          <w:rFonts w:ascii="Times New Roman;Times;serif" w:hAnsi="Times New Roman;Times;serif"/>
          <w:sz w:val="20"/>
        </w:rPr>
      </w:pPr>
      <w:r>
        <w:rPr>
          <w:rFonts w:ascii="Times New Roman;Times;serif" w:hAnsi="Times New Roman;Times;serif"/>
          <w:sz w:val="20"/>
        </w:rPr>
        <w:t>Date of Report (Date of earliest event reported)    </w:t>
      </w:r>
      <w:r>
        <w:rPr>
          <w:rFonts w:ascii="Times New Roman;Times;serif" w:hAnsi="Times New Roman;Times;serif"/>
          <w:b/>
          <w:sz w:val="20"/>
        </w:rPr>
        <w:t>October 13, 2026</w:t>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AVNET,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(Exact name of registrant as specified in its Charter) </w:t>
      </w:r>
    </w:p>
    <w:p>
      <w:pPr>
        <w:pStyle w:val="TextBody"/>
        <w:bidi w:val="0"/>
        <w:spacing w:before="100" w:after="100"/>
        <w:ind w:left="0" w:right="0" w:hanging="0"/>
        <w:jc w:val="center"/>
        <w:rPr/>
      </w:pPr>
      <w:r>
        <w:rPr/>
        <w:t>​</w:t>
      </w:r>
    </w:p>
    <w:p>
      <w:pPr>
        <w:pStyle w:val="Normal"/>
        <w:bidi w:val="0"/>
        <w:spacing w:before="0" w:after="0"/>
        <w:jc w:val="left"/>
        <w:rPr>
          <w:sz w:val="4"/>
          <w:szCs w:val="4"/>
        </w:rPr>
      </w:pPr>
      <w:r>
        <w:rPr>
          <w:sz w:val="4"/>
          <w:szCs w:val="4"/>
        </w:rPr>
      </w:r>
      <w:bookmarkStart w:id="3" w:name="Tc_SUiw4UeEHkaJLIVn_syIqA_3_4"/>
      <w:bookmarkStart w:id="4" w:name="Tc_MLYq4NFrRkWwMaSSTwtTaQ_3_2"/>
      <w:bookmarkStart w:id="5" w:name="Tc_5NslXWcB1UOSde2jq9J0UA_3_0"/>
      <w:bookmarkStart w:id="6" w:name="Tc_czTKPr1peU2uNqM7yzq4jg_2_4"/>
      <w:bookmarkStart w:id="7" w:name="Tc_HLF9ypxk6Ee3RQVcDCpFGQ_2_2"/>
      <w:bookmarkStart w:id="8" w:name="Tc_RPEPK4_Qp0iweUAgXW3auw_2_0"/>
      <w:bookmarkStart w:id="9" w:name="_ab0f8586_d050_40e4_b871_c64a57986b45"/>
      <w:bookmarkStart w:id="10" w:name="Tc_SUiw4UeEHkaJLIVn_syIqA_3_4"/>
      <w:bookmarkStart w:id="11" w:name="Tc_MLYq4NFrRkWwMaSSTwtTaQ_3_2"/>
      <w:bookmarkStart w:id="12" w:name="Tc_5NslXWcB1UOSde2jq9J0UA_3_0"/>
      <w:bookmarkStart w:id="13" w:name="Tc_czTKPr1peU2uNqM7yzq4jg_2_4"/>
      <w:bookmarkStart w:id="14" w:name="Tc_HLF9ypxk6Ee3RQVcDCpFGQ_2_2"/>
      <w:bookmarkStart w:id="15" w:name="Tc_RPEPK4_Qp0iweUAgXW3auw_2_0"/>
      <w:bookmarkStart w:id="16" w:name="_ab0f8586_d050_40e4_b871_c64a57986b45"/>
      <w:bookmarkEnd w:id="10"/>
      <w:bookmarkEnd w:id="11"/>
      <w:bookmarkEnd w:id="12"/>
      <w:bookmarkEnd w:id="13"/>
      <w:bookmarkEnd w:id="14"/>
      <w:bookmarkEnd w:id="15"/>
      <w:bookmarkEnd w:id="16"/>
    </w:p>
    <w:tbl>
      <w:tblPr>
        <w:tblW w:w="5740" w:type="dxa"/>
        <w:jc w:val="left"/>
        <w:tblInd w:w="0" w:type="dxa"/>
        <w:tblLayout w:type="fixed"/>
        <w:tblCellMar>
          <w:top w:w="0" w:type="dxa"/>
          <w:left w:w="0" w:type="dxa"/>
          <w:bottom w:w="0" w:type="dxa"/>
          <w:right w:w="0" w:type="dxa"/>
        </w:tblCellMar>
      </w:tblPr>
      <w:tblGrid>
        <w:gridCol w:w="2251"/>
        <w:gridCol w:w="146"/>
        <w:gridCol w:w="1186"/>
        <w:gridCol w:w="146"/>
        <w:gridCol w:w="2011"/>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429385" cy="29210"/>
                      <wp:effectExtent l="0" t="0" r="0" b="0"/>
                      <wp:wrapNone/>
                      <wp:docPr id="1" name="Frame1"/>
                      <a:graphic xmlns:a="http://schemas.openxmlformats.org/drawingml/2006/main">
                        <a:graphicData uri="http://schemas.microsoft.com/office/word/2010/wordprocessingShape">
                          <wps:wsp>
                            <wps:cNvSpPr txBox="1"/>
                            <wps:spPr>
                              <a:xfrm>
                                <a:off x="0" y="0"/>
                                <a:ext cx="1429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29210"/>
                      <wp:effectExtent l="0" t="0" r="0" b="0"/>
                      <wp:wrapNone/>
                      <wp:docPr id="2" name="Frame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753110" cy="29210"/>
                      <wp:effectExtent l="0" t="0" r="0" b="0"/>
                      <wp:wrapNone/>
                      <wp:docPr id="3" name="Frame3"/>
                      <a:graphic xmlns:a="http://schemas.openxmlformats.org/drawingml/2006/main">
                        <a:graphicData uri="http://schemas.microsoft.com/office/word/2010/wordprocessingShape">
                          <wps:wsp>
                            <wps:cNvSpPr txBox="1"/>
                            <wps:spPr>
                              <a:xfrm>
                                <a:off x="0" y="0"/>
                                <a:ext cx="7531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2710" cy="29210"/>
                      <wp:effectExtent l="0" t="0" r="0" b="0"/>
                      <wp:wrapNone/>
                      <wp:docPr id="4" name="Frame4"/>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76985" cy="29210"/>
                      <wp:effectExtent l="0" t="0" r="0" b="0"/>
                      <wp:wrapNone/>
                      <wp:docPr id="5" name="Frame5"/>
                      <a:graphic xmlns:a="http://schemas.openxmlformats.org/drawingml/2006/main">
                        <a:graphicData uri="http://schemas.microsoft.com/office/word/2010/wordprocessingShape">
                          <wps:wsp>
                            <wps:cNvSpPr txBox="1"/>
                            <wps:spPr>
                              <a:xfrm>
                                <a:off x="0" y="0"/>
                                <a:ext cx="1276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1-4224</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11-1890605</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(Commission</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25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of incorporation)</w:t>
            </w:r>
          </w:p>
        </w:tc>
        <w:tc>
          <w:tcPr>
            <w:tcW w:w="1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File Number)</w:t>
            </w:r>
          </w:p>
        </w:tc>
        <w:tc>
          <w:tcPr>
            <w:tcW w:w="14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Number)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7" w:name="Tc_YmjsDar6lkC0Uq94pN1qCA_2_2"/>
      <w:bookmarkStart w:id="18" w:name="Tc_htORbT_VrkmqyfgAkbtmlg_2_0"/>
      <w:bookmarkStart w:id="19" w:name="Tc_PgpMQ5izBE2vZfCwuEN7Iw_1_0"/>
      <w:bookmarkStart w:id="20" w:name="_d9cab0d2_8891_4be1_9a9b_36716bd92b1e"/>
      <w:bookmarkStart w:id="21" w:name="Tc_YmjsDar6lkC0Uq94pN1qCA_2_2"/>
      <w:bookmarkStart w:id="22" w:name="Tc_htORbT_VrkmqyfgAkbtmlg_2_0"/>
      <w:bookmarkStart w:id="23" w:name="Tc_PgpMQ5izBE2vZfCwuEN7Iw_1_0"/>
      <w:bookmarkStart w:id="24" w:name="_d9cab0d2_8891_4be1_9a9b_36716bd92b1e"/>
      <w:bookmarkEnd w:id="21"/>
      <w:bookmarkEnd w:id="22"/>
      <w:bookmarkEnd w:id="23"/>
      <w:bookmarkEnd w:id="24"/>
    </w:p>
    <w:tbl>
      <w:tblPr>
        <w:tblW w:w="4813" w:type="dxa"/>
        <w:jc w:val="left"/>
        <w:tblInd w:w="0" w:type="dxa"/>
        <w:tblLayout w:type="fixed"/>
        <w:tblCellMar>
          <w:top w:w="0" w:type="dxa"/>
          <w:left w:w="0" w:type="dxa"/>
          <w:bottom w:w="0" w:type="dxa"/>
          <w:right w:w="0" w:type="dxa"/>
        </w:tblCellMar>
      </w:tblPr>
      <w:tblGrid>
        <w:gridCol w:w="3631"/>
        <w:gridCol w:w="146"/>
        <w:gridCol w:w="1036"/>
      </w:tblGrid>
      <w:tr>
        <w:trPr/>
        <w:tc>
          <w:tcPr>
            <w:tcW w:w="3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305685" cy="29210"/>
                      <wp:effectExtent l="0" t="0" r="0" b="0"/>
                      <wp:wrapNone/>
                      <wp:docPr id="6" name="Frame6"/>
                      <a:graphic xmlns:a="http://schemas.openxmlformats.org/drawingml/2006/main">
                        <a:graphicData uri="http://schemas.microsoft.com/office/word/2010/wordprocessingShape">
                          <wps:wsp>
                            <wps:cNvSpPr txBox="1"/>
                            <wps:spPr>
                              <a:xfrm>
                                <a:off x="0" y="0"/>
                                <a:ext cx="2305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92710" cy="29210"/>
                      <wp:effectExtent l="0" t="0" r="0" b="0"/>
                      <wp:wrapNone/>
                      <wp:docPr id="7" name="Frame7"/>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57860" cy="29210"/>
                      <wp:effectExtent l="0" t="0" r="0" b="0"/>
                      <wp:wrapNone/>
                      <wp:docPr id="8" name="Frame8"/>
                      <a:graphic xmlns:a="http://schemas.openxmlformats.org/drawingml/2006/main">
                        <a:graphicData uri="http://schemas.microsoft.com/office/word/2010/wordprocessingShape">
                          <wps:wsp>
                            <wps:cNvSpPr txBox="1"/>
                            <wps:spPr>
                              <a:xfrm>
                                <a:off x="0" y="0"/>
                                <a:ext cx="6578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6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2150 East Warner Road, Tempe, Arizona</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85284</w:t>
            </w:r>
          </w:p>
        </w:tc>
      </w:tr>
      <w:tr>
        <w:trPr/>
        <w:tc>
          <w:tcPr>
            <w:tcW w:w="363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(480) 643-2000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and former address, if changed since last report.)</w:t>
      </w:r>
    </w:p>
    <w:p>
      <w:pPr>
        <w:pStyle w:val="TextBody"/>
        <w:bidi w:val="0"/>
        <w:spacing w:before="0" w:after="0"/>
        <w:ind w:left="0" w:right="0" w:hanging="0"/>
        <w:jc w:val="center"/>
        <w:rPr/>
      </w:pPr>
      <w:r>
        <w:rPr/>
        <w:t>​</w:t>
      </w:r>
    </w:p>
    <w:p>
      <w:pPr>
        <w:pStyle w:val="TextBody"/>
        <w:bidi w:val="0"/>
        <w:spacing w:before="120" w:after="200"/>
        <w:ind w:left="0" w:right="0" w:hanging="0"/>
        <w:jc w:val="center"/>
        <w:rPr>
          <w:rFonts w:ascii="Times New Roman;Times;serif" w:hAnsi="Times New Roman;Times;serif"/>
          <w:sz w:val="20"/>
        </w:rPr>
      </w:pPr>
      <w:r>
        <w:rPr>
          <w:rFonts w:ascii="Times New Roman;Times;serif" w:hAnsi="Times New Roman;Times;serif"/>
          <w:sz w:val="20"/>
        </w:rPr>
        <w:t>Securities registered or to be registered pursuant to Section 12(b) of the Act:</w:t>
      </w:r>
    </w:p>
    <w:p>
      <w:pPr>
        <w:pStyle w:val="Normal"/>
        <w:bidi w:val="0"/>
        <w:spacing w:before="0" w:after="0"/>
        <w:jc w:val="left"/>
        <w:rPr>
          <w:sz w:val="4"/>
          <w:szCs w:val="4"/>
        </w:rPr>
      </w:pPr>
      <w:r>
        <w:rPr>
          <w:sz w:val="4"/>
          <w:szCs w:val="4"/>
        </w:rPr>
      </w:r>
      <w:bookmarkStart w:id="25" w:name="Tc_1cHDpjBXTU-aeqf6VG74Uw_1_4"/>
      <w:bookmarkStart w:id="26" w:name="Tc_42zgYZtPPk67L-m0PLF0Cg_1_2"/>
      <w:bookmarkStart w:id="27" w:name="Tc_PHTpTqj22UyWiTqpf4gPcg_1_0"/>
      <w:bookmarkStart w:id="28" w:name="_dbb3f0ad_fccb_4b86_a055_fa996009dd17"/>
      <w:bookmarkStart w:id="29" w:name="Tc_1cHDpjBXTU-aeqf6VG74Uw_1_4"/>
      <w:bookmarkStart w:id="30" w:name="Tc_42zgYZtPPk67L-m0PLF0Cg_1_2"/>
      <w:bookmarkStart w:id="31" w:name="Tc_PHTpTqj22UyWiTqpf4gPcg_1_0"/>
      <w:bookmarkStart w:id="32" w:name="_dbb3f0ad_fccb_4b86_a055_fa996009dd17"/>
      <w:bookmarkEnd w:id="29"/>
      <w:bookmarkEnd w:id="30"/>
      <w:bookmarkEnd w:id="31"/>
      <w:bookmarkEnd w:id="32"/>
    </w:p>
    <w:tbl>
      <w:tblPr>
        <w:tblW w:w="9145" w:type="dxa"/>
        <w:jc w:val="left"/>
        <w:tblInd w:w="0" w:type="dxa"/>
        <w:tblLayout w:type="fixed"/>
        <w:tblCellMar>
          <w:top w:w="0" w:type="dxa"/>
          <w:left w:w="0" w:type="dxa"/>
          <w:bottom w:w="0" w:type="dxa"/>
          <w:right w:w="0" w:type="dxa"/>
        </w:tblCellMar>
      </w:tblPr>
      <w:tblGrid>
        <w:gridCol w:w="3466"/>
        <w:gridCol w:w="146"/>
        <w:gridCol w:w="1501"/>
        <w:gridCol w:w="146"/>
        <w:gridCol w:w="388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200910" cy="29210"/>
                      <wp:effectExtent l="0" t="0" r="0" b="0"/>
                      <wp:wrapNone/>
                      <wp:docPr id="9" name="Frame9"/>
                      <a:graphic xmlns:a="http://schemas.openxmlformats.org/drawingml/2006/main">
                        <a:graphicData uri="http://schemas.microsoft.com/office/word/2010/wordprocessingShape">
                          <wps:wsp>
                            <wps:cNvSpPr txBox="1"/>
                            <wps:spPr>
                              <a:xfrm>
                                <a:off x="0" y="0"/>
                                <a:ext cx="22009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92710" cy="29210"/>
                      <wp:effectExtent l="0" t="0" r="0" b="0"/>
                      <wp:wrapNone/>
                      <wp:docPr id="10" name="Frame10"/>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53135" cy="29210"/>
                      <wp:effectExtent l="0" t="0" r="0" b="0"/>
                      <wp:wrapNone/>
                      <wp:docPr id="11" name="Frame11"/>
                      <a:graphic xmlns:a="http://schemas.openxmlformats.org/drawingml/2006/main">
                        <a:graphicData uri="http://schemas.microsoft.com/office/word/2010/wordprocessingShape">
                          <wps:wsp>
                            <wps:cNvSpPr txBox="1"/>
                            <wps:spPr>
                              <a:xfrm>
                                <a:off x="0" y="0"/>
                                <a:ext cx="9531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92710" cy="29210"/>
                      <wp:effectExtent l="0" t="0" r="0" b="0"/>
                      <wp:wrapNone/>
                      <wp:docPr id="12" name="Frame1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467610" cy="29210"/>
                      <wp:effectExtent l="0" t="0" r="0" b="0"/>
                      <wp:wrapNone/>
                      <wp:docPr id="13" name="Frame13"/>
                      <a:graphic xmlns:a="http://schemas.openxmlformats.org/drawingml/2006/main">
                        <a:graphicData uri="http://schemas.microsoft.com/office/word/2010/wordprocessingShape">
                          <wps:wsp>
                            <wps:cNvSpPr txBox="1"/>
                            <wps:spPr>
                              <a:xfrm>
                                <a:off x="0" y="0"/>
                                <a:ext cx="2467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14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$1.00 per share</w:t>
            </w:r>
          </w:p>
        </w:tc>
        <w:tc>
          <w:tcPr>
            <w:tcW w:w="146" w:type="dxa"/>
            <w:tcBorders/>
            <w:vAlign w:val="center"/>
          </w:tcPr>
          <w:p>
            <w:pPr>
              <w:pStyle w:val="TableContents"/>
              <w:bidi w:val="0"/>
              <w:spacing w:before="0" w:after="0"/>
              <w:ind w:left="0" w:right="0" w:hanging="0"/>
              <w:jc w:val="left"/>
              <w:rPr/>
            </w:pPr>
            <w:r>
              <w:rPr/>
              <w:t> </w:t>
            </w:r>
          </w:p>
        </w:tc>
        <w:tc>
          <w:tcPr>
            <w:tcW w:w="15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AVT</w:t>
            </w:r>
          </w:p>
        </w:tc>
        <w:tc>
          <w:tcPr>
            <w:tcW w:w="146" w:type="dxa"/>
            <w:tcBorders/>
            <w:vAlign w:val="center"/>
          </w:tcPr>
          <w:p>
            <w:pPr>
              <w:pStyle w:val="TableContents"/>
              <w:bidi w:val="0"/>
              <w:spacing w:before="0" w:after="0"/>
              <w:ind w:left="0" w:right="0" w:hanging="0"/>
              <w:jc w:val="left"/>
              <w:rPr/>
            </w:pPr>
            <w:r>
              <w:rPr/>
              <w:t> </w:t>
            </w:r>
          </w:p>
        </w:tc>
        <w:tc>
          <w:tcPr>
            <w:tcW w:w="388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center"/>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0" w:type="dxa"/>
          <w:left w:w="0" w:type="dxa"/>
          <w:bottom w:w="0" w:type="dxa"/>
          <w:right w:w="0" w:type="dxa"/>
        </w:tblCellMar>
      </w:tblPr>
      <w:tblGrid>
        <w:gridCol w:w="331"/>
        <w:gridCol w:w="7411"/>
      </w:tblGrid>
      <w:tr>
        <w:trPr/>
        <w:tc>
          <w:tcPr>
            <w:tcW w:w="331" w:type="dxa"/>
            <w:tcBorders/>
            <w:vAlign w:val="center"/>
          </w:tcPr>
          <w:p>
            <w:pPr>
              <w:pStyle w:val="TableContents"/>
              <w:bidi w:val="0"/>
              <w:spacing w:before="0" w:after="0"/>
              <w:jc w:val="left"/>
              <w:rPr/>
            </w:pPr>
            <w:r>
              <w:rPr/>
              <w:t>☐</w:t>
            </w:r>
          </w:p>
        </w:tc>
        <w:tc>
          <w:tcPr>
            <w:tcW w:w="741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tbl>
      <w:tblPr>
        <w:tblW w:w="7772" w:type="dxa"/>
        <w:jc w:val="left"/>
        <w:tblInd w:w="0" w:type="dxa"/>
        <w:tblLayout w:type="fixed"/>
        <w:tblCellMar>
          <w:top w:w="0" w:type="dxa"/>
          <w:left w:w="0" w:type="dxa"/>
          <w:bottom w:w="0" w:type="dxa"/>
          <w:right w:w="0" w:type="dxa"/>
        </w:tblCellMar>
      </w:tblPr>
      <w:tblGrid>
        <w:gridCol w:w="331"/>
        <w:gridCol w:w="7441"/>
      </w:tblGrid>
      <w:tr>
        <w:trPr/>
        <w:tc>
          <w:tcPr>
            <w:tcW w:w="331" w:type="dxa"/>
            <w:tcBorders/>
            <w:vAlign w:val="center"/>
          </w:tcPr>
          <w:p>
            <w:pPr>
              <w:pStyle w:val="TableContents"/>
              <w:bidi w:val="0"/>
              <w:spacing w:before="0" w:after="0"/>
              <w:jc w:val="left"/>
              <w:rPr/>
            </w:pPr>
            <w:r>
              <w:rPr/>
              <w:t>☐</w:t>
            </w:r>
          </w:p>
        </w:tc>
        <w:tc>
          <w:tcPr>
            <w:tcW w:w="74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jc w:val="left"/>
              <w:rPr/>
            </w:pPr>
            <w:r>
              <w:rPr/>
              <w:t>☐</w:t>
            </w:r>
          </w:p>
        </w:tc>
        <w:tc>
          <w:tcPr>
            <w:tcW w:w="918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tbl>
      <w:tblPr>
        <w:tblW w:w="9452" w:type="dxa"/>
        <w:jc w:val="left"/>
        <w:tblInd w:w="0" w:type="dxa"/>
        <w:tblLayout w:type="fixed"/>
        <w:tblCellMar>
          <w:top w:w="0" w:type="dxa"/>
          <w:left w:w="0" w:type="dxa"/>
          <w:bottom w:w="0" w:type="dxa"/>
          <w:right w:w="0" w:type="dxa"/>
        </w:tblCellMar>
      </w:tblPr>
      <w:tblGrid>
        <w:gridCol w:w="331"/>
        <w:gridCol w:w="9121"/>
      </w:tblGrid>
      <w:tr>
        <w:trPr/>
        <w:tc>
          <w:tcPr>
            <w:tcW w:w="331" w:type="dxa"/>
            <w:tcBorders/>
            <w:vAlign w:val="center"/>
          </w:tcPr>
          <w:p>
            <w:pPr>
              <w:pStyle w:val="TableContents"/>
              <w:bidi w:val="0"/>
              <w:spacing w:before="0" w:after="0"/>
              <w:jc w:val="left"/>
              <w:rPr/>
            </w:pPr>
            <w:r>
              <w:rPr/>
              <w:t>☐</w:t>
            </w:r>
          </w:p>
        </w:tc>
        <w:tc>
          <w:tcPr>
            <w:tcW w:w="912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12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48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Item 1.01   Entry into a Material Definitive Agreement.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On October 13, 2026, Avnet, Inc. (the “Company”) and Avnet Holding Europe BV (“Avnet Europe”) entered into Amendment No. 3 to the Third Amended and Restated Credit Agreement (“the Amendment”), which amends the Third Amended and Restated Credit Agreement, dated January 17, 2025 (as amended from time to time, including by the Amendment, the “Credit Agreement”), among the Company, Avnet Europe, Bank of America, N.A., as the administrative agent, and the lenders party thereto.</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The Amendment provides for, among other things, (i) an increase in the aggregate commitments under the Credit Agreement by $1,000,000,000 to a total commitment amount of $2,750,000,000, (ii) an increase in the maximum additional commitments that can be requested by the Company to $1,000,000,000 and (iii) elimination of the SOFR credit spread adjustment to the interest rate. The other terms of the Credit Agreement remain substantially the same as under the previously effective Credit Agreement.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The description of the Amendment set forth above is only a summary of its material terms and does not purport to be complete, and is qualified in its entirety by reference to the full and complete terms contained in the Amendment, which is filed as Exhibit 10.1 to this Form 8-K and incorporated into this Item 1.01 by reference. The Amendment is not intended to be a source of factual, business or operational information about the Company or its subsidiaries. The representations, warranties and covenants contained in the Amendment were made only for purposes of such agreement and as of specific dates, were solely for the benefit of the parties to the agreement, and may be subject to limitations agreed upon by the parties, including being qualified by disclosures for the purpose of allocating contractual risk between the parties instead of establishing matters as facts; and may be subject to standards of materiality applicable to the contracting parties that differ from those applicable to investors or security holders. Accordingly, investors should not rely on the representations, warranties and covenants or any descriptions thereof as characterizations of the actual state of facts or condition of the parties.</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Some or all of the parties to the Amendment, or their affiliates, have in the past provided investment or commercial banking services to the Company and its affiliates for which they received customary fees and expenses, and they may provide similar services in the future.</w:t>
      </w:r>
    </w:p>
    <w:p>
      <w:pPr>
        <w:pStyle w:val="TextBody"/>
        <w:bidi w:val="0"/>
        <w:spacing w:before="240" w:after="0"/>
        <w:ind w:left="0" w:right="0" w:hanging="0"/>
        <w:jc w:val="left"/>
        <w:rPr>
          <w:rFonts w:ascii="Times New Roman;Times;serif" w:hAnsi="Times New Roman;Times;serif"/>
          <w:b/>
          <w:sz w:val="20"/>
        </w:rPr>
      </w:pPr>
      <w:r>
        <w:rPr>
          <w:rFonts w:ascii="Times New Roman;Times;serif" w:hAnsi="Times New Roman;Times;serif"/>
          <w:b/>
          <w:sz w:val="20"/>
        </w:rPr>
        <w:t>Item 2.03 Creation of a Direct Financial Obligation or an Obligation under an Off-Balance Sheet Arrangement of a Registrant.</w:t>
      </w:r>
    </w:p>
    <w:p>
      <w:pPr>
        <w:pStyle w:val="TextBody"/>
        <w:bidi w:val="0"/>
        <w:spacing w:before="240" w:after="0"/>
        <w:ind w:left="0" w:right="0" w:hanging="0"/>
        <w:jc w:val="left"/>
        <w:rPr>
          <w:rFonts w:ascii="Times New Roman;Times;serif" w:hAnsi="Times New Roman;Times;serif"/>
          <w:sz w:val="20"/>
        </w:rPr>
      </w:pPr>
      <w:r>
        <w:rPr>
          <w:rFonts w:ascii="Times New Roman;Times;serif" w:hAnsi="Times New Roman;Times;serif"/>
          <w:sz w:val="20"/>
        </w:rPr>
        <w:t>The disclosure required hereunder is provided under Item 1.01 above and is incorporated herein by reference.</w:t>
      </w:r>
    </w:p>
    <w:p>
      <w:pPr>
        <w:pStyle w:val="TextBody"/>
        <w:bidi w:val="0"/>
        <w:spacing w:before="240" w:after="0"/>
        <w:ind w:left="0" w:right="0" w:hanging="0"/>
        <w:jc w:val="both"/>
        <w:rPr>
          <w:rFonts w:ascii="Times New Roman;Times;serif" w:hAnsi="Times New Roman;Times;serif"/>
          <w:b/>
          <w:sz w:val="20"/>
        </w:rPr>
      </w:pPr>
      <w:r>
        <w:rPr>
          <w:rFonts w:ascii="Times New Roman;Times;serif" w:hAnsi="Times New Roman;Times;serif"/>
          <w:b/>
          <w:sz w:val="20"/>
        </w:rPr>
        <w:t>Item 9.01   Financial Statements and Exhibits.</w:t>
      </w:r>
    </w:p>
    <w:p>
      <w:pPr>
        <w:pStyle w:val="TextBody"/>
        <w:bidi w:val="0"/>
        <w:spacing w:before="200" w:after="0"/>
        <w:ind w:left="0" w:right="0" w:hanging="0"/>
        <w:jc w:val="both"/>
        <w:rPr>
          <w:rFonts w:ascii="Times New Roman;Times;serif" w:hAnsi="Times New Roman;Times;serif"/>
          <w:b/>
          <w:sz w:val="20"/>
        </w:rPr>
      </w:pPr>
      <w:r>
        <w:rPr>
          <w:rFonts w:ascii="Times New Roman;Times;serif" w:hAnsi="Times New Roman;Times;serif"/>
          <w:b/>
          <w:sz w:val="20"/>
        </w:rPr>
        <w:t>(d) Exhibits.</w:t>
      </w:r>
    </w:p>
    <w:p>
      <w:pPr>
        <w:pStyle w:val="TextBody"/>
        <w:bidi w:val="0"/>
        <w:spacing w:before="200" w:after="0"/>
        <w:ind w:left="0" w:right="0" w:hanging="0"/>
        <w:jc w:val="both"/>
        <w:rPr>
          <w:rFonts w:ascii="Times New Roman;Times;serif" w:hAnsi="Times New Roman;Times;serif"/>
          <w:sz w:val="20"/>
        </w:rPr>
      </w:pPr>
      <w:r>
        <w:rPr>
          <w:rFonts w:ascii="Times New Roman;Times;serif" w:hAnsi="Times New Roman;Times;serif"/>
          <w:sz w:val="20"/>
        </w:rPr>
        <w:t>The following materials are attached as exhibits to this Current Report on Form 8-K:</w:t>
      </w:r>
    </w:p>
    <w:p>
      <w:pPr>
        <w:pStyle w:val="TextBody"/>
        <w:bidi w:val="0"/>
        <w:spacing w:before="100" w:after="1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811"/>
        <w:gridCol w:w="286"/>
        <w:gridCol w:w="9108"/>
      </w:tblGrid>
      <w:tr>
        <w:trPr/>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514985" cy="29210"/>
                      <wp:effectExtent l="0" t="0" r="0" b="0"/>
                      <wp:wrapNone/>
                      <wp:docPr id="14" name="Frame14"/>
                      <a:graphic xmlns:a="http://schemas.openxmlformats.org/drawingml/2006/main">
                        <a:graphicData uri="http://schemas.microsoft.com/office/word/2010/wordprocessingShape">
                          <wps:wsp>
                            <wps:cNvSpPr txBox="1"/>
                            <wps:spPr>
                              <a:xfrm>
                                <a:off x="0" y="0"/>
                                <a:ext cx="5149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81610" cy="29210"/>
                      <wp:effectExtent l="0" t="0" r="0" b="0"/>
                      <wp:wrapNone/>
                      <wp:docPr id="15" name="Frame15"/>
                      <a:graphic xmlns:a="http://schemas.openxmlformats.org/drawingml/2006/main">
                        <a:graphicData uri="http://schemas.microsoft.com/office/word/2010/wordprocessingShape">
                          <wps:wsp>
                            <wps:cNvSpPr txBox="1"/>
                            <wps:spPr>
                              <a:xfrm>
                                <a:off x="0" y="0"/>
                                <a:ext cx="181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91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5783580" cy="29210"/>
                      <wp:effectExtent l="0" t="0" r="0" b="0"/>
                      <wp:wrapNone/>
                      <wp:docPr id="16" name="Frame16"/>
                      <a:graphic xmlns:a="http://schemas.openxmlformats.org/drawingml/2006/main">
                        <a:graphicData uri="http://schemas.microsoft.com/office/word/2010/wordprocessingShape">
                          <wps:wsp>
                            <wps:cNvSpPr txBox="1"/>
                            <wps:spPr>
                              <a:xfrm>
                                <a:off x="0" y="0"/>
                                <a:ext cx="578358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4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11" w:type="dxa"/>
            <w:tcBorders>
              <w:bottom w:val="single" w:sz="2" w:space="0" w:color="000000"/>
            </w:tcBorders>
            <w:tcMar>
              <w:bottom w:w="28" w:type="dxa"/>
            </w:tcMar>
            <w:vAlign w:val="center"/>
          </w:tcPr>
          <w:p>
            <w:pPr>
              <w:pStyle w:val="TableContents"/>
              <w:bidi w:val="0"/>
              <w:spacing w:lineRule="atLeast" w:line="200" w:before="0" w:after="0"/>
              <w:ind w:left="0" w:right="0" w:hanging="0"/>
              <w:jc w:val="both"/>
              <w:rPr>
                <w:rFonts w:ascii="Times New Roman;Times;serif" w:hAnsi="Times New Roman;Times;serif"/>
                <w:b/>
                <w:sz w:val="20"/>
              </w:rPr>
            </w:pPr>
            <w:r>
              <w:rPr>
                <w:rFonts w:ascii="Times New Roman;Times;serif" w:hAnsi="Times New Roman;Times;serif"/>
                <w:b/>
                <w:sz w:val="20"/>
              </w:rPr>
              <w:t>Exhibit</w:t>
              <w:br/>
              <w:t>Number</w:t>
            </w:r>
          </w:p>
        </w:tc>
        <w:tc>
          <w:tcPr>
            <w:tcW w:w="286" w:type="dxa"/>
            <w:tcBorders>
              <w:bottom w:val="single" w:sz="2" w:space="0" w:color="000000"/>
            </w:tcBorders>
            <w:tcMar>
              <w:bottom w:w="28" w:type="dxa"/>
            </w:tcMar>
            <w:vAlign w:val="center"/>
          </w:tcPr>
          <w:p>
            <w:pPr>
              <w:pStyle w:val="TableContents"/>
              <w:bidi w:val="0"/>
              <w:spacing w:lineRule="atLeast" w:line="200" w:before="0" w:after="0"/>
              <w:ind w:left="0" w:right="0" w:hanging="0"/>
              <w:jc w:val="both"/>
              <w:rPr/>
            </w:pPr>
            <w:r>
              <w:rPr/>
              <w:t>  ​ ​</w:t>
            </w:r>
          </w:p>
        </w:tc>
        <w:tc>
          <w:tcPr>
            <w:tcW w:w="9108" w:type="dxa"/>
            <w:tcBorders>
              <w:bottom w:val="single" w:sz="2" w:space="0" w:color="000000"/>
            </w:tcBorders>
            <w:tcMar>
              <w:bottom w:w="28" w:type="dxa"/>
            </w:tcMar>
            <w:vAlign w:val="center"/>
          </w:tcPr>
          <w:p>
            <w:pPr>
              <w:pStyle w:val="TableContents"/>
              <w:bidi w:val="0"/>
              <w:spacing w:lineRule="atLeast" w:line="200" w:before="0" w:after="0"/>
              <w:ind w:left="0" w:right="0" w:hanging="0"/>
              <w:jc w:val="both"/>
              <w:rPr>
                <w:rFonts w:ascii="Times New Roman;Times;serif" w:hAnsi="Times New Roman;Times;serif"/>
                <w:b/>
                <w:sz w:val="20"/>
              </w:rPr>
            </w:pPr>
            <w:r>
              <w:rPr>
                <w:rFonts w:ascii="Times New Roman;Times;serif" w:hAnsi="Times New Roman;Times;serif"/>
                <w:b/>
                <w:sz w:val="20"/>
              </w:rPr>
              <w:t>Description</w:t>
            </w:r>
          </w:p>
        </w:tc>
      </w:tr>
      <w:tr>
        <w:trPr/>
        <w:tc>
          <w:tcPr>
            <w:tcW w:w="811" w:type="dxa"/>
            <w:tcBorders/>
            <w:vAlign w:val="center"/>
          </w:tcPr>
          <w:p>
            <w:pPr>
              <w:pStyle w:val="TableContents"/>
              <w:bidi w:val="0"/>
              <w:spacing w:lineRule="atLeast" w:line="200" w:before="0" w:after="0"/>
              <w:ind w:left="0" w:right="0" w:hanging="0"/>
              <w:jc w:val="both"/>
              <w:rPr/>
            </w:pPr>
            <w:r>
              <w:rPr/>
              <w:t> </w:t>
            </w:r>
          </w:p>
        </w:tc>
        <w:tc>
          <w:tcPr>
            <w:tcW w:w="286" w:type="dxa"/>
            <w:tcBorders/>
            <w:vAlign w:val="center"/>
          </w:tcPr>
          <w:p>
            <w:pPr>
              <w:pStyle w:val="TableContents"/>
              <w:bidi w:val="0"/>
              <w:spacing w:lineRule="atLeast" w:line="200" w:before="0" w:after="0"/>
              <w:ind w:left="0" w:right="0" w:hanging="0"/>
              <w:jc w:val="both"/>
              <w:rPr/>
            </w:pPr>
            <w:r>
              <w:rPr/>
              <w:t> </w:t>
            </w:r>
          </w:p>
        </w:tc>
        <w:tc>
          <w:tcPr>
            <w:tcW w:w="9108" w:type="dxa"/>
            <w:tcBorders/>
            <w:vAlign w:val="center"/>
          </w:tcPr>
          <w:p>
            <w:pPr>
              <w:pStyle w:val="TableContents"/>
              <w:bidi w:val="0"/>
              <w:spacing w:lineRule="atLeast" w:line="200" w:before="0" w:after="0"/>
              <w:ind w:left="0" w:right="0" w:hanging="0"/>
              <w:jc w:val="both"/>
              <w:rPr/>
            </w:pPr>
            <w:r>
              <w:rPr/>
              <w:t> </w:t>
            </w:r>
          </w:p>
        </w:tc>
      </w:tr>
      <w:tr>
        <w:trPr/>
        <w:tc>
          <w:tcPr>
            <w:tcW w:w="811" w:type="dxa"/>
            <w:tcBorders/>
            <w:vAlign w:val="center"/>
          </w:tcPr>
          <w:p>
            <w:pPr>
              <w:pStyle w:val="TableContents"/>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10.1</w:t>
            </w:r>
          </w:p>
        </w:tc>
        <w:tc>
          <w:tcPr>
            <w:tcW w:w="286" w:type="dxa"/>
            <w:tcBorders/>
            <w:vAlign w:val="center"/>
          </w:tcPr>
          <w:p>
            <w:pPr>
              <w:pStyle w:val="TableContents"/>
              <w:bidi w:val="0"/>
              <w:spacing w:lineRule="atLeast" w:line="200" w:before="100" w:after="100"/>
              <w:ind w:left="0" w:right="0" w:hanging="0"/>
              <w:jc w:val="both"/>
              <w:rPr/>
            </w:pPr>
            <w:r>
              <w:rPr/>
              <w:t>​</w:t>
            </w:r>
          </w:p>
        </w:tc>
        <w:tc>
          <w:tcPr>
            <w:tcW w:w="9108" w:type="dxa"/>
            <w:tcBorders/>
            <w:vAlign w:val="center"/>
          </w:tcPr>
          <w:p>
            <w:pPr>
              <w:pStyle w:val="TableContents"/>
              <w:bidi w:val="0"/>
              <w:spacing w:lineRule="atLeast" w:line="200" w:before="0" w:after="0"/>
              <w:ind w:left="0" w:right="0" w:hanging="0"/>
              <w:jc w:val="both"/>
              <w:rPr/>
            </w:pPr>
            <w:hyperlink w:anchor="avt-ex10d1.htm">
              <w:r>
                <w:rPr>
                  <w:rStyle w:val="InternetLink"/>
                  <w:rFonts w:ascii="Times New Roman;Times;serif" w:hAnsi="Times New Roman;Times;serif"/>
                  <w:b w:val="false"/>
                  <w:i w:val="false"/>
                  <w:caps w:val="false"/>
                  <w:smallCaps w:val="false"/>
                  <w:sz w:val="24"/>
                </w:rPr>
                <w:t>Amendment No. 3, dated as of October 13, 2026, to the Third Amended and Restated Credit Agreement dated January 17, 2025.</w:t>
              </w:r>
            </w:hyperlink>
          </w:p>
        </w:tc>
      </w:tr>
      <w:tr>
        <w:trPr/>
        <w:tc>
          <w:tcPr>
            <w:tcW w:w="811" w:type="dxa"/>
            <w:tcBorders/>
            <w:vAlign w:val="center"/>
          </w:tcPr>
          <w:p>
            <w:pPr>
              <w:pStyle w:val="TableContents"/>
              <w:bidi w:val="0"/>
              <w:spacing w:lineRule="atLeast" w:line="200" w:before="100" w:after="100"/>
              <w:ind w:left="0" w:right="0" w:hanging="0"/>
              <w:jc w:val="both"/>
              <w:rPr/>
            </w:pPr>
            <w:r>
              <w:rPr/>
              <w:t>​</w:t>
            </w:r>
          </w:p>
        </w:tc>
        <w:tc>
          <w:tcPr>
            <w:tcW w:w="286" w:type="dxa"/>
            <w:tcBorders/>
            <w:vAlign w:val="center"/>
          </w:tcPr>
          <w:p>
            <w:pPr>
              <w:pStyle w:val="TableContents"/>
              <w:bidi w:val="0"/>
              <w:spacing w:lineRule="atLeast" w:line="200" w:before="100" w:after="100"/>
              <w:ind w:left="0" w:right="0" w:hanging="0"/>
              <w:jc w:val="both"/>
              <w:rPr/>
            </w:pPr>
            <w:r>
              <w:rPr/>
              <w:t>​</w:t>
            </w:r>
          </w:p>
        </w:tc>
        <w:tc>
          <w:tcPr>
            <w:tcW w:w="9108" w:type="dxa"/>
            <w:tcBorders/>
            <w:vAlign w:val="center"/>
          </w:tcPr>
          <w:p>
            <w:pPr>
              <w:pStyle w:val="TableContents"/>
              <w:bidi w:val="0"/>
              <w:spacing w:lineRule="atLeast" w:line="200" w:before="100" w:after="100"/>
              <w:ind w:left="0" w:right="0" w:hanging="0"/>
              <w:jc w:val="both"/>
              <w:rPr/>
            </w:pPr>
            <w:r>
              <w:rPr/>
              <w:t>​</w:t>
            </w:r>
          </w:p>
        </w:tc>
      </w:tr>
      <w:tr>
        <w:trPr/>
        <w:tc>
          <w:tcPr>
            <w:tcW w:w="811" w:type="dxa"/>
            <w:tcBorders/>
            <w:vAlign w:val="center"/>
          </w:tcPr>
          <w:p>
            <w:pPr>
              <w:pStyle w:val="TableContents"/>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104</w:t>
            </w:r>
          </w:p>
        </w:tc>
        <w:tc>
          <w:tcPr>
            <w:tcW w:w="286" w:type="dxa"/>
            <w:tcBorders/>
            <w:vAlign w:val="center"/>
          </w:tcPr>
          <w:p>
            <w:pPr>
              <w:pStyle w:val="TableContents"/>
              <w:bidi w:val="0"/>
              <w:spacing w:lineRule="atLeast" w:line="200" w:before="100" w:after="100"/>
              <w:ind w:left="0" w:right="0" w:hanging="0"/>
              <w:jc w:val="both"/>
              <w:rPr/>
            </w:pPr>
            <w:r>
              <w:rPr/>
              <w:t>​</w:t>
            </w:r>
          </w:p>
        </w:tc>
        <w:tc>
          <w:tcPr>
            <w:tcW w:w="9108" w:type="dxa"/>
            <w:tcBorders/>
            <w:vAlign w:val="center"/>
          </w:tcPr>
          <w:p>
            <w:pPr>
              <w:pStyle w:val="TableContents"/>
              <w:bidi w:val="0"/>
              <w:spacing w:lineRule="atLeast" w:line="200" w:before="0" w:after="0"/>
              <w:ind w:left="0" w:right="0" w:hanging="0"/>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SIGNATURES</w:t>
      </w:r>
    </w:p>
    <w:p>
      <w:pPr>
        <w:pStyle w:val="TextBody"/>
        <w:bidi w:val="0"/>
        <w:spacing w:lineRule="auto" w:line="343" w:before="180" w:after="0"/>
        <w:ind w:left="0" w:right="0" w:firstLine="48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lineRule="auto" w:line="343" w:before="0" w:after="0"/>
        <w:ind w:left="0" w:right="0" w:hanging="0"/>
        <w:jc w:val="left"/>
        <w:rPr/>
      </w:pPr>
      <w:r>
        <w:rPr/>
        <w:t>​</w:t>
      </w:r>
    </w:p>
    <w:p>
      <w:pPr>
        <w:pStyle w:val="TextBody"/>
        <w:bidi w:val="0"/>
        <w:spacing w:lineRule="atLeast" w:line="200" w:before="0" w:after="0"/>
        <w:ind w:left="0" w:right="0" w:hanging="0"/>
        <w:jc w:val="left"/>
        <w:rPr/>
      </w:pPr>
      <w:r>
        <w:rPr/>
        <w:t>​</w:t>
      </w:r>
    </w:p>
    <w:tbl>
      <w:tblPr>
        <w:tblW w:w="5141" w:type="dxa"/>
        <w:jc w:val="left"/>
        <w:tblInd w:w="0" w:type="dxa"/>
        <w:tblLayout w:type="fixed"/>
        <w:tblCellMar>
          <w:top w:w="0" w:type="dxa"/>
          <w:left w:w="0" w:type="dxa"/>
          <w:bottom w:w="0" w:type="dxa"/>
          <w:right w:w="0" w:type="dxa"/>
        </w:tblCellMar>
      </w:tblPr>
      <w:tblGrid>
        <w:gridCol w:w="2011"/>
        <w:gridCol w:w="109"/>
        <w:gridCol w:w="406"/>
        <w:gridCol w:w="109"/>
        <w:gridCol w:w="2506"/>
      </w:tblGrid>
      <w:tr>
        <w:trPr/>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76985" cy="175260"/>
                      <wp:effectExtent l="0" t="0" r="0" b="0"/>
                      <wp:wrapNone/>
                      <wp:docPr id="17" name="Frame17"/>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9215" cy="175260"/>
                      <wp:effectExtent l="0" t="0" r="0" b="0"/>
                      <wp:wrapNone/>
                      <wp:docPr id="18" name="Frame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57810" cy="175260"/>
                      <wp:effectExtent l="0" t="0" r="0" b="0"/>
                      <wp:wrapNone/>
                      <wp:docPr id="19" name="Frame19"/>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9215" cy="175260"/>
                      <wp:effectExtent l="0" t="0" r="0" b="0"/>
                      <wp:wrapNone/>
                      <wp:docPr id="20" name="Frame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591310" cy="175260"/>
                      <wp:effectExtent l="0" t="0" r="0" b="0"/>
                      <wp:wrapNone/>
                      <wp:docPr id="21" name="Frame21"/>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October 15, 2026</w:t>
            </w:r>
          </w:p>
        </w:tc>
        <w:tc>
          <w:tcPr>
            <w:tcW w:w="109" w:type="dxa"/>
            <w:tcBorders/>
            <w:vAlign w:val="center"/>
          </w:tcPr>
          <w:p>
            <w:pPr>
              <w:pStyle w:val="TableContents"/>
              <w:bidi w:val="0"/>
              <w:spacing w:before="0" w:after="0"/>
              <w:ind w:left="0" w:right="0" w:hanging="0"/>
              <w:jc w:val="left"/>
              <w:rPr/>
            </w:pPr>
            <w:r>
              <w:rPr/>
              <w:t>​</w:t>
            </w:r>
          </w:p>
        </w:tc>
        <w:tc>
          <w:tcPr>
            <w:tcW w:w="3021"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AVNET, INC.</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21" w:type="dxa"/>
            <w:gridSpan w:val="3"/>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21" w:type="dxa"/>
            <w:gridSpan w:val="3"/>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021" w:type="dxa"/>
            <w:gridSpan w:val="3"/>
            <w:tcBorders/>
            <w:vAlign w:val="center"/>
          </w:tcPr>
          <w:p>
            <w:pPr>
              <w:pStyle w:val="TableContents"/>
              <w:bidi w:val="0"/>
              <w:spacing w:before="0" w:after="0"/>
              <w:ind w:left="0" w:right="0" w:hanging="0"/>
              <w:jc w:val="left"/>
              <w:rPr/>
            </w:pPr>
            <w:r>
              <w:rPr/>
              <w:t>​</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09" w:type="dxa"/>
            <w:tcBorders/>
            <w:vAlign w:val="center"/>
          </w:tcPr>
          <w:p>
            <w:pPr>
              <w:pStyle w:val="TableContents"/>
              <w:bidi w:val="0"/>
              <w:spacing w:before="0" w:after="0"/>
              <w:ind w:left="0" w:right="0" w:hanging="0"/>
              <w:jc w:val="left"/>
              <w:rPr/>
            </w:pPr>
            <w:r>
              <w:rPr/>
              <w:t>​</w:t>
            </w:r>
          </w:p>
        </w:tc>
        <w:tc>
          <w:tcPr>
            <w:tcW w:w="250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c>
      </w:tr>
      <w:tr>
        <w:trPr/>
        <w:tc>
          <w:tcPr>
            <w:tcW w:w="201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 Kenneth A. Jacobson</w:t>
            </w:r>
          </w:p>
        </w:tc>
      </w:tr>
      <w:tr>
        <w:trPr/>
        <w:tc>
          <w:tcPr>
            <w:tcW w:w="2011" w:type="dxa"/>
            <w:tcBorders/>
            <w:vAlign w:val="center"/>
          </w:tcPr>
          <w:p>
            <w:pPr>
              <w:pStyle w:val="TableContents"/>
              <w:bidi w:val="0"/>
              <w:spacing w:before="40" w:after="0"/>
              <w:ind w:left="0" w:right="0" w:hanging="0"/>
              <w:jc w:val="left"/>
              <w:rPr/>
            </w:pPr>
            <w:r>
              <w:rPr/>
              <w:t>​</w:t>
            </w:r>
          </w:p>
        </w:tc>
        <w:tc>
          <w:tcPr>
            <w:tcW w:w="109" w:type="dxa"/>
            <w:tcBorders/>
            <w:vAlign w:val="center"/>
          </w:tcPr>
          <w:p>
            <w:pPr>
              <w:pStyle w:val="TableContents"/>
              <w:bidi w:val="0"/>
              <w:spacing w:before="40" w:after="0"/>
              <w:ind w:left="0" w:right="0" w:hanging="0"/>
              <w:jc w:val="left"/>
              <w:rPr/>
            </w:pPr>
            <w:r>
              <w:rPr/>
              <w:t>​</w:t>
            </w:r>
          </w:p>
        </w:tc>
        <w:tc>
          <w:tcPr>
            <w:tcW w:w="406" w:type="dxa"/>
            <w:tcBorders/>
            <w:vAlign w:val="center"/>
          </w:tcPr>
          <w:p>
            <w:pPr>
              <w:pStyle w:val="TableContents"/>
              <w:bidi w:val="0"/>
              <w:spacing w:before="40" w:after="0"/>
              <w:ind w:left="0" w:right="0" w:hanging="0"/>
              <w:jc w:val="left"/>
              <w:rPr/>
            </w:pPr>
            <w:r>
              <w:rPr/>
              <w:t>​</w:t>
            </w:r>
          </w:p>
        </w:tc>
        <w:tc>
          <w:tcPr>
            <w:tcW w:w="109" w:type="dxa"/>
            <w:tcBorders/>
            <w:vAlign w:val="center"/>
          </w:tcPr>
          <w:p>
            <w:pPr>
              <w:pStyle w:val="TableContents"/>
              <w:bidi w:val="0"/>
              <w:spacing w:before="40" w:after="0"/>
              <w:ind w:left="0" w:right="0" w:hanging="0"/>
              <w:jc w:val="left"/>
              <w:rPr/>
            </w:pPr>
            <w:r>
              <w:rPr/>
              <w:t>​</w:t>
            </w:r>
          </w:p>
        </w:tc>
        <w:tc>
          <w:tcPr>
            <w:tcW w:w="2506" w:type="dxa"/>
            <w:tcBorders/>
            <w:vAlign w:val="center"/>
          </w:tcPr>
          <w:p>
            <w:pPr>
              <w:pStyle w:val="TableContents"/>
              <w:bidi w:val="0"/>
              <w:spacing w:before="40" w:after="0"/>
              <w:ind w:left="0" w:right="0" w:hanging="0"/>
              <w:jc w:val="left"/>
              <w:rPr>
                <w:rFonts w:ascii="Times New Roman;Times;serif" w:hAnsi="Times New Roman;Times;serif"/>
                <w:sz w:val="20"/>
              </w:rPr>
            </w:pPr>
            <w:r>
              <w:rPr>
                <w:rFonts w:ascii="Times New Roman;Times;serif" w:hAnsi="Times New Roman;Times;serif"/>
                <w:sz w:val="20"/>
              </w:rPr>
              <w:t>Title: Chief Financial Officer</w:t>
            </w:r>
          </w:p>
        </w:tc>
      </w:tr>
      <w:tr>
        <w:trPr/>
        <w:tc>
          <w:tcPr>
            <w:tcW w:w="2011" w:type="dxa"/>
            <w:tcBorders/>
            <w:vAlign w:val="center"/>
          </w:tcPr>
          <w:p>
            <w:pPr>
              <w:pStyle w:val="TableContents"/>
              <w:bidi w:val="0"/>
              <w:spacing w:before="40" w:after="0"/>
              <w:ind w:left="0" w:right="0" w:hanging="0"/>
              <w:jc w:val="left"/>
              <w:rPr/>
            </w:pPr>
            <w:r>
              <w:rPr/>
              <w:t>​</w:t>
            </w:r>
          </w:p>
        </w:tc>
        <w:tc>
          <w:tcPr>
            <w:tcW w:w="109" w:type="dxa"/>
            <w:tcBorders/>
            <w:vAlign w:val="center"/>
          </w:tcPr>
          <w:p>
            <w:pPr>
              <w:pStyle w:val="TableContents"/>
              <w:bidi w:val="0"/>
              <w:spacing w:before="40" w:after="0"/>
              <w:ind w:left="0" w:right="0" w:hanging="0"/>
              <w:jc w:val="left"/>
              <w:rPr/>
            </w:pPr>
            <w:r>
              <w:rPr/>
              <w:t>​</w:t>
            </w:r>
          </w:p>
        </w:tc>
        <w:tc>
          <w:tcPr>
            <w:tcW w:w="406" w:type="dxa"/>
            <w:tcBorders/>
            <w:vAlign w:val="center"/>
          </w:tcPr>
          <w:p>
            <w:pPr>
              <w:pStyle w:val="TableContents"/>
              <w:bidi w:val="0"/>
              <w:spacing w:before="40" w:after="0"/>
              <w:ind w:left="0" w:right="0" w:hanging="0"/>
              <w:jc w:val="left"/>
              <w:rPr/>
            </w:pPr>
            <w:r>
              <w:rPr/>
              <w:t>​</w:t>
            </w:r>
          </w:p>
        </w:tc>
        <w:tc>
          <w:tcPr>
            <w:tcW w:w="109" w:type="dxa"/>
            <w:tcBorders/>
            <w:vAlign w:val="center"/>
          </w:tcPr>
          <w:p>
            <w:pPr>
              <w:pStyle w:val="TableContents"/>
              <w:bidi w:val="0"/>
              <w:spacing w:before="40" w:after="0"/>
              <w:ind w:left="0" w:right="0" w:hanging="0"/>
              <w:jc w:val="left"/>
              <w:rPr/>
            </w:pPr>
            <w:r>
              <w:rPr/>
              <w:t>​</w:t>
            </w:r>
          </w:p>
        </w:tc>
        <w:tc>
          <w:tcPr>
            <w:tcW w:w="2506" w:type="dxa"/>
            <w:tcBorders/>
            <w:vAlign w:val="center"/>
          </w:tcPr>
          <w:p>
            <w:pPr>
              <w:pStyle w:val="TableContents"/>
              <w:bidi w:val="0"/>
              <w:spacing w:before="4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left"/>
        <w:rPr/>
      </w:pPr>
      <w:r>
        <w:rPr/>
        <w:t>​</w:t>
      </w:r>
    </w:p>
    <w:p>
      <w:pPr>
        <w:pStyle w:val="TextBody"/>
        <w:bidi w:val="0"/>
        <w:spacing w:before="0" w:after="0"/>
        <w:ind w:left="0" w:right="0" w:hanging="0"/>
        <w:jc w:val="right"/>
        <w:rPr>
          <w:rFonts w:ascii="Times New Roman;Times;serif" w:hAnsi="Times New Roman;Times;serif"/>
          <w:b/>
          <w:sz w:val="22"/>
        </w:rPr>
      </w:pPr>
      <w:bookmarkStart w:id="33" w:name="avt-ex10d1.htm"/>
      <w:bookmarkStart w:id="34" w:name="ksavtex10d1"/>
      <w:bookmarkEnd w:id="33"/>
      <w:bookmarkEnd w:id="34"/>
      <w:r>
        <w:rPr>
          <w:rFonts w:ascii="Times New Roman;Times;serif" w:hAnsi="Times New Roman;Times;serif"/>
          <w:b/>
          <w:sz w:val="22"/>
        </w:rPr>
        <w:t>Exhibit 10.1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AMENDMENT NO. 3 TO THIRD AMENDED AND RESTATED CREDIT AGREEMENT</w:t>
      </w:r>
    </w:p>
    <w:p>
      <w:pPr>
        <w:pStyle w:val="TextBody"/>
        <w:bidi w:val="0"/>
        <w:spacing w:before="0" w:after="0"/>
        <w:ind w:left="0" w:right="0" w:hanging="0"/>
        <w:jc w:val="left"/>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2"/>
        </w:rPr>
        <w:t>This</w:t>
      </w:r>
      <w:r>
        <w:rPr>
          <w:rFonts w:ascii="Times New Roman;Times;serif" w:hAnsi="Times New Roman;Times;serif"/>
          <w:sz w:val="20"/>
        </w:rPr>
        <w:t xml:space="preserve"> </w:t>
      </w:r>
      <w:r>
        <w:rPr>
          <w:rFonts w:ascii="Times New Roman;Times;serif" w:hAnsi="Times New Roman;Times;serif"/>
          <w:b/>
          <w:sz w:val="22"/>
        </w:rPr>
        <w:t xml:space="preserve">AMENDMENT NO. 3 TO THIRD AMENDED AND RESTATED CREDIT AGREEMENT </w:t>
      </w:r>
      <w:r>
        <w:rPr>
          <w:rFonts w:ascii="Times New Roman;Times;serif" w:hAnsi="Times New Roman;Times;serif"/>
          <w:sz w:val="22"/>
        </w:rPr>
        <w:t>(this “</w:t>
      </w:r>
      <w:r>
        <w:rPr>
          <w:rFonts w:ascii="Times New Roman;Times;serif" w:hAnsi="Times New Roman;Times;serif"/>
          <w:sz w:val="22"/>
          <w:u w:val="single"/>
        </w:rPr>
        <w:t>Amendment</w:t>
      </w:r>
      <w:r>
        <w:rPr>
          <w:rFonts w:ascii="Times New Roman;Times;serif" w:hAnsi="Times New Roman;Times;serif"/>
          <w:sz w:val="20"/>
        </w:rPr>
        <w:t>”</w:t>
      </w:r>
      <w:r>
        <w:rPr>
          <w:rFonts w:ascii="Times New Roman;Times;serif" w:hAnsi="Times New Roman;Times;serif"/>
          <w:sz w:val="22"/>
        </w:rPr>
        <w:t xml:space="preserve">) dated as of October 13, 2026, is made among </w:t>
      </w:r>
      <w:r>
        <w:rPr>
          <w:rFonts w:ascii="Times New Roman;Times;serif" w:hAnsi="Times New Roman;Times;serif"/>
          <w:b/>
          <w:sz w:val="22"/>
        </w:rPr>
        <w:t>AVNET, INC.</w:t>
      </w:r>
      <w:r>
        <w:rPr>
          <w:rFonts w:ascii="Times New Roman;Times;serif" w:hAnsi="Times New Roman;Times;serif"/>
          <w:sz w:val="22"/>
        </w:rPr>
        <w:t>, a New York corporation (the “</w:t>
      </w:r>
      <w:r>
        <w:rPr>
          <w:rFonts w:ascii="Times New Roman;Times;serif" w:hAnsi="Times New Roman;Times;serif"/>
          <w:sz w:val="22"/>
          <w:u w:val="single"/>
        </w:rPr>
        <w:t>Company</w:t>
      </w:r>
      <w:r>
        <w:rPr>
          <w:rFonts w:ascii="Times New Roman;Times;serif" w:hAnsi="Times New Roman;Times;serif"/>
          <w:sz w:val="20"/>
        </w:rPr>
        <w:t>”</w:t>
      </w:r>
      <w:r>
        <w:rPr>
          <w:rFonts w:ascii="Times New Roman;Times;serif" w:hAnsi="Times New Roman;Times;serif"/>
          <w:sz w:val="22"/>
        </w:rPr>
        <w:t xml:space="preserve">), </w:t>
      </w:r>
      <w:r>
        <w:rPr>
          <w:rFonts w:ascii="Times New Roman;Times;serif" w:hAnsi="Times New Roman;Times;serif"/>
          <w:b/>
          <w:sz w:val="22"/>
        </w:rPr>
        <w:t>AVNET HOLDING EUROPE BV</w:t>
      </w:r>
      <w:r>
        <w:rPr>
          <w:rFonts w:ascii="Times New Roman;Times;serif" w:hAnsi="Times New Roman;Times;serif"/>
          <w:sz w:val="22"/>
        </w:rPr>
        <w:t>, a Belgian privately held limited liability company (“</w:t>
      </w:r>
      <w:r>
        <w:rPr>
          <w:rFonts w:ascii="Times New Roman;Times;serif" w:hAnsi="Times New Roman;Times;serif"/>
          <w:sz w:val="22"/>
          <w:u w:val="single"/>
        </w:rPr>
        <w:t>Avnet Europe</w:t>
      </w:r>
      <w:r>
        <w:rPr>
          <w:rFonts w:ascii="Times New Roman;Times;serif" w:hAnsi="Times New Roman;Times;serif"/>
          <w:sz w:val="20"/>
        </w:rPr>
        <w:t xml:space="preserve">” </w:t>
      </w:r>
      <w:r>
        <w:rPr>
          <w:rFonts w:ascii="Times New Roman;Times;serif" w:hAnsi="Times New Roman;Times;serif"/>
          <w:sz w:val="22"/>
        </w:rPr>
        <w:t>and, together with the Company, the “</w:t>
      </w:r>
      <w:r>
        <w:rPr>
          <w:rFonts w:ascii="Times New Roman;Times;serif" w:hAnsi="Times New Roman;Times;serif"/>
          <w:sz w:val="22"/>
          <w:u w:val="single"/>
        </w:rPr>
        <w:t>Borrowers</w:t>
      </w:r>
      <w:r>
        <w:rPr>
          <w:rFonts w:ascii="Times New Roman;Times;serif" w:hAnsi="Times New Roman;Times;serif"/>
          <w:sz w:val="20"/>
        </w:rPr>
        <w:t xml:space="preserve">” </w:t>
      </w:r>
      <w:r>
        <w:rPr>
          <w:rFonts w:ascii="Times New Roman;Times;serif" w:hAnsi="Times New Roman;Times;serif"/>
          <w:sz w:val="22"/>
        </w:rPr>
        <w:t>and each, a “</w:t>
      </w:r>
      <w:r>
        <w:rPr>
          <w:rFonts w:ascii="Times New Roman;Times;serif" w:hAnsi="Times New Roman;Times;serif"/>
          <w:sz w:val="22"/>
          <w:u w:val="single"/>
        </w:rPr>
        <w:t>Borrower</w:t>
      </w:r>
      <w:r>
        <w:rPr>
          <w:rFonts w:ascii="Times New Roman;Times;serif" w:hAnsi="Times New Roman;Times;serif"/>
          <w:sz w:val="20"/>
        </w:rPr>
        <w:t>”</w:t>
      </w:r>
      <w:r>
        <w:rPr>
          <w:rFonts w:ascii="Times New Roman;Times;serif" w:hAnsi="Times New Roman;Times;serif"/>
          <w:sz w:val="22"/>
        </w:rPr>
        <w:t xml:space="preserve">), </w:t>
      </w:r>
      <w:r>
        <w:rPr>
          <w:rFonts w:ascii="Times New Roman;Times;serif" w:hAnsi="Times New Roman;Times;serif"/>
          <w:b/>
          <w:sz w:val="22"/>
        </w:rPr>
        <w:t>BANK OF AMERICA, N.A.</w:t>
      </w:r>
      <w:r>
        <w:rPr>
          <w:rFonts w:ascii="Times New Roman;Times;serif" w:hAnsi="Times New Roman;Times;serif"/>
          <w:sz w:val="22"/>
        </w:rPr>
        <w:t>, in its capacity as administrative agent for the Lenders (as defined in the Credit Agreement described below) (in such capacity, the “</w:t>
      </w:r>
      <w:r>
        <w:rPr>
          <w:rFonts w:ascii="Times New Roman;Times;serif" w:hAnsi="Times New Roman;Times;serif"/>
          <w:sz w:val="22"/>
          <w:u w:val="single"/>
        </w:rPr>
        <w:t>Administrative Agent</w:t>
      </w:r>
      <w:r>
        <w:rPr>
          <w:rFonts w:ascii="Times New Roman;Times;serif" w:hAnsi="Times New Roman;Times;serif"/>
          <w:sz w:val="20"/>
        </w:rPr>
        <w:t>”</w:t>
      </w:r>
      <w:r>
        <w:rPr>
          <w:rFonts w:ascii="Times New Roman;Times;serif" w:hAnsi="Times New Roman;Times;serif"/>
          <w:sz w:val="22"/>
        </w:rPr>
        <w:t>), Swing Line Lender and an L/C Issuer, and the Lenders party hereto (including the Increasing Lenders (as defined below)).  Each capitalized term used and not otherwise defined in this Amendment has the definition specified in the Credit Agreement described below.</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RECITALS: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Borrowers, certain Subsidiaries of the Company party thereto from time to time, the Administrative Agent and certain financial institutions party thereto from time to time (the “</w:t>
      </w:r>
      <w:r>
        <w:rPr>
          <w:rFonts w:ascii="Times New Roman;Times;serif" w:hAnsi="Times New Roman;Times;serif"/>
          <w:sz w:val="22"/>
          <w:u w:val="single"/>
        </w:rPr>
        <w:t>Lenders</w:t>
      </w:r>
      <w:r>
        <w:rPr>
          <w:rFonts w:ascii="Times New Roman;Times;serif" w:hAnsi="Times New Roman;Times;serif"/>
          <w:sz w:val="20"/>
        </w:rPr>
        <w:t>”</w:t>
      </w:r>
      <w:r>
        <w:rPr>
          <w:rFonts w:ascii="Times New Roman;Times;serif" w:hAnsi="Times New Roman;Times;serif"/>
          <w:sz w:val="22"/>
        </w:rPr>
        <w:t>) have entered into that certain Third Amended and Restated Credit Agreement dated as of January 17, 2025 (as amended, restated, supplemented or otherwise modified prior to the date hereof, the “</w:t>
      </w:r>
      <w:r>
        <w:rPr>
          <w:rFonts w:ascii="Times New Roman;Times;serif" w:hAnsi="Times New Roman;Times;serif"/>
          <w:sz w:val="22"/>
          <w:u w:val="single"/>
        </w:rPr>
        <w:t>Credit Agreement</w:t>
      </w:r>
      <w:r>
        <w:rPr>
          <w:rFonts w:ascii="Times New Roman;Times;serif" w:hAnsi="Times New Roman;Times;serif"/>
          <w:sz w:val="20"/>
        </w:rPr>
        <w:t xml:space="preserve">” </w:t>
      </w:r>
      <w:r>
        <w:rPr>
          <w:rFonts w:ascii="Times New Roman;Times;serif" w:hAnsi="Times New Roman;Times;serif"/>
          <w:sz w:val="22"/>
        </w:rPr>
        <w:t>and as amended after giving effect to this Amendment, the “</w:t>
      </w:r>
      <w:r>
        <w:rPr>
          <w:rFonts w:ascii="Times New Roman;Times;serif" w:hAnsi="Times New Roman;Times;serif"/>
          <w:sz w:val="22"/>
          <w:u w:val="single"/>
        </w:rPr>
        <w:t>Amended Credit Agreement</w:t>
      </w:r>
      <w:r>
        <w:rPr>
          <w:rFonts w:ascii="Times New Roman;Times;serif" w:hAnsi="Times New Roman;Times;serif"/>
          <w:sz w:val="20"/>
        </w:rPr>
        <w:t>”</w:t>
      </w:r>
      <w:r>
        <w:rPr>
          <w:rFonts w:ascii="Times New Roman;Times;serif" w:hAnsi="Times New Roman;Times;serif"/>
          <w:sz w:val="22"/>
        </w:rPr>
        <w:t>),</w:t>
      </w:r>
      <w:r>
        <w:rPr>
          <w:rFonts w:ascii="Times New Roman;Times;serif" w:hAnsi="Times New Roman;Times;serif"/>
          <w:sz w:val="20"/>
        </w:rPr>
        <w:t xml:space="preserve"> </w:t>
      </w:r>
      <w:r>
        <w:rPr>
          <w:rFonts w:ascii="Times New Roman;Times;serif" w:hAnsi="Times New Roman;Times;serif"/>
          <w:sz w:val="22"/>
        </w:rPr>
        <w:t>pursuant to which the Lenders have made available to the Borrowers a senior revolving credit facility.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The Company has notified the Administrative Agent of a request for an increase in the Aggregate Commitments in the aggregate principal amount of $1,000,000,000 (the “</w:t>
      </w:r>
      <w:r>
        <w:rPr>
          <w:rFonts w:ascii="Times New Roman;Times;serif" w:hAnsi="Times New Roman;Times;serif"/>
          <w:sz w:val="22"/>
          <w:u w:val="single"/>
        </w:rPr>
        <w:t>2026-2 Commitment Increase</w:t>
      </w:r>
      <w:r>
        <w:rPr>
          <w:rFonts w:ascii="Times New Roman;Times;serif" w:hAnsi="Times New Roman;Times;serif"/>
          <w:sz w:val="20"/>
        </w:rPr>
        <w:t>”</w:t>
      </w:r>
      <w:r>
        <w:rPr>
          <w:rFonts w:ascii="Times New Roman;Times;serif" w:hAnsi="Times New Roman;Times;serif"/>
          <w:sz w:val="22"/>
        </w:rPr>
        <w:t xml:space="preserve">), and the Persons set forth on </w:t>
      </w:r>
      <w:r>
        <w:rPr>
          <w:rFonts w:ascii="Times New Roman;Times;serif" w:hAnsi="Times New Roman;Times;serif"/>
          <w:sz w:val="22"/>
          <w:u w:val="single"/>
        </w:rPr>
        <w:t>Annex I</w:t>
      </w:r>
      <w:r>
        <w:rPr>
          <w:rFonts w:ascii="Times New Roman;Times;serif" w:hAnsi="Times New Roman;Times;serif"/>
          <w:sz w:val="20"/>
        </w:rPr>
        <w:t xml:space="preserve"> </w:t>
      </w:r>
      <w:r>
        <w:rPr>
          <w:rFonts w:ascii="Times New Roman;Times;serif" w:hAnsi="Times New Roman;Times;serif"/>
          <w:sz w:val="22"/>
        </w:rPr>
        <w:t>to this Amendment, including each lender identified on the signature pages hereto as “New Lender” (each, a “</w:t>
      </w:r>
      <w:r>
        <w:rPr>
          <w:rFonts w:ascii="Times New Roman;Times;serif" w:hAnsi="Times New Roman;Times;serif"/>
          <w:sz w:val="22"/>
          <w:u w:val="single"/>
        </w:rPr>
        <w:t>New Lender</w:t>
      </w:r>
      <w:r>
        <w:rPr>
          <w:rFonts w:ascii="Times New Roman;Times;serif" w:hAnsi="Times New Roman;Times;serif"/>
          <w:sz w:val="20"/>
        </w:rPr>
        <w:t xml:space="preserve">” </w:t>
      </w:r>
      <w:r>
        <w:rPr>
          <w:rFonts w:ascii="Times New Roman;Times;serif" w:hAnsi="Times New Roman;Times;serif"/>
          <w:sz w:val="22"/>
        </w:rPr>
        <w:t>and collectively, the “</w:t>
      </w:r>
      <w:r>
        <w:rPr>
          <w:rFonts w:ascii="Times New Roman;Times;serif" w:hAnsi="Times New Roman;Times;serif"/>
          <w:sz w:val="22"/>
          <w:u w:val="single"/>
        </w:rPr>
        <w:t>New Lenders</w:t>
      </w:r>
      <w:r>
        <w:rPr>
          <w:rFonts w:ascii="Times New Roman;Times;serif" w:hAnsi="Times New Roman;Times;serif"/>
          <w:sz w:val="20"/>
        </w:rPr>
        <w:t>”</w:t>
      </w:r>
      <w:r>
        <w:rPr>
          <w:rFonts w:ascii="Times New Roman;Times;serif" w:hAnsi="Times New Roman;Times;serif"/>
          <w:sz w:val="22"/>
        </w:rPr>
        <w:t>) (each such Person, an “</w:t>
      </w:r>
      <w:r>
        <w:rPr>
          <w:rFonts w:ascii="Times New Roman;Times;serif" w:hAnsi="Times New Roman;Times;serif"/>
          <w:sz w:val="22"/>
          <w:u w:val="single"/>
        </w:rPr>
        <w:t>Increasing Lender</w:t>
      </w:r>
      <w:r>
        <w:rPr>
          <w:rFonts w:ascii="Times New Roman;Times;serif" w:hAnsi="Times New Roman;Times;serif"/>
          <w:sz w:val="20"/>
        </w:rPr>
        <w:t xml:space="preserve">” </w:t>
      </w:r>
      <w:r>
        <w:rPr>
          <w:rFonts w:ascii="Times New Roman;Times;serif" w:hAnsi="Times New Roman;Times;serif"/>
          <w:sz w:val="22"/>
        </w:rPr>
        <w:t>and collectively, the “</w:t>
      </w:r>
      <w:r>
        <w:rPr>
          <w:rFonts w:ascii="Times New Roman;Times;serif" w:hAnsi="Times New Roman;Times;serif"/>
          <w:sz w:val="22"/>
          <w:u w:val="single"/>
        </w:rPr>
        <w:t>Increasing Lenders</w:t>
      </w:r>
      <w:r>
        <w:rPr>
          <w:rFonts w:ascii="Times New Roman;Times;serif" w:hAnsi="Times New Roman;Times;serif"/>
          <w:sz w:val="20"/>
        </w:rPr>
        <w:t>”</w:t>
      </w:r>
      <w:r>
        <w:rPr>
          <w:rFonts w:ascii="Times New Roman;Times;serif" w:hAnsi="Times New Roman;Times;serif"/>
          <w:sz w:val="22"/>
        </w:rPr>
        <w:t>) are willing to provide the 2026-2 Commitment Increase on the Effective Date (as defined below) on the terms set forth herein and in the Credit Agreement and subject to the conditions set forth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The Company has also requested that the Credit Agreement be amended as set forth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Each of the Borrowers, the Administrative Agent, the Increasing Lenders and the other Lenders party hereto (constituting all of the Lenders under the Credit Agreement and the New Lenders) have agreed to the 2026-2 Commitment Increase and this Amendment, in each case, as evidenced by each such party’s signature to this Amendment.</w:t>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In consideration of the premises and further valuable consideration, the receipt and sufficiency of which is hereby acknowledged, the parties hereto agree as follows: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w:t>
      </w:r>
      <w:r>
        <w:rPr>
          <w:rFonts w:ascii="Times New Roman;Times;serif" w:hAnsi="Times New Roman;Times;serif"/>
          <w:b/>
          <w:sz w:val="22"/>
        </w:rPr>
        <w:t>2026-2 Commitment Increase</w:t>
      </w:r>
      <w:r>
        <w:rPr>
          <w:rFonts w:ascii="Times New Roman;Times;serif" w:hAnsi="Times New Roman;Times;serif"/>
          <w:sz w:val="22"/>
        </w:rPr>
        <w:t>. Subject to the terms and conditions set forth herein and in reliance upon the representations and warranties set forth herein, as of the Effective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(i) the 2026-2 Commitment Increase shall be provided by the applicable Increasing Lenders (including, for the avoidance of doubt, the New Lenders) in the amounts set forth on </w:t>
      </w:r>
      <w:r>
        <w:rPr>
          <w:rFonts w:ascii="Times New Roman;Times;serif" w:hAnsi="Times New Roman;Times;serif"/>
          <w:sz w:val="22"/>
          <w:u w:val="single"/>
        </w:rPr>
        <w:t>Annex I</w:t>
      </w:r>
      <w:r>
        <w:rPr>
          <w:rFonts w:ascii="Times New Roman;Times;serif" w:hAnsi="Times New Roman;Times;serif"/>
          <w:sz w:val="20"/>
        </w:rPr>
        <w:t xml:space="preserve"> </w:t>
      </w:r>
      <w:r>
        <w:rPr>
          <w:rFonts w:ascii="Times New Roman;Times;serif" w:hAnsi="Times New Roman;Times;serif"/>
          <w:sz w:val="22"/>
        </w:rPr>
        <w:t xml:space="preserve">to this Amendment, (ii) the 2026-2 Commitment Increase will be made available as Commitments by such applicable Increasing Lenders to the relevant Borrowers on and after the Effective Date, (iii) the aggregate principal amount of the 2026-2 Commitment Increase shall not constitute usage of the Maximum Aggregate Commitment Increase under </w:t>
      </w:r>
      <w:r>
        <w:rPr>
          <w:rFonts w:ascii="Times New Roman;Times;serif" w:hAnsi="Times New Roman;Times;serif"/>
          <w:sz w:val="22"/>
          <w:u w:val="single"/>
        </w:rPr>
        <w:t>Section 2.15</w:t>
      </w:r>
      <w:r>
        <w:rPr>
          <w:rFonts w:ascii="Times New Roman;Times;serif" w:hAnsi="Times New Roman;Times;serif"/>
          <w:sz w:val="20"/>
        </w:rPr>
        <w:t xml:space="preserve"> </w:t>
      </w:r>
      <w:r>
        <w:rPr>
          <w:rFonts w:ascii="Times New Roman;Times;serif" w:hAnsi="Times New Roman;Times;serif"/>
          <w:sz w:val="22"/>
        </w:rPr>
        <w:t xml:space="preserve">of the Credit Agreement, and shall have the same pricing and maturity as (as well as all other terms and conditions applicable to) the Aggregate Commitments prior to giving effect to the 2026-2 Commitment Increase and this Amendment (subject to removal of the SOFR Adjustment as set forth in the Amended Credit Agreement attached hereto as </w:t>
      </w:r>
      <w:r>
        <w:rPr>
          <w:rFonts w:ascii="Times New Roman;Times;serif" w:hAnsi="Times New Roman;Times;serif"/>
          <w:sz w:val="22"/>
          <w:u w:val="single"/>
        </w:rPr>
        <w:t>Annex III</w:t>
      </w:r>
      <w:r>
        <w:rPr>
          <w:rFonts w:ascii="Times New Roman;Times;serif" w:hAnsi="Times New Roman;Times;serif"/>
          <w:sz w:val="22"/>
        </w:rPr>
        <w:t>), (iv) the amount of outstanding Loans on the Effective Date will be reallocated by and among the Lenders on the Effective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Date by the Administrative Agent to reflect the 2026-2 Commitment Increase, and the relevant Lenders (at the direction of the Administrative Agent) will make such payments among themselves so that the outstanding Loans are held ratably (and ratably among Interest Periods) by the Lenders on the Effective Date, (v) </w:t>
      </w:r>
      <w:r>
        <w:rPr>
          <w:rFonts w:ascii="Times New Roman;Times;serif" w:hAnsi="Times New Roman;Times;serif"/>
          <w:sz w:val="22"/>
          <w:u w:val="single"/>
        </w:rPr>
        <w:t>Schedule 2.01</w:t>
      </w:r>
      <w:r>
        <w:rPr>
          <w:rFonts w:ascii="Times New Roman;Times;serif" w:hAnsi="Times New Roman;Times;serif"/>
          <w:sz w:val="20"/>
        </w:rPr>
        <w:t xml:space="preserve"> </w:t>
      </w:r>
      <w:r>
        <w:rPr>
          <w:rFonts w:ascii="Times New Roman;Times;serif" w:hAnsi="Times New Roman;Times;serif"/>
          <w:sz w:val="22"/>
        </w:rPr>
        <w:t xml:space="preserve">of the Credit Agreement shall be amended to read in its entirety as set forth on </w:t>
      </w:r>
      <w:r>
        <w:rPr>
          <w:rFonts w:ascii="Times New Roman;Times;serif" w:hAnsi="Times New Roman;Times;serif"/>
          <w:sz w:val="22"/>
          <w:u w:val="single"/>
        </w:rPr>
        <w:t>Annex II</w:t>
      </w:r>
      <w:r>
        <w:rPr>
          <w:rFonts w:ascii="Times New Roman;Times;serif" w:hAnsi="Times New Roman;Times;serif"/>
          <w:sz w:val="20"/>
        </w:rPr>
        <w:t xml:space="preserve"> </w:t>
      </w:r>
      <w:r>
        <w:rPr>
          <w:rFonts w:ascii="Times New Roman;Times;serif" w:hAnsi="Times New Roman;Times;serif"/>
          <w:sz w:val="22"/>
        </w:rPr>
        <w:t xml:space="preserve">to this Amendment, and (vi) the Credit Agreement will be amended to effectuate the foregoing </w:t>
      </w:r>
      <w:r>
        <w:rPr>
          <w:rFonts w:ascii="Times New Roman;Times;serif" w:hAnsi="Times New Roman;Times;serif"/>
          <w:sz w:val="22"/>
          <w:u w:val="single"/>
        </w:rPr>
        <w:t>clauses (i)</w:t>
      </w:r>
      <w:r>
        <w:rPr>
          <w:rFonts w:ascii="Times New Roman;Times;serif" w:hAnsi="Times New Roman;Times;serif"/>
          <w:sz w:val="20"/>
        </w:rPr>
        <w:t xml:space="preserve"> </w:t>
      </w:r>
      <w:r>
        <w:rPr>
          <w:rFonts w:ascii="Times New Roman;Times;serif" w:hAnsi="Times New Roman;Times;serif"/>
          <w:sz w:val="22"/>
        </w:rPr>
        <w:t xml:space="preserve">through </w:t>
      </w:r>
      <w:r>
        <w:rPr>
          <w:rFonts w:ascii="Times New Roman;Times;serif" w:hAnsi="Times New Roman;Times;serif"/>
          <w:sz w:val="22"/>
          <w:u w:val="single"/>
        </w:rPr>
        <w:t>(v)</w:t>
      </w:r>
      <w:r>
        <w:rPr>
          <w:rFonts w:ascii="Times New Roman;Times;serif" w:hAnsi="Times New Roman;Times;serif"/>
          <w:sz w:val="20"/>
        </w:rPr>
        <w:t xml:space="preserve"> </w:t>
      </w:r>
      <w:r>
        <w:rPr>
          <w:rFonts w:ascii="Times New Roman;Times;serif" w:hAnsi="Times New Roman;Times;serif"/>
          <w:sz w:val="22"/>
        </w:rPr>
        <w:t xml:space="preserve">in accordance with </w:t>
      </w:r>
      <w:r>
        <w:rPr>
          <w:rFonts w:ascii="Times New Roman;Times;serif" w:hAnsi="Times New Roman;Times;serif"/>
          <w:sz w:val="22"/>
          <w:u w:val="single"/>
        </w:rPr>
        <w:t>Section 10.01</w:t>
      </w:r>
      <w:r>
        <w:rPr>
          <w:rFonts w:ascii="Times New Roman;Times;serif" w:hAnsi="Times New Roman;Times;serif"/>
          <w:sz w:val="20"/>
        </w:rPr>
        <w:t xml:space="preserve"> </w:t>
      </w:r>
      <w:r>
        <w:rPr>
          <w:rFonts w:ascii="Times New Roman;Times;serif" w:hAnsi="Times New Roman;Times;serif"/>
          <w:sz w:val="22"/>
        </w:rPr>
        <w:t>of the Credit Agreement;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without limiting the foregoing, (i) in connection with the 2026-2 Commitment Increase, the Administrative Agent shall make such adjustments between and among the applicable Lenders and the Borrowers as are reasonably necessary to effectuate the 2026-2 Commitment Increase and (ii) in connection with any reallocation of Loans or Interest Periods on the Effective Date, each of the Lenders party hereto consents to any early termination of any Interest Periods in respect of such reallocation and agrees to waive any amounts to which it might otherwise be entitled under </w:t>
      </w:r>
      <w:r>
        <w:rPr>
          <w:rFonts w:ascii="Times New Roman;Times;serif" w:hAnsi="Times New Roman;Times;serif"/>
          <w:sz w:val="22"/>
          <w:u w:val="single"/>
        </w:rPr>
        <w:t>Section 3.05</w:t>
      </w:r>
      <w:r>
        <w:rPr>
          <w:rFonts w:ascii="Times New Roman;Times;serif" w:hAnsi="Times New Roman;Times;serif"/>
          <w:sz w:val="20"/>
        </w:rPr>
        <w:t xml:space="preserve"> </w:t>
      </w:r>
      <w:r>
        <w:rPr>
          <w:rFonts w:ascii="Times New Roman;Times;serif" w:hAnsi="Times New Roman;Times;serif"/>
          <w:sz w:val="22"/>
        </w:rPr>
        <w:t xml:space="preserve">of the Credit Agreement in connection therewith. For the avoidance of doubt, after giving effect to this Amendment and the 2026-2 Commitment Increase, the “Maximum Aggregate Commitment Increase” available pursuant to </w:t>
      </w:r>
      <w:r>
        <w:rPr>
          <w:rFonts w:ascii="Times New Roman;Times;serif" w:hAnsi="Times New Roman;Times;serif"/>
          <w:sz w:val="22"/>
          <w:u w:val="single"/>
        </w:rPr>
        <w:t>Section 2.15</w:t>
      </w:r>
      <w:r>
        <w:rPr>
          <w:rFonts w:ascii="Times New Roman;Times;serif" w:hAnsi="Times New Roman;Times;serif"/>
          <w:sz w:val="20"/>
        </w:rPr>
        <w:t xml:space="preserve"> </w:t>
      </w:r>
      <w:r>
        <w:rPr>
          <w:rFonts w:ascii="Times New Roman;Times;serif" w:hAnsi="Times New Roman;Times;serif"/>
          <w:sz w:val="22"/>
        </w:rPr>
        <w:t xml:space="preserve">of the Amended Credit Agreement shall be $1,000,000,000 as set forth in the Amended Credit Agreement attached hereto as </w:t>
      </w:r>
      <w:r>
        <w:rPr>
          <w:rFonts w:ascii="Times New Roman;Times;serif" w:hAnsi="Times New Roman;Times;serif"/>
          <w:sz w:val="22"/>
          <w:u w:val="single"/>
        </w:rPr>
        <w:t>Annex III</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2.</w:t>
      </w:r>
      <w:r>
        <w:rPr>
          <w:rFonts w:ascii="Times New Roman;Times;serif" w:hAnsi="Times New Roman;Times;serif"/>
          <w:b/>
          <w:sz w:val="22"/>
        </w:rPr>
        <w:t>Joinder of New Lenders.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Each New Lender (i) represents and warrants that (A) it has full power and authority, and has taken all action necessary, to execute and deliver this Amendment and to consummate the transactions contemplated hereby and to become a Lender under the Amended Credit Agreement, (B) it meets all requirements of an Eligible Assignee under the Credit Agreement (subject to such consents, if any, as may be required under </w:t>
      </w:r>
      <w:r>
        <w:rPr>
          <w:rFonts w:ascii="Times New Roman;Times;serif" w:hAnsi="Times New Roman;Times;serif"/>
          <w:sz w:val="22"/>
          <w:u w:val="single"/>
        </w:rPr>
        <w:t>Section 10.06(b)(iii)</w:t>
      </w:r>
      <w:r>
        <w:rPr>
          <w:rFonts w:ascii="Times New Roman;Times;serif" w:hAnsi="Times New Roman;Times;serif"/>
          <w:sz w:val="20"/>
        </w:rPr>
        <w:t xml:space="preserve"> </w:t>
      </w:r>
      <w:r>
        <w:rPr>
          <w:rFonts w:ascii="Times New Roman;Times;serif" w:hAnsi="Times New Roman;Times;serif"/>
          <w:sz w:val="22"/>
        </w:rPr>
        <w:t xml:space="preserve">of the Credit Agreement), (C) from and after the Effective Date, it shall be bound by the provisions of the Amended Credit Agreement as a Lender thereunder and shall have the obligations of a Lender thereunder and hold the Commitments applicable to such New Lender in the amount set forth on </w:t>
      </w:r>
      <w:r>
        <w:rPr>
          <w:rFonts w:ascii="Times New Roman;Times;serif" w:hAnsi="Times New Roman;Times;serif"/>
          <w:sz w:val="22"/>
          <w:u w:val="single"/>
        </w:rPr>
        <w:t>Annex I</w:t>
      </w:r>
      <w:r>
        <w:rPr>
          <w:rFonts w:ascii="Times New Roman;Times;serif" w:hAnsi="Times New Roman;Times;serif"/>
          <w:sz w:val="20"/>
        </w:rPr>
        <w:t xml:space="preserve"> </w:t>
      </w:r>
      <w:r>
        <w:rPr>
          <w:rFonts w:ascii="Times New Roman;Times;serif" w:hAnsi="Times New Roman;Times;serif"/>
          <w:sz w:val="22"/>
        </w:rPr>
        <w:t xml:space="preserve">to this Amendment (as such Commitments may be modified at any time or from time to time pursuant to the terms of the Loan Documents), (D) it is sophisticated with respect to decisions to acquire assets of the type represented by its Commitments and either it, or the Person exercising discretion in making its decision to acquire its Commitments, is experienced in acquiring assets of such type, (E) it has received a copy of the Amended Credit Agreement and the other Loan Documents, and has received or has been accorded the opportunity to receive copies of the most recent financial statements delivered pursuant to </w:t>
      </w:r>
      <w:r>
        <w:rPr>
          <w:rFonts w:ascii="Times New Roman;Times;serif" w:hAnsi="Times New Roman;Times;serif"/>
          <w:sz w:val="22"/>
          <w:u w:val="single"/>
        </w:rPr>
        <w:t>Section 6.01</w:t>
      </w:r>
      <w:r>
        <w:rPr>
          <w:rFonts w:ascii="Times New Roman;Times;serif" w:hAnsi="Times New Roman;Times;serif"/>
          <w:sz w:val="20"/>
        </w:rPr>
        <w:t xml:space="preserve"> </w:t>
      </w:r>
      <w:r>
        <w:rPr>
          <w:rFonts w:ascii="Times New Roman;Times;serif" w:hAnsi="Times New Roman;Times;serif"/>
          <w:sz w:val="22"/>
        </w:rPr>
        <w:t>of the Credit Agreement, as applicable, and such other documents and information as it deems appropriate to make its own credit analysis and decision to enter into this Amendment and to acquire its Commitments, (F) it has, independently and without reliance upon the Administrative Agent or any other Lender or any of their Related Parties and based on such documents and information as it has deemed appropriate, made its own credit analysis and decision to enter into this Amendment and to acquire its Loans, and (G) if it is a Foreign Lender, it has delivered to the Administrative Agent and the Borrower any documentation required to be delivered by it pursuant to the terms of the Credit Agreement, duly completed and executed by such New Lender, as applicable; and (ii) agrees that (A) it will, independently and without reliance upon the Administrative Agent or any other Lender or any of their Related Parties, and based on such documents and information as it shall deem appropriate at the time, continue to make its own credit decisions in taking or not taking action under the Loan Documents, and (B) it will perform in accordance with their terms all of the obligations which by the terms of the Loan Documents are required to be performed by it as a Lender. On and after the Effective Date, all references to the “Lenders” in the Credit Agreement and the other Loan Documents shall be deemed to include the New Lenders.</w:t>
      </w:r>
    </w:p>
    <w:p>
      <w:pPr>
        <w:pStyle w:val="TextBody"/>
        <w:bidi w:val="0"/>
        <w:spacing w:before="0" w:after="0"/>
        <w:ind w:left="720" w:right="0" w:firstLine="72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Each of the Company, the Administrative Agent, the L/C Issuers and the Swing Line Lender hereby consents to each New Lender providing its respective portions of the Commitments and becoming a Lender under the Amended Credit Agreement.</w:t>
      </w:r>
    </w:p>
    <w:p>
      <w:pPr>
        <w:pStyle w:val="TextBody"/>
        <w:bidi w:val="0"/>
        <w:spacing w:before="0" w:after="0"/>
        <w:ind w:left="72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3.</w:t>
      </w:r>
      <w:r>
        <w:rPr>
          <w:rFonts w:ascii="Times New Roman;Times;serif" w:hAnsi="Times New Roman;Times;serif"/>
          <w:b/>
          <w:sz w:val="22"/>
        </w:rPr>
        <w:t xml:space="preserve">Amendments to Credit Agreement. </w:t>
      </w:r>
      <w:r>
        <w:rPr>
          <w:rFonts w:ascii="Times New Roman;Times;serif" w:hAnsi="Times New Roman;Times;serif"/>
          <w:sz w:val="22"/>
        </w:rPr>
        <w:t xml:space="preserve">Subject to the terms and conditions set forth herein and in reliance upon the representations and warranties set forth herein, as of the Effective Date, the parties hereto hereby agree that the Credit Agreement (exclusive of the Schedules and Exhibits thereto) is hereby amended to (a) delete the red stricken text (indicated textually in the same manner as the following example: </w:t>
      </w:r>
      <w:r>
        <w:rPr>
          <w:rFonts w:ascii="Times New Roman;Times;serif" w:hAnsi="Times New Roman;Times;serif"/>
          <w:color w:val="FF0000"/>
          <w:sz w:val="22"/>
        </w:rPr>
        <w:t>red stricken text</w:t>
      </w:r>
      <w:r>
        <w:rPr>
          <w:rFonts w:ascii="Times New Roman;Times;serif" w:hAnsi="Times New Roman;Times;serif"/>
          <w:sz w:val="22"/>
        </w:rPr>
        <w:t xml:space="preserve">), (b) add the blue double-underlined text (indicated textually in the same manner as the following example: </w:t>
      </w:r>
      <w:r>
        <w:rPr>
          <w:rFonts w:ascii="Times New Roman;Times;serif" w:hAnsi="Times New Roman;Times;serif"/>
          <w:color w:val="0000FF"/>
          <w:sz w:val="22"/>
          <w:u w:val="single"/>
        </w:rPr>
        <w:t>blue double underlined text</w:t>
      </w:r>
      <w:r>
        <w:rPr>
          <w:rFonts w:ascii="Times New Roman;Times;serif" w:hAnsi="Times New Roman;Times;serif"/>
          <w:sz w:val="22"/>
        </w:rPr>
        <w:t xml:space="preserve">) and (c) move the green stricken text (indicated textually in the same manner as the following example: </w:t>
      </w:r>
      <w:r>
        <w:rPr>
          <w:rFonts w:ascii="Times New Roman;Times;serif" w:hAnsi="Times New Roman;Times;serif"/>
          <w:color w:val="00B050"/>
          <w:sz w:val="22"/>
        </w:rPr>
        <w:t>stricken green text</w:t>
      </w:r>
      <w:r>
        <w:rPr>
          <w:rFonts w:ascii="Times New Roman;Times;serif" w:hAnsi="Times New Roman;Times;serif"/>
          <w:sz w:val="22"/>
        </w:rPr>
        <w:t xml:space="preserve">) to where shown in green double-underlined text (indicated textually in the same manner as the following example: </w:t>
      </w:r>
      <w:r>
        <w:rPr>
          <w:rFonts w:ascii="Times New Roman;Times;serif" w:hAnsi="Times New Roman;Times;serif"/>
          <w:color w:val="00B050"/>
          <w:sz w:val="22"/>
          <w:u w:val="single"/>
        </w:rPr>
        <w:t>green double underlined text</w:t>
      </w:r>
      <w:r>
        <w:rPr>
          <w:rFonts w:ascii="Times New Roman;Times;serif" w:hAnsi="Times New Roman;Times;serif"/>
          <w:sz w:val="22"/>
        </w:rPr>
        <w:t xml:space="preserve">), in each case, as set forth in the Amended Credit Agreement attached hereto as </w:t>
      </w:r>
      <w:r>
        <w:rPr>
          <w:rFonts w:ascii="Times New Roman;Times;serif" w:hAnsi="Times New Roman;Times;serif"/>
          <w:sz w:val="22"/>
          <w:u w:val="single"/>
        </w:rPr>
        <w:t>Annex III</w:t>
      </w:r>
      <w:r>
        <w:rPr>
          <w:rFonts w:ascii="Times New Roman;Times;serif" w:hAnsi="Times New Roman;Times;serif"/>
          <w:sz w:val="22"/>
        </w:rPr>
        <w:t>.</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 xml:space="preserve">Section 4. </w:t>
      </w:r>
      <w:r>
        <w:rPr>
          <w:rFonts w:ascii="Times New Roman;Times;serif" w:hAnsi="Times New Roman;Times;serif"/>
          <w:b/>
          <w:sz w:val="22"/>
        </w:rPr>
        <w:t xml:space="preserve">Effectiveness; Conditions Precedent. </w:t>
      </w:r>
      <w:r>
        <w:rPr>
          <w:rFonts w:ascii="Times New Roman;Times;serif" w:hAnsi="Times New Roman;Times;serif"/>
          <w:sz w:val="22"/>
        </w:rPr>
        <w:t xml:space="preserve">This Amendment, the 2026-2 Commitment Increase and related amendments provided in </w:t>
      </w:r>
      <w:r>
        <w:rPr>
          <w:rFonts w:ascii="Times New Roman;Times;serif" w:hAnsi="Times New Roman;Times;serif"/>
          <w:sz w:val="22"/>
          <w:u w:val="single"/>
        </w:rPr>
        <w:t>Section 1</w:t>
      </w:r>
      <w:r>
        <w:rPr>
          <w:rFonts w:ascii="Times New Roman;Times;serif" w:hAnsi="Times New Roman;Times;serif"/>
          <w:sz w:val="20"/>
        </w:rPr>
        <w:t xml:space="preserve"> </w:t>
      </w:r>
      <w:r>
        <w:rPr>
          <w:rFonts w:ascii="Times New Roman;Times;serif" w:hAnsi="Times New Roman;Times;serif"/>
          <w:sz w:val="22"/>
        </w:rPr>
        <w:t xml:space="preserve">hereof and the amendments to the Credit Agreement provided in </w:t>
      </w:r>
      <w:r>
        <w:rPr>
          <w:rFonts w:ascii="Times New Roman;Times;serif" w:hAnsi="Times New Roman;Times;serif"/>
          <w:sz w:val="22"/>
          <w:u w:val="single"/>
        </w:rPr>
        <w:t>Section 3</w:t>
      </w:r>
      <w:r>
        <w:rPr>
          <w:rFonts w:ascii="Times New Roman;Times;serif" w:hAnsi="Times New Roman;Times;serif"/>
          <w:sz w:val="20"/>
        </w:rPr>
        <w:t xml:space="preserve"> </w:t>
      </w:r>
      <w:r>
        <w:rPr>
          <w:rFonts w:ascii="Times New Roman;Times;serif" w:hAnsi="Times New Roman;Times;serif"/>
          <w:sz w:val="22"/>
        </w:rPr>
        <w:t>hereof, shall each become effective as of the date on which the following conditions precedent are satisfied or waived (the “</w:t>
      </w:r>
      <w:r>
        <w:rPr>
          <w:rFonts w:ascii="Times New Roman;Times;serif" w:hAnsi="Times New Roman;Times;serif"/>
          <w:sz w:val="22"/>
          <w:u w:val="single"/>
        </w:rPr>
        <w:t>Effective Date</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Administrative Agent shall have received, in form and substance reasonably satisfactory to the Administrative Agent, at least one fully executed copy of this Amendment, duly executed by each of the Borrowers, the Administrative Agent, the Swing Line Lender, the L/C Issuers and the Lenders (including the Increasing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the Company shall have delivered to the Administrative Agent a certificate of each Loan Party dated as of the Effective Date signed by a Responsible Officer of such Loan Party (A) certifying and attaching the resolutions adopted by such Loan Party approving or consenting to the 2026-2 Commitment Increase, and (B) in the case of the Company, certifying that, before and after giving effect to such increase, (1) the representations and warranties contained in </w:t>
      </w:r>
      <w:r>
        <w:rPr>
          <w:rFonts w:ascii="Times New Roman;Times;serif" w:hAnsi="Times New Roman;Times;serif"/>
          <w:sz w:val="22"/>
          <w:u w:val="single"/>
        </w:rPr>
        <w:t>Article V</w:t>
      </w:r>
      <w:r>
        <w:rPr>
          <w:rFonts w:ascii="Times New Roman;Times;serif" w:hAnsi="Times New Roman;Times;serif"/>
          <w:sz w:val="20"/>
        </w:rPr>
        <w:t xml:space="preserve"> </w:t>
      </w:r>
      <w:r>
        <w:rPr>
          <w:rFonts w:ascii="Times New Roman;Times;serif" w:hAnsi="Times New Roman;Times;serif"/>
          <w:sz w:val="22"/>
        </w:rPr>
        <w:t xml:space="preserve">of the Credit Agreement and the other Loan Documents are true and correct on and as of the Effective Date, except to the extent that such representations and warranties specifically refer to an earlier date, in which case they are true and correct as of such earlier date, except that the representations and warranties contained in </w:t>
      </w:r>
      <w:r>
        <w:rPr>
          <w:rFonts w:ascii="Times New Roman;Times;serif" w:hAnsi="Times New Roman;Times;serif"/>
          <w:sz w:val="22"/>
          <w:u w:val="single"/>
        </w:rPr>
        <w:t>subsections (a)</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(b)</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sz w:val="22"/>
          <w:u w:val="single"/>
        </w:rPr>
        <w:t>Section 5.05</w:t>
      </w:r>
      <w:r>
        <w:rPr>
          <w:rFonts w:ascii="Times New Roman;Times;serif" w:hAnsi="Times New Roman;Times;serif"/>
          <w:sz w:val="20"/>
        </w:rPr>
        <w:t xml:space="preserve"> </w:t>
      </w:r>
      <w:r>
        <w:rPr>
          <w:rFonts w:ascii="Times New Roman;Times;serif" w:hAnsi="Times New Roman;Times;serif"/>
          <w:sz w:val="22"/>
        </w:rPr>
        <w:t xml:space="preserve">of the Credit Agreement shall be deemed to refer to the most recent statements furnished pursuant to </w:t>
      </w:r>
      <w:r>
        <w:rPr>
          <w:rFonts w:ascii="Times New Roman;Times;serif" w:hAnsi="Times New Roman;Times;serif"/>
          <w:sz w:val="22"/>
          <w:u w:val="single"/>
        </w:rPr>
        <w:t>clauses (a)</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(b)</w:t>
      </w:r>
      <w:r>
        <w:rPr>
          <w:rFonts w:ascii="Times New Roman;Times;serif" w:hAnsi="Times New Roman;Times;serif"/>
          <w:sz w:val="22"/>
        </w:rPr>
        <w:t xml:space="preserve">, respectively, of </w:t>
      </w:r>
      <w:r>
        <w:rPr>
          <w:rFonts w:ascii="Times New Roman;Times;serif" w:hAnsi="Times New Roman;Times;serif"/>
          <w:sz w:val="22"/>
          <w:u w:val="single"/>
        </w:rPr>
        <w:t>Section 6.01</w:t>
      </w:r>
      <w:r>
        <w:rPr>
          <w:rFonts w:ascii="Times New Roman;Times;serif" w:hAnsi="Times New Roman;Times;serif"/>
          <w:sz w:val="20"/>
        </w:rPr>
        <w:t xml:space="preserve"> </w:t>
      </w:r>
      <w:r>
        <w:rPr>
          <w:rFonts w:ascii="Times New Roman;Times;serif" w:hAnsi="Times New Roman;Times;serif"/>
          <w:sz w:val="22"/>
        </w:rPr>
        <w:t>of the Credit Agreement, and (2) no Default exists;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at least five days prior to the Effective Date, any Borrower that qualifies as a “legal entity customer” under the Beneficial Ownership Regulation shall have delivered a Beneficial Ownership Certification in relation to such Borrower to each Lender that so requests at least 10 days prior to the Effective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upon the reasonable request of any Lender made at least 10 days prior to the Effective Date, the Borrowers shall have provided to such Lender the documentation and other information so requested in connection with applicable “know your customer” and anti-money-laundering rules and regulations, including, without limitation, the PATRIOT Act, in each case at least five days prior to the Effective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0"/>
        </w:rPr>
        <w:t xml:space="preserve"> </w:t>
      </w:r>
      <w:r>
        <w:rPr>
          <w:rFonts w:ascii="Times New Roman;Times;serif" w:hAnsi="Times New Roman;Times;serif"/>
          <w:sz w:val="22"/>
        </w:rPr>
        <w:t>on or before the Effective Date, to the Person to whom such fees are owing, any fees required to be paid pursuant to this Amendment or the Engagement Letter dated as of September 16, 2026 between the Company and BofA Securities, Inc.;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 xml:space="preserve">the Company shall have paid all reasonable and documented fees, charges and disbursements of counsel to the Administrative Agent (directly to such counsel if requested by the Administrative Agent) to the extent required to be paid pursuant to </w:t>
      </w:r>
      <w:r>
        <w:rPr>
          <w:rFonts w:ascii="Times New Roman;Times;serif" w:hAnsi="Times New Roman;Times;serif"/>
          <w:sz w:val="22"/>
          <w:u w:val="single"/>
        </w:rPr>
        <w:t>Section 10.04</w:t>
      </w:r>
      <w:r>
        <w:rPr>
          <w:rFonts w:ascii="Times New Roman;Times;serif" w:hAnsi="Times New Roman;Times;serif"/>
          <w:sz w:val="20"/>
        </w:rPr>
        <w:t xml:space="preserve"> </w:t>
      </w:r>
      <w:r>
        <w:rPr>
          <w:rFonts w:ascii="Times New Roman;Times;serif" w:hAnsi="Times New Roman;Times;serif"/>
          <w:sz w:val="22"/>
        </w:rPr>
        <w:t>and invoiced at least one Business Day prior to the Effective Date (provided that the Company shall remain liable for any additional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reasonable and documented fees and expenses of such counsel to the Administrative Agent in accordance with </w:t>
      </w:r>
      <w:r>
        <w:rPr>
          <w:rFonts w:ascii="Times New Roman;Times;serif" w:hAnsi="Times New Roman;Times;serif"/>
          <w:sz w:val="22"/>
          <w:u w:val="single"/>
        </w:rPr>
        <w:t>Section 10.04</w:t>
      </w:r>
      <w:r>
        <w:rPr>
          <w:rFonts w:ascii="Times New Roman;Times;serif" w:hAnsi="Times New Roman;Times;serif"/>
          <w:sz w:val="22"/>
        </w:rPr>
        <w: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the Administrative Agent shall have received, in form and substance reasonably satisfactory to the Administrative Agent, opinions of (A) Covington &amp; Burling LLP, counsel to the Loan Parties, (B) Argo Law, Belgian counsel to Avnet Europe and (C) the General Counsel and Chief Legal Officer of the Company, each addressed to the Administrative Agent and each Lender.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Without limiting the generality of the provisions in </w:t>
      </w:r>
      <w:r>
        <w:rPr>
          <w:rFonts w:ascii="Times New Roman;Times;serif" w:hAnsi="Times New Roman;Times;serif"/>
          <w:sz w:val="22"/>
          <w:u w:val="single"/>
        </w:rPr>
        <w:t>Article IX</w:t>
      </w:r>
      <w:r>
        <w:rPr>
          <w:rFonts w:ascii="Times New Roman;Times;serif" w:hAnsi="Times New Roman;Times;serif"/>
          <w:sz w:val="20"/>
        </w:rPr>
        <w:t xml:space="preserve"> </w:t>
      </w:r>
      <w:r>
        <w:rPr>
          <w:rFonts w:ascii="Times New Roman;Times;serif" w:hAnsi="Times New Roman;Times;serif"/>
          <w:sz w:val="22"/>
        </w:rPr>
        <w:t>of the Credit Agreement, for purposes of determining compliance with the conditions specified in this Section, each Lender that has signed this Amendment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date hereof specifying its objection thereto.</w:t>
      </w:r>
    </w:p>
    <w:p>
      <w:pPr>
        <w:pStyle w:val="TextBody"/>
        <w:bidi w:val="0"/>
        <w:spacing w:before="0" w:after="240"/>
        <w:ind w:left="0" w:right="0" w:firstLine="630"/>
        <w:jc w:val="both"/>
        <w:rPr>
          <w:rFonts w:ascii="Times New Roman;Times;serif" w:hAnsi="Times New Roman;Times;serif"/>
          <w:sz w:val="20"/>
        </w:rPr>
      </w:pPr>
      <w:r>
        <w:rPr>
          <w:rFonts w:ascii="Times New Roman;Times;serif" w:hAnsi="Times New Roman;Times;serif"/>
          <w:b/>
          <w:sz w:val="22"/>
        </w:rPr>
        <w:t>Section 5. Representations and Warranties.</w:t>
      </w:r>
      <w:r>
        <w:rPr>
          <w:rFonts w:ascii="Times New Roman;Times;serif" w:hAnsi="Times New Roman;Times;serif"/>
          <w:sz w:val="20"/>
        </w:rPr>
        <w:t xml:space="preserve">  </w:t>
      </w:r>
      <w:r>
        <w:rPr>
          <w:rFonts w:ascii="Times New Roman;Times;serif" w:hAnsi="Times New Roman;Times;serif"/>
          <w:sz w:val="22"/>
        </w:rPr>
        <w:t>In order to induce the Administrative Agent, the Increasing Lenders and each other Lender party hereto to enter into this Amendment, each of the Borrowers represents and warrants to the Administrative Agent and the Lenders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the representations and warranties of each Loan Party contained in </w:t>
      </w:r>
      <w:r>
        <w:rPr>
          <w:rFonts w:ascii="Times New Roman;Times;serif" w:hAnsi="Times New Roman;Times;serif"/>
          <w:sz w:val="22"/>
          <w:u w:val="single"/>
        </w:rPr>
        <w:t>Article V</w:t>
      </w:r>
      <w:r>
        <w:rPr>
          <w:rFonts w:ascii="Times New Roman;Times;serif" w:hAnsi="Times New Roman;Times;serif"/>
          <w:sz w:val="20"/>
        </w:rPr>
        <w:t xml:space="preserve"> </w:t>
      </w:r>
      <w:r>
        <w:rPr>
          <w:rFonts w:ascii="Times New Roman;Times;serif" w:hAnsi="Times New Roman;Times;serif"/>
          <w:sz w:val="22"/>
        </w:rPr>
        <w:t xml:space="preserve">of the Credit Agreement and in each other Loan Document to which such Loan Party is a party, or in any document furnished at any time under or in connection herewith or therewith (including any Designated Borrower Request and Assumption Agreement), are true and correct in all material respects (without duplication of any materiality qualification included in the terms of any such representation or warranty) on and as of the date hereof, except to the extent that such representations and warranties specifically refer to an earlier date, in which case they are true and correct in all material respects (without duplication of any materiality qualification included in the terms of any such representation or warranty) as of such earlier date, and except that for purposes hereof, the representations and warranties contained in </w:t>
      </w:r>
      <w:r>
        <w:rPr>
          <w:rFonts w:ascii="Times New Roman;Times;serif" w:hAnsi="Times New Roman;Times;serif"/>
          <w:sz w:val="22"/>
          <w:u w:val="single"/>
        </w:rPr>
        <w:t>subsections (a)</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(b)</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sz w:val="22"/>
          <w:u w:val="single"/>
        </w:rPr>
        <w:t>Section 5.05</w:t>
      </w:r>
      <w:r>
        <w:rPr>
          <w:rFonts w:ascii="Times New Roman;Times;serif" w:hAnsi="Times New Roman;Times;serif"/>
          <w:sz w:val="20"/>
        </w:rPr>
        <w:t xml:space="preserve">  </w:t>
      </w:r>
      <w:r>
        <w:rPr>
          <w:rFonts w:ascii="Times New Roman;Times;serif" w:hAnsi="Times New Roman;Times;serif"/>
          <w:sz w:val="22"/>
        </w:rPr>
        <w:t xml:space="preserve">of the Credit Agreement shall be deemed to refer to the most recent statements furnished pursuant to </w:t>
      </w:r>
      <w:r>
        <w:rPr>
          <w:rFonts w:ascii="Times New Roman;Times;serif" w:hAnsi="Times New Roman;Times;serif"/>
          <w:sz w:val="22"/>
          <w:u w:val="single"/>
        </w:rPr>
        <w:t>subsections (a)</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(b)</w:t>
      </w:r>
      <w:r>
        <w:rPr>
          <w:rFonts w:ascii="Times New Roman;Times;serif" w:hAnsi="Times New Roman;Times;serif"/>
          <w:sz w:val="22"/>
        </w:rPr>
        <w:t xml:space="preserve">, respectively, of </w:t>
      </w:r>
      <w:r>
        <w:rPr>
          <w:rFonts w:ascii="Times New Roman;Times;serif" w:hAnsi="Times New Roman;Times;serif"/>
          <w:sz w:val="22"/>
          <w:u w:val="single"/>
        </w:rPr>
        <w:t>Section 6.01</w:t>
      </w:r>
      <w:r>
        <w:rPr>
          <w:rFonts w:ascii="Times New Roman;Times;serif" w:hAnsi="Times New Roman;Times;serif"/>
          <w:sz w:val="20"/>
        </w:rPr>
        <w:t xml:space="preserve"> </w:t>
      </w:r>
      <w:r>
        <w:rPr>
          <w:rFonts w:ascii="Times New Roman;Times;serif" w:hAnsi="Times New Roman;Times;serif"/>
          <w:sz w:val="22"/>
        </w:rPr>
        <w:t>of the Credit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this Amendment has been duly authorized, executed and delivered by each Borrower and constitutes a legal, valid and binding obligation of each Borrower, enforceable against each Borrower in accordance with its terms, except as may be limited by applicable Debtor Relief Laws and general principles of equity, regardless of whether considered in a proceeding in equity or at law;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as of the date hereof, after giving effect to this Amendment and the 2026-2 Commitment Increase, no Default or Event of Default has occurred and is continuing.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6.</w:t>
      </w:r>
      <w:r>
        <w:rPr>
          <w:rFonts w:ascii="Times New Roman;Times;serif" w:hAnsi="Times New Roman;Times;serif"/>
          <w:b/>
          <w:sz w:val="22"/>
        </w:rPr>
        <w:t>Entire Agreement</w:t>
      </w:r>
      <w:r>
        <w:rPr>
          <w:rFonts w:ascii="Times New Roman;Times;serif" w:hAnsi="Times New Roman;Times;serif"/>
          <w:sz w:val="22"/>
        </w:rPr>
        <w:t>.  This Amendment, together with all the other Loan Documents (collectively, the “</w:t>
      </w:r>
      <w:r>
        <w:rPr>
          <w:rFonts w:ascii="Times New Roman;Times;serif" w:hAnsi="Times New Roman;Times;serif"/>
          <w:sz w:val="22"/>
          <w:u w:val="single"/>
        </w:rPr>
        <w:t>Relevant Documents</w:t>
      </w:r>
      <w:r>
        <w:rPr>
          <w:rFonts w:ascii="Times New Roman;Times;serif" w:hAnsi="Times New Roman;Times;serif"/>
          <w:sz w:val="20"/>
        </w:rPr>
        <w:t>”</w:t>
      </w:r>
      <w:r>
        <w:rPr>
          <w:rFonts w:ascii="Times New Roman;Times;serif" w:hAnsi="Times New Roman;Times;serif"/>
          <w:sz w:val="22"/>
        </w:rPr>
        <w:t xml:space="preserve">), sets forth the entire understanding and agreement of the parties hereto in relation to the subject matter hereof and supersedes any prior negotiations and agreements among the parties relating to such subject matter.  No promise, condition, representation or warranty, express or implied, not set forth in the Relevant Documents shall bind any party hereto, and no such party has relied on any such promise, condition, representation or warranty.  Each of the parties hereto acknowledges that, except as otherwise expressly stated in the Relevant Documents, no representations, warranties or commitments, express or implied, have been made by any party to the other in relation to the subject matter hereof or thereof.  None of the terms or conditions of this Amendment may be changed, modified, waived or canceled orally or otherwise, except in writing and in accordance with </w:t>
      </w:r>
      <w:r>
        <w:rPr>
          <w:rFonts w:ascii="Times New Roman;Times;serif" w:hAnsi="Times New Roman;Times;serif"/>
          <w:sz w:val="22"/>
          <w:u w:val="single"/>
        </w:rPr>
        <w:t>Section 10.01</w:t>
      </w:r>
      <w:r>
        <w:rPr>
          <w:rFonts w:ascii="Times New Roman;Times;serif" w:hAnsi="Times New Roman;Times;serif"/>
          <w:sz w:val="20"/>
        </w:rPr>
        <w:t xml:space="preserve"> </w:t>
      </w:r>
      <w:r>
        <w:rPr>
          <w:rFonts w:ascii="Times New Roman;Times;serif" w:hAnsi="Times New Roman;Times;serif"/>
          <w:sz w:val="22"/>
        </w:rPr>
        <w:t>of the Credit Agreement.  This Amendment is a Loan Document.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w:t>
      </w:r>
    </w:p>
    <w:p>
      <w:pPr>
        <w:pStyle w:val="HorizontalLine"/>
        <w:pBdr>
          <w:bottom w:val="double" w:sz="2" w:space="0" w:color="808080"/>
        </w:pBdr>
        <w:bidi w:val="0"/>
        <w:spacing w:before="0" w:after="283"/>
        <w:jc w:val="left"/>
        <w:rPr/>
      </w:pPr>
      <w:r>
        <w:rPr/>
      </w:r>
    </w:p>
    <w:p>
      <w:pPr>
        <w:pStyle w:val="TextBody"/>
        <w:bidi w:val="0"/>
        <w:spacing w:before="0" w:after="240"/>
        <w:ind w:left="57"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7.</w:t>
      </w:r>
      <w:r>
        <w:rPr>
          <w:rFonts w:ascii="Times New Roman;Times;serif" w:hAnsi="Times New Roman;Times;serif"/>
          <w:b/>
          <w:sz w:val="22"/>
        </w:rPr>
        <w:t>Full Force and Effect of Agreement</w:t>
      </w:r>
      <w:r>
        <w:rPr>
          <w:rFonts w:ascii="Times New Roman;Times;serif" w:hAnsi="Times New Roman;Times;serif"/>
          <w:sz w:val="22"/>
        </w:rPr>
        <w:t>.  Except as hereby specifically amended, modified or supplemented, the Credit Agreement and all other Loan Documents are hereby confirmed and ratified in all respects and shall be and remain in full force and effect according to their respective terms. This Amendment shall not be deemed (a) to be a waiver of, or consent to, or a modification or amendment of, any other term or condition of the Credit Agreement or any other Loan Document other than as expressly set forth herein, (b) to prejudice any right or rights which the Administrative Agent or the Lenders may now have or may have in the future under or in connection with the Credit Agreement or the other Loan Documents or any of the instruments or agreements referred to therein, as the same may be amended, restated, supplemented or modified from time to time other than as expressly set forth herein, or (c) to be a commitment or any other undertaking or expression of any willingness to engage in any further discussion with the Company, any Loan Party or any other Person with respect to any other waiver, amendment, modification or any other change to the Credit Agreement or the Loan Documents or any rights or remedies arising in favor of the Lenders or the Administrative Agent, or any of them, under or with respect to any such documents.  References in the Credit Agreement to “this Agreement” (and indirect references such as “hereunder”, “hereby”, “herein”, “hereof” or other words of like import) and in any Loan Document to the “Credit Agreement” shall be deemed to be references to the Credit Agreement as modified 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8.</w:t>
      </w:r>
      <w:r>
        <w:rPr>
          <w:rFonts w:ascii="Times New Roman;Times;serif" w:hAnsi="Times New Roman;Times;serif"/>
          <w:b/>
          <w:sz w:val="22"/>
        </w:rPr>
        <w:t>Counterparts</w:t>
      </w:r>
      <w:r>
        <w:rPr>
          <w:rFonts w:ascii="Times New Roman;Times;serif" w:hAnsi="Times New Roman;Times;serif"/>
          <w:sz w:val="22"/>
        </w:rPr>
        <w:t xml:space="preserve">.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facsimile or other electronic imaging means (e.g. “pdf” or “tif”) shall be effective as delivery of a manually executed counterpart of this Amendment.  Without limiting the foregoing, the provisions of </w:t>
      </w:r>
      <w:r>
        <w:rPr>
          <w:rFonts w:ascii="Times New Roman;Times;serif" w:hAnsi="Times New Roman;Times;serif"/>
          <w:sz w:val="22"/>
          <w:u w:val="single"/>
        </w:rPr>
        <w:t>Section 10.19</w:t>
      </w:r>
      <w:r>
        <w:rPr>
          <w:rFonts w:ascii="Times New Roman;Times;serif" w:hAnsi="Times New Roman;Times;serif"/>
          <w:sz w:val="20"/>
        </w:rPr>
        <w:t xml:space="preserve"> </w:t>
      </w:r>
      <w:r>
        <w:rPr>
          <w:rFonts w:ascii="Times New Roman;Times;serif" w:hAnsi="Times New Roman;Times;serif"/>
          <w:sz w:val="22"/>
        </w:rPr>
        <w:t>of the Credit Agreement shall be applicable to this Amendment.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9.</w:t>
      </w:r>
      <w:r>
        <w:rPr>
          <w:rFonts w:ascii="Times New Roman;Times;serif" w:hAnsi="Times New Roman;Times;serif"/>
          <w:b/>
          <w:sz w:val="22"/>
        </w:rPr>
        <w:t>Governing Law; Jurisdiction, Etc</w:t>
      </w:r>
      <w:r>
        <w:rPr>
          <w:rFonts w:ascii="Times New Roman;Times;serif" w:hAnsi="Times New Roman;Times;serif"/>
          <w:sz w:val="22"/>
        </w:rPr>
        <w:t xml:space="preserve">.  This Amendment shall be governed by, and construed in accordance with, the law of the State of New York, and shall be further subject to the provisions of </w:t>
      </w:r>
      <w:r>
        <w:rPr>
          <w:rFonts w:ascii="Times New Roman;Times;serif" w:hAnsi="Times New Roman;Times;serif"/>
          <w:sz w:val="22"/>
          <w:u w:val="single"/>
        </w:rPr>
        <w:t>Sections 10.14</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10.15</w:t>
      </w:r>
      <w:r>
        <w:rPr>
          <w:rFonts w:ascii="Times New Roman;Times;serif" w:hAnsi="Times New Roman;Times;serif"/>
          <w:sz w:val="20"/>
        </w:rPr>
        <w:t xml:space="preserve"> </w:t>
      </w:r>
      <w:r>
        <w:rPr>
          <w:rFonts w:ascii="Times New Roman;Times;serif" w:hAnsi="Times New Roman;Times;serif"/>
          <w:sz w:val="22"/>
        </w:rPr>
        <w:t>of the Credit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10.</w:t>
      </w:r>
      <w:r>
        <w:rPr>
          <w:rFonts w:ascii="Times New Roman;Times;serif" w:hAnsi="Times New Roman;Times;serif"/>
          <w:b/>
          <w:sz w:val="22"/>
        </w:rPr>
        <w:t>Enforceability</w:t>
      </w:r>
      <w:r>
        <w:rPr>
          <w:rFonts w:ascii="Times New Roman;Times;serif" w:hAnsi="Times New Roman;Times;serif"/>
          <w:sz w:val="22"/>
        </w:rPr>
        <w:t>.  If any provision of this Amendment is held to be illegal, invalid or unenforceable, (a) the legality, validity and enforceability of the remaining provisions of this Amendment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11.</w:t>
      </w:r>
      <w:r>
        <w:rPr>
          <w:rFonts w:ascii="Times New Roman;Times;serif" w:hAnsi="Times New Roman;Times;serif"/>
          <w:b/>
          <w:sz w:val="22"/>
        </w:rPr>
        <w:t>Successors and Assigns</w:t>
      </w:r>
      <w:r>
        <w:rPr>
          <w:rFonts w:ascii="Times New Roman;Times;serif" w:hAnsi="Times New Roman;Times;serif"/>
          <w:sz w:val="22"/>
        </w:rPr>
        <w:t xml:space="preserve">.  The provisions of this Amendment shall be binding upon and inure to the benefit of the parties hereto and their respective successors and assigns to the extent such assignees are permitted assignees as provided in </w:t>
      </w:r>
      <w:r>
        <w:rPr>
          <w:rFonts w:ascii="Times New Roman;Times;serif" w:hAnsi="Times New Roman;Times;serif"/>
          <w:sz w:val="22"/>
          <w:u w:val="single"/>
        </w:rPr>
        <w:t>Section 10.06</w:t>
      </w:r>
      <w:r>
        <w:rPr>
          <w:rFonts w:ascii="Times New Roman;Times;serif" w:hAnsi="Times New Roman;Times;serif"/>
          <w:sz w:val="20"/>
        </w:rPr>
        <w:t xml:space="preserve"> </w:t>
      </w:r>
      <w:r>
        <w:rPr>
          <w:rFonts w:ascii="Times New Roman;Times;serif" w:hAnsi="Times New Roman;Times;serif"/>
          <w:sz w:val="22"/>
        </w:rPr>
        <w:t>of the Credit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Section 12.  </w:t>
      </w:r>
      <w:r>
        <w:rPr>
          <w:rFonts w:ascii="Times New Roman;Times;serif" w:hAnsi="Times New Roman;Times;serif"/>
          <w:b/>
          <w:sz w:val="22"/>
        </w:rPr>
        <w:t>Costs and Expenses</w:t>
      </w:r>
      <w:r>
        <w:rPr>
          <w:rFonts w:ascii="Times New Roman;Times;serif" w:hAnsi="Times New Roman;Times;serif"/>
          <w:sz w:val="22"/>
        </w:rPr>
        <w:t xml:space="preserve">.  To the extent provided in </w:t>
      </w:r>
      <w:r>
        <w:rPr>
          <w:rFonts w:ascii="Times New Roman;Times;serif" w:hAnsi="Times New Roman;Times;serif"/>
          <w:sz w:val="22"/>
          <w:u w:val="single"/>
        </w:rPr>
        <w:t>Section 10.04(a)</w:t>
      </w:r>
      <w:r>
        <w:rPr>
          <w:rFonts w:ascii="Times New Roman;Times;serif" w:hAnsi="Times New Roman;Times;serif"/>
          <w:sz w:val="20"/>
        </w:rPr>
        <w:t xml:space="preserve"> </w:t>
      </w:r>
      <w:r>
        <w:rPr>
          <w:rFonts w:ascii="Times New Roman;Times;serif" w:hAnsi="Times New Roman;Times;serif"/>
          <w:sz w:val="22"/>
        </w:rPr>
        <w:t>of the Credit Agreement, the Company agrees to pay all reasonable and documented out-of-pocket expenses incurred by the Administrative Agent (including the reasonable and documented fees and expenses of counsel for the Administrative Agent) in connection with the preparation, execution and delivery of this Amendment and any other related Loan Documents.</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[Remainder of Page Intentionally Left Blank; Signature Pages Follow]</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Times New Roman;Times;serif" w:hAnsi="Times New Roman;Times;serif"/>
          <w:sz w:val="22"/>
        </w:rPr>
      </w:pPr>
      <w:r>
        <w:rPr>
          <w:rFonts w:ascii="Times New Roman;Times;serif" w:hAnsi="Times New Roman;Times;serif"/>
          <w:sz w:val="22"/>
        </w:rPr>
        <w:t>IN WITNESS WHEREOF, the parties hereto have caused this Amendment to be made, executed and delivered by their duly authorized officers as of the day and year first above written.</w:t>
      </w:r>
    </w:p>
    <w:p>
      <w:pPr>
        <w:pStyle w:val="TextBody"/>
        <w:bidi w:val="0"/>
        <w:spacing w:before="0" w:after="0"/>
        <w:ind w:left="0" w:right="0" w:hanging="0"/>
        <w:jc w:val="center"/>
        <w:rPr/>
      </w:pPr>
      <w:r>
        <w:rPr/>
        <w:t>​</w:t>
      </w:r>
    </w:p>
    <w:tbl>
      <w:tblPr>
        <w:tblW w:w="3619" w:type="dxa"/>
        <w:jc w:val="left"/>
        <w:tblInd w:w="0" w:type="dxa"/>
        <w:tblLayout w:type="fixed"/>
        <w:tblCellMar>
          <w:top w:w="0" w:type="dxa"/>
          <w:left w:w="0" w:type="dxa"/>
          <w:bottom w:w="0" w:type="dxa"/>
          <w:right w:w="0" w:type="dxa"/>
        </w:tblCellMar>
      </w:tblPr>
      <w:tblGrid>
        <w:gridCol w:w="124"/>
        <w:gridCol w:w="874"/>
        <w:gridCol w:w="2621"/>
      </w:tblGrid>
      <w:tr>
        <w:trPr/>
        <w:tc>
          <w:tcPr>
            <w:tcW w:w="124" w:type="dxa"/>
            <w:tcBorders/>
            <w:vAlign w:val="center"/>
          </w:tcPr>
          <w:p>
            <w:pPr>
              <w:pStyle w:val="TableContents"/>
              <w:bidi w:val="0"/>
              <w:spacing w:before="0" w:after="0"/>
              <w:ind w:left="0" w:right="0" w:hanging="0"/>
              <w:jc w:val="left"/>
              <w:rPr/>
            </w:pPr>
            <w:r>
              <w:rPr/>
              <w:t>​</w:t>
            </w:r>
          </w:p>
        </w:tc>
        <w:tc>
          <w:tcPr>
            <w:tcW w:w="349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BORROWERS:</w:t>
            </w:r>
          </w:p>
        </w:tc>
      </w:tr>
      <w:tr>
        <w:trPr/>
        <w:tc>
          <w:tcPr>
            <w:tcW w:w="124" w:type="dxa"/>
            <w:tcBorders/>
            <w:vAlign w:val="center"/>
          </w:tcPr>
          <w:p>
            <w:pPr>
              <w:pStyle w:val="TableContents"/>
              <w:bidi w:val="0"/>
              <w:spacing w:before="0" w:after="0"/>
              <w:ind w:left="0" w:right="0" w:hanging="0"/>
              <w:jc w:val="left"/>
              <w:rPr/>
            </w:pPr>
            <w:r>
              <w:rPr/>
              <w:t>​</w:t>
            </w:r>
          </w:p>
        </w:tc>
        <w:tc>
          <w:tcPr>
            <w:tcW w:w="34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9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AVNET, INC.</w:t>
            </w:r>
          </w:p>
        </w:tc>
      </w:tr>
      <w:tr>
        <w:trPr/>
        <w:tc>
          <w:tcPr>
            <w:tcW w:w="124" w:type="dxa"/>
            <w:tcBorders/>
            <w:vAlign w:val="center"/>
          </w:tcPr>
          <w:p>
            <w:pPr>
              <w:pStyle w:val="TableContents"/>
              <w:bidi w:val="0"/>
              <w:spacing w:before="0" w:after="0"/>
              <w:ind w:left="0" w:right="0" w:hanging="0"/>
              <w:jc w:val="left"/>
              <w:rPr/>
            </w:pPr>
            <w:r>
              <w:rPr/>
              <w:t>​</w:t>
            </w:r>
          </w:p>
        </w:tc>
        <w:tc>
          <w:tcPr>
            <w:tcW w:w="34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6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Monica Pantea</w:t>
            </w:r>
          </w:p>
        </w:tc>
      </w:tr>
      <w:tr>
        <w:trPr/>
        <w:tc>
          <w:tcPr>
            <w:tcW w:w="124"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26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Monica Pantea</w:t>
            </w:r>
          </w:p>
        </w:tc>
      </w:tr>
      <w:tr>
        <w:trPr/>
        <w:tc>
          <w:tcPr>
            <w:tcW w:w="124"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26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Treasurer</w:t>
            </w:r>
          </w:p>
        </w:tc>
      </w:tr>
      <w:tr>
        <w:trPr/>
        <w:tc>
          <w:tcPr>
            <w:tcW w:w="124"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both"/>
              <w:rPr/>
            </w:pPr>
            <w:r>
              <w:rPr/>
              <w:t>​</w:t>
            </w:r>
          </w:p>
        </w:tc>
        <w:tc>
          <w:tcPr>
            <w:tcW w:w="2621"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both"/>
              <w:rPr/>
            </w:pPr>
            <w:r>
              <w:rPr/>
              <w:t>​</w:t>
            </w:r>
          </w:p>
        </w:tc>
        <w:tc>
          <w:tcPr>
            <w:tcW w:w="2621"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both"/>
              <w:rPr/>
            </w:pPr>
            <w:r>
              <w:rPr/>
              <w:t>​</w:t>
            </w:r>
          </w:p>
        </w:tc>
        <w:tc>
          <w:tcPr>
            <w:tcW w:w="2621"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495" w:type="dxa"/>
            <w:gridSpan w:val="2"/>
            <w:tcBorders/>
            <w:vAlign w:val="center"/>
          </w:tcPr>
          <w:p>
            <w:pPr>
              <w:pStyle w:val="TableContents"/>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AVNET HOLDING EUROPE BV</w:t>
            </w:r>
          </w:p>
        </w:tc>
      </w:tr>
      <w:tr>
        <w:trPr/>
        <w:tc>
          <w:tcPr>
            <w:tcW w:w="124" w:type="dxa"/>
            <w:tcBorders/>
            <w:vAlign w:val="center"/>
          </w:tcPr>
          <w:p>
            <w:pPr>
              <w:pStyle w:val="TableContents"/>
              <w:bidi w:val="0"/>
              <w:spacing w:before="0" w:after="0"/>
              <w:ind w:left="0" w:right="0" w:hanging="0"/>
              <w:jc w:val="left"/>
              <w:rPr/>
            </w:pPr>
            <w:r>
              <w:rPr/>
              <w:t>​</w:t>
            </w:r>
          </w:p>
        </w:tc>
        <w:tc>
          <w:tcPr>
            <w:tcW w:w="3495" w:type="dxa"/>
            <w:gridSpan w:val="2"/>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62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Monica Pantea</w:t>
            </w:r>
          </w:p>
        </w:tc>
      </w:tr>
      <w:tr>
        <w:trPr/>
        <w:tc>
          <w:tcPr>
            <w:tcW w:w="124"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26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Monica Pantea</w:t>
            </w:r>
          </w:p>
        </w:tc>
      </w:tr>
      <w:tr>
        <w:trPr/>
        <w:tc>
          <w:tcPr>
            <w:tcW w:w="124"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262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Authorized Signatory</w:t>
            </w:r>
          </w:p>
        </w:tc>
      </w:tr>
      <w:tr>
        <w:trPr/>
        <w:tc>
          <w:tcPr>
            <w:tcW w:w="124" w:type="dxa"/>
            <w:tcBorders/>
            <w:vAlign w:val="center"/>
          </w:tcPr>
          <w:p>
            <w:pPr>
              <w:pStyle w:val="TableContents"/>
              <w:bidi w:val="0"/>
              <w:spacing w:before="0" w:after="0"/>
              <w:ind w:left="0" w:right="0" w:hanging="0"/>
              <w:jc w:val="left"/>
              <w:rPr/>
            </w:pPr>
            <w:r>
              <w:rPr/>
              <w:t>​</w:t>
            </w:r>
          </w:p>
        </w:tc>
        <w:tc>
          <w:tcPr>
            <w:tcW w:w="874" w:type="dxa"/>
            <w:tcBorders/>
            <w:vAlign w:val="center"/>
          </w:tcPr>
          <w:p>
            <w:pPr>
              <w:pStyle w:val="TableContents"/>
              <w:bidi w:val="0"/>
              <w:spacing w:before="0" w:after="0"/>
              <w:ind w:left="0" w:right="0" w:hanging="0"/>
              <w:jc w:val="both"/>
              <w:rPr/>
            </w:pPr>
            <w:r>
              <w:rPr/>
              <w:t>​</w:t>
            </w:r>
          </w:p>
        </w:tc>
        <w:tc>
          <w:tcPr>
            <w:tcW w:w="262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ADMINISTRATIVE AGENT:</w:t>
      </w:r>
    </w:p>
    <w:p>
      <w:pPr>
        <w:pStyle w:val="TextBody"/>
        <w:bidi w:val="0"/>
        <w:spacing w:before="0" w:after="0"/>
        <w:ind w:left="0" w:right="0" w:hanging="0"/>
        <w:jc w:val="center"/>
        <w:rPr/>
      </w:pPr>
      <w:r>
        <w:rPr/>
        <w:t>​</w:t>
      </w:r>
    </w:p>
    <w:tbl>
      <w:tblPr>
        <w:tblW w:w="3259" w:type="dxa"/>
        <w:jc w:val="center"/>
        <w:tblInd w:w="0" w:type="dxa"/>
        <w:tblLayout w:type="fixed"/>
        <w:tblCellMar>
          <w:top w:w="0" w:type="dxa"/>
          <w:left w:w="0" w:type="dxa"/>
          <w:bottom w:w="0" w:type="dxa"/>
          <w:right w:w="0" w:type="dxa"/>
        </w:tblCellMar>
      </w:tblPr>
      <w:tblGrid>
        <w:gridCol w:w="124"/>
        <w:gridCol w:w="724"/>
        <w:gridCol w:w="2411"/>
      </w:tblGrid>
      <w:tr>
        <w:trPr/>
        <w:tc>
          <w:tcPr>
            <w:tcW w:w="124" w:type="dxa"/>
            <w:tcBorders/>
            <w:vAlign w:val="center"/>
          </w:tcPr>
          <w:p>
            <w:pPr>
              <w:pStyle w:val="TableContents"/>
              <w:bidi w:val="0"/>
              <w:spacing w:before="0" w:after="0"/>
              <w:ind w:left="0" w:right="0" w:hanging="0"/>
              <w:jc w:val="both"/>
              <w:rPr/>
            </w:pPr>
            <w:r>
              <w:rPr/>
              <w:t>​</w:t>
            </w:r>
          </w:p>
        </w:tc>
        <w:tc>
          <w:tcPr>
            <w:tcW w:w="313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ADMINISTRATIVE AGENT:</w:t>
            </w:r>
          </w:p>
        </w:tc>
      </w:tr>
      <w:tr>
        <w:trPr/>
        <w:tc>
          <w:tcPr>
            <w:tcW w:w="124" w:type="dxa"/>
            <w:tcBorders/>
            <w:vAlign w:val="center"/>
          </w:tcPr>
          <w:p>
            <w:pPr>
              <w:pStyle w:val="TableContents"/>
              <w:bidi w:val="0"/>
              <w:spacing w:before="0" w:after="0"/>
              <w:ind w:left="0" w:right="0" w:hanging="0"/>
              <w:jc w:val="both"/>
              <w:rPr/>
            </w:pPr>
            <w:r>
              <w:rPr/>
              <w:t>​</w:t>
            </w:r>
          </w:p>
        </w:tc>
        <w:tc>
          <w:tcPr>
            <w:tcW w:w="31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13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BANK OF AMERICA, N.A.,</w:t>
            </w:r>
          </w:p>
        </w:tc>
      </w:tr>
      <w:tr>
        <w:trPr/>
        <w:tc>
          <w:tcPr>
            <w:tcW w:w="124" w:type="dxa"/>
            <w:tcBorders/>
            <w:vAlign w:val="center"/>
          </w:tcPr>
          <w:p>
            <w:pPr>
              <w:pStyle w:val="TableContents"/>
              <w:bidi w:val="0"/>
              <w:spacing w:before="0" w:after="0"/>
              <w:ind w:left="0" w:right="0" w:hanging="0"/>
              <w:jc w:val="both"/>
              <w:rPr/>
            </w:pPr>
            <w:r>
              <w:rPr/>
              <w:t>​</w:t>
            </w:r>
          </w:p>
        </w:tc>
        <w:tc>
          <w:tcPr>
            <w:tcW w:w="313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Administrative Agent</w:t>
            </w:r>
          </w:p>
        </w:tc>
      </w:tr>
      <w:tr>
        <w:trPr/>
        <w:tc>
          <w:tcPr>
            <w:tcW w:w="124" w:type="dxa"/>
            <w:tcBorders/>
            <w:vAlign w:val="center"/>
          </w:tcPr>
          <w:p>
            <w:pPr>
              <w:pStyle w:val="TableContents"/>
              <w:bidi w:val="0"/>
              <w:spacing w:before="0" w:after="0"/>
              <w:ind w:left="0" w:right="0" w:hanging="0"/>
              <w:jc w:val="both"/>
              <w:rPr/>
            </w:pPr>
            <w:r>
              <w:rPr/>
              <w:t>​</w:t>
            </w:r>
          </w:p>
        </w:tc>
        <w:tc>
          <w:tcPr>
            <w:tcW w:w="31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7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41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Elizabeth Uribe</w:t>
            </w:r>
          </w:p>
        </w:tc>
      </w:tr>
      <w:tr>
        <w:trPr/>
        <w:tc>
          <w:tcPr>
            <w:tcW w:w="124" w:type="dxa"/>
            <w:tcBorders/>
            <w:vAlign w:val="center"/>
          </w:tcPr>
          <w:p>
            <w:pPr>
              <w:pStyle w:val="TableContents"/>
              <w:bidi w:val="0"/>
              <w:spacing w:before="0" w:after="0"/>
              <w:ind w:left="0" w:right="0" w:hanging="0"/>
              <w:jc w:val="both"/>
              <w:rPr/>
            </w:pPr>
            <w:r>
              <w:rPr/>
              <w:t>​</w:t>
            </w:r>
          </w:p>
        </w:tc>
        <w:tc>
          <w:tcPr>
            <w:tcW w:w="72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24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Elizabeth Uribe</w:t>
            </w:r>
          </w:p>
        </w:tc>
      </w:tr>
      <w:tr>
        <w:trPr/>
        <w:tc>
          <w:tcPr>
            <w:tcW w:w="124" w:type="dxa"/>
            <w:tcBorders/>
            <w:vAlign w:val="center"/>
          </w:tcPr>
          <w:p>
            <w:pPr>
              <w:pStyle w:val="TableContents"/>
              <w:bidi w:val="0"/>
              <w:spacing w:before="0" w:after="0"/>
              <w:ind w:left="0" w:right="0" w:hanging="0"/>
              <w:jc w:val="both"/>
              <w:rPr/>
            </w:pPr>
            <w:r>
              <w:rPr/>
              <w:t>​</w:t>
            </w:r>
          </w:p>
        </w:tc>
        <w:tc>
          <w:tcPr>
            <w:tcW w:w="72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241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Assistant 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tbl>
      <w:tblPr>
        <w:tblW w:w="7849" w:type="dxa"/>
        <w:jc w:val="center"/>
        <w:tblInd w:w="0" w:type="dxa"/>
        <w:tblLayout w:type="fixed"/>
        <w:tblCellMar>
          <w:top w:w="0" w:type="dxa"/>
          <w:left w:w="0" w:type="dxa"/>
          <w:bottom w:w="0" w:type="dxa"/>
          <w:right w:w="0" w:type="dxa"/>
        </w:tblCellMar>
      </w:tblPr>
      <w:tblGrid>
        <w:gridCol w:w="124"/>
        <w:gridCol w:w="1490"/>
        <w:gridCol w:w="6235"/>
      </w:tblGrid>
      <w:tr>
        <w:trPr/>
        <w:tc>
          <w:tcPr>
            <w:tcW w:w="124" w:type="dxa"/>
            <w:tcBorders/>
            <w:vAlign w:val="center"/>
          </w:tcPr>
          <w:p>
            <w:pPr>
              <w:pStyle w:val="TableContents"/>
              <w:bidi w:val="0"/>
              <w:spacing w:before="0" w:after="0"/>
              <w:ind w:left="0" w:right="0" w:hanging="0"/>
              <w:jc w:val="left"/>
              <w:rPr/>
            </w:pPr>
            <w:r>
              <w:rPr/>
              <w:t>​</w:t>
            </w:r>
          </w:p>
        </w:tc>
        <w:tc>
          <w:tcPr>
            <w:tcW w:w="1490" w:type="dxa"/>
            <w:tcBorders/>
            <w:vAlign w:val="center"/>
          </w:tcPr>
          <w:p>
            <w:pPr>
              <w:pStyle w:val="TableContents"/>
              <w:bidi w:val="0"/>
              <w:spacing w:before="0" w:after="0"/>
              <w:ind w:left="0" w:right="0" w:hanging="0"/>
              <w:jc w:val="left"/>
              <w:rPr/>
            </w:pPr>
            <w:r>
              <w:rPr/>
              <w:t>​</w:t>
            </w:r>
          </w:p>
        </w:tc>
        <w:tc>
          <w:tcPr>
            <w:tcW w:w="6235"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772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LENDERS:</w:t>
            </w:r>
          </w:p>
        </w:tc>
      </w:tr>
      <w:tr>
        <w:trPr/>
        <w:tc>
          <w:tcPr>
            <w:tcW w:w="124" w:type="dxa"/>
            <w:tcBorders/>
            <w:vAlign w:val="center"/>
          </w:tcPr>
          <w:p>
            <w:pPr>
              <w:pStyle w:val="TableContents"/>
              <w:bidi w:val="0"/>
              <w:spacing w:before="0" w:after="0"/>
              <w:ind w:left="0" w:right="0" w:hanging="0"/>
              <w:jc w:val="both"/>
              <w:rPr/>
            </w:pPr>
            <w:r>
              <w:rPr/>
              <w:t>​</w:t>
            </w:r>
          </w:p>
        </w:tc>
        <w:tc>
          <w:tcPr>
            <w:tcW w:w="772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772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BANK OF AMERICA, N.A.,</w:t>
            </w:r>
            <w:r>
              <w:rPr>
                <w:rFonts w:ascii="Times New Roman;Times;serif" w:hAnsi="Times New Roman;Times;serif"/>
                <w:sz w:val="20"/>
              </w:rPr>
              <w:t xml:space="preserve"> </w:t>
            </w:r>
            <w:r>
              <w:rPr>
                <w:rFonts w:ascii="Times New Roman;Times;serif" w:hAnsi="Times New Roman;Times;serif"/>
                <w:sz w:val="22"/>
              </w:rPr>
              <w:t>as an L/C Issuer, Swing Line Lender and a Lender</w:t>
            </w:r>
          </w:p>
        </w:tc>
      </w:tr>
      <w:tr>
        <w:trPr/>
        <w:tc>
          <w:tcPr>
            <w:tcW w:w="124" w:type="dxa"/>
            <w:tcBorders/>
            <w:vAlign w:val="center"/>
          </w:tcPr>
          <w:p>
            <w:pPr>
              <w:pStyle w:val="TableContents"/>
              <w:bidi w:val="0"/>
              <w:spacing w:before="0" w:after="0"/>
              <w:ind w:left="0" w:right="0" w:hanging="0"/>
              <w:jc w:val="both"/>
              <w:rPr/>
            </w:pPr>
            <w:r>
              <w:rPr/>
              <w:t>​</w:t>
            </w:r>
          </w:p>
        </w:tc>
        <w:tc>
          <w:tcPr>
            <w:tcW w:w="772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772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772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49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6235"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Carlos A. Delgado Robledo</w:t>
            </w:r>
          </w:p>
        </w:tc>
      </w:tr>
      <w:tr>
        <w:trPr/>
        <w:tc>
          <w:tcPr>
            <w:tcW w:w="124" w:type="dxa"/>
            <w:tcBorders/>
            <w:vAlign w:val="center"/>
          </w:tcPr>
          <w:p>
            <w:pPr>
              <w:pStyle w:val="TableContents"/>
              <w:bidi w:val="0"/>
              <w:spacing w:before="0" w:after="0"/>
              <w:ind w:left="0" w:right="0" w:hanging="0"/>
              <w:jc w:val="both"/>
              <w:rPr/>
            </w:pPr>
            <w:r>
              <w:rPr/>
              <w:t>​</w:t>
            </w:r>
          </w:p>
        </w:tc>
        <w:tc>
          <w:tcPr>
            <w:tcW w:w="149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6235"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Carlos A. Delgado Robledo</w:t>
            </w:r>
          </w:p>
        </w:tc>
      </w:tr>
      <w:tr>
        <w:trPr/>
        <w:tc>
          <w:tcPr>
            <w:tcW w:w="124" w:type="dxa"/>
            <w:tcBorders/>
            <w:vAlign w:val="center"/>
          </w:tcPr>
          <w:p>
            <w:pPr>
              <w:pStyle w:val="TableContents"/>
              <w:bidi w:val="0"/>
              <w:spacing w:before="0" w:after="0"/>
              <w:ind w:left="0" w:right="0" w:hanging="0"/>
              <w:jc w:val="both"/>
              <w:rPr/>
            </w:pPr>
            <w:r>
              <w:rPr/>
              <w:t>​</w:t>
            </w:r>
          </w:p>
        </w:tc>
        <w:tc>
          <w:tcPr>
            <w:tcW w:w="149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6235"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tbl>
      <w:tblPr>
        <w:tblW w:w="4519" w:type="dxa"/>
        <w:jc w:val="center"/>
        <w:tblInd w:w="0" w:type="dxa"/>
        <w:tblLayout w:type="fixed"/>
        <w:tblCellMar>
          <w:top w:w="0" w:type="dxa"/>
          <w:left w:w="0" w:type="dxa"/>
          <w:bottom w:w="0" w:type="dxa"/>
          <w:right w:w="0" w:type="dxa"/>
        </w:tblCellMar>
      </w:tblPr>
      <w:tblGrid>
        <w:gridCol w:w="124"/>
        <w:gridCol w:w="1256"/>
        <w:gridCol w:w="3139"/>
      </w:tblGrid>
      <w:tr>
        <w:trPr/>
        <w:tc>
          <w:tcPr>
            <w:tcW w:w="124" w:type="dxa"/>
            <w:tcBorders/>
            <w:vAlign w:val="center"/>
          </w:tcPr>
          <w:p>
            <w:pPr>
              <w:pStyle w:val="TableContents"/>
              <w:bidi w:val="0"/>
              <w:spacing w:before="0" w:after="0"/>
              <w:ind w:left="0" w:right="0" w:hanging="0"/>
              <w:jc w:val="left"/>
              <w:rPr/>
            </w:pPr>
            <w:r>
              <w:rPr/>
              <w:t>​</w:t>
            </w:r>
          </w:p>
        </w:tc>
        <w:tc>
          <w:tcPr>
            <w:tcW w:w="1256" w:type="dxa"/>
            <w:tcBorders/>
            <w:vAlign w:val="center"/>
          </w:tcPr>
          <w:p>
            <w:pPr>
              <w:pStyle w:val="TableContents"/>
              <w:bidi w:val="0"/>
              <w:spacing w:before="0" w:after="283"/>
              <w:ind w:left="0" w:right="0" w:hanging="0"/>
              <w:jc w:val="left"/>
              <w:rPr>
                <w:sz w:val="4"/>
                <w:szCs w:val="4"/>
              </w:rPr>
            </w:pPr>
            <w:r>
              <w:rPr>
                <w:sz w:val="4"/>
                <w:szCs w:val="4"/>
              </w:rPr>
            </w:r>
          </w:p>
        </w:tc>
        <w:tc>
          <w:tcPr>
            <w:tcW w:w="3139"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43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BNP PARIBAS</w:t>
            </w:r>
            <w:r>
              <w:rPr>
                <w:rFonts w:ascii="Times New Roman;Times;serif" w:hAnsi="Times New Roman;Times;serif"/>
                <w:sz w:val="22"/>
              </w:rPr>
              <w:t>, as an L/C Issuer and Lender</w:t>
            </w:r>
          </w:p>
        </w:tc>
      </w:tr>
      <w:tr>
        <w:trPr/>
        <w:tc>
          <w:tcPr>
            <w:tcW w:w="124" w:type="dxa"/>
            <w:tcBorders/>
            <w:vAlign w:val="center"/>
          </w:tcPr>
          <w:p>
            <w:pPr>
              <w:pStyle w:val="TableContents"/>
              <w:bidi w:val="0"/>
              <w:spacing w:before="0" w:after="0"/>
              <w:ind w:left="0" w:right="0" w:hanging="0"/>
              <w:jc w:val="both"/>
              <w:rPr/>
            </w:pPr>
            <w:r>
              <w:rPr/>
              <w:t>​</w:t>
            </w:r>
          </w:p>
        </w:tc>
        <w:tc>
          <w:tcPr>
            <w:tcW w:w="4395"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43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2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139"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Nicolas Doche</w:t>
            </w:r>
          </w:p>
        </w:tc>
      </w:tr>
      <w:tr>
        <w:trPr/>
        <w:tc>
          <w:tcPr>
            <w:tcW w:w="124" w:type="dxa"/>
            <w:tcBorders/>
            <w:vAlign w:val="center"/>
          </w:tcPr>
          <w:p>
            <w:pPr>
              <w:pStyle w:val="TableContents"/>
              <w:bidi w:val="0"/>
              <w:spacing w:before="0" w:after="0"/>
              <w:ind w:left="0" w:right="0" w:hanging="0"/>
              <w:jc w:val="both"/>
              <w:rPr/>
            </w:pPr>
            <w:r>
              <w:rPr/>
              <w:t>​</w:t>
            </w:r>
          </w:p>
        </w:tc>
        <w:tc>
          <w:tcPr>
            <w:tcW w:w="125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313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Nicolas Doche</w:t>
            </w:r>
          </w:p>
        </w:tc>
      </w:tr>
      <w:tr>
        <w:trPr/>
        <w:tc>
          <w:tcPr>
            <w:tcW w:w="124" w:type="dxa"/>
            <w:tcBorders/>
            <w:vAlign w:val="center"/>
          </w:tcPr>
          <w:p>
            <w:pPr>
              <w:pStyle w:val="TableContents"/>
              <w:bidi w:val="0"/>
              <w:spacing w:before="0" w:after="0"/>
              <w:ind w:left="0" w:right="0" w:hanging="0"/>
              <w:jc w:val="both"/>
              <w:rPr/>
            </w:pPr>
            <w:r>
              <w:rPr/>
              <w:t>​</w:t>
            </w:r>
          </w:p>
        </w:tc>
        <w:tc>
          <w:tcPr>
            <w:tcW w:w="125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3139"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Director </w:t>
            </w:r>
          </w:p>
        </w:tc>
      </w:tr>
      <w:tr>
        <w:trPr/>
        <w:tc>
          <w:tcPr>
            <w:tcW w:w="124" w:type="dxa"/>
            <w:tcBorders/>
            <w:vAlign w:val="center"/>
          </w:tcPr>
          <w:p>
            <w:pPr>
              <w:pStyle w:val="TableContents"/>
              <w:bidi w:val="0"/>
              <w:spacing w:before="0" w:after="0"/>
              <w:ind w:left="0" w:right="0" w:hanging="0"/>
              <w:jc w:val="both"/>
              <w:rPr/>
            </w:pPr>
            <w:r>
              <w:rPr/>
              <w:t>​</w:t>
            </w:r>
          </w:p>
        </w:tc>
        <w:tc>
          <w:tcPr>
            <w:tcW w:w="1256" w:type="dxa"/>
            <w:tcBorders/>
            <w:vAlign w:val="center"/>
          </w:tcPr>
          <w:p>
            <w:pPr>
              <w:pStyle w:val="TableContents"/>
              <w:bidi w:val="0"/>
              <w:spacing w:before="0" w:after="0"/>
              <w:ind w:left="0" w:right="0" w:hanging="0"/>
              <w:jc w:val="both"/>
              <w:rPr/>
            </w:pPr>
            <w:r>
              <w:rPr/>
              <w:t>​</w:t>
            </w:r>
          </w:p>
        </w:tc>
        <w:tc>
          <w:tcPr>
            <w:tcW w:w="3139"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256" w:type="dxa"/>
            <w:tcBorders/>
            <w:vAlign w:val="center"/>
          </w:tcPr>
          <w:p>
            <w:pPr>
              <w:pStyle w:val="TableContents"/>
              <w:bidi w:val="0"/>
              <w:spacing w:before="0" w:after="0"/>
              <w:ind w:left="0" w:right="0" w:hanging="0"/>
              <w:jc w:val="both"/>
              <w:rPr/>
            </w:pPr>
            <w:r>
              <w:rPr/>
              <w:t>​</w:t>
            </w:r>
          </w:p>
        </w:tc>
        <w:tc>
          <w:tcPr>
            <w:tcW w:w="3139"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25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3139"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Valentin Detry</w:t>
            </w:r>
          </w:p>
        </w:tc>
      </w:tr>
      <w:tr>
        <w:trPr/>
        <w:tc>
          <w:tcPr>
            <w:tcW w:w="124" w:type="dxa"/>
            <w:tcBorders/>
            <w:vAlign w:val="center"/>
          </w:tcPr>
          <w:p>
            <w:pPr>
              <w:pStyle w:val="TableContents"/>
              <w:bidi w:val="0"/>
              <w:spacing w:before="0" w:after="0"/>
              <w:ind w:left="0" w:right="0" w:hanging="0"/>
              <w:jc w:val="both"/>
              <w:rPr/>
            </w:pPr>
            <w:r>
              <w:rPr/>
              <w:t>​</w:t>
            </w:r>
          </w:p>
        </w:tc>
        <w:tc>
          <w:tcPr>
            <w:tcW w:w="125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3139"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Valentin Detry</w:t>
            </w:r>
          </w:p>
        </w:tc>
      </w:tr>
      <w:tr>
        <w:trPr/>
        <w:tc>
          <w:tcPr>
            <w:tcW w:w="124" w:type="dxa"/>
            <w:tcBorders/>
            <w:vAlign w:val="center"/>
          </w:tcPr>
          <w:p>
            <w:pPr>
              <w:pStyle w:val="TableContents"/>
              <w:bidi w:val="0"/>
              <w:spacing w:before="0" w:after="0"/>
              <w:ind w:left="0" w:right="0" w:hanging="0"/>
              <w:jc w:val="both"/>
              <w:rPr/>
            </w:pPr>
            <w:r>
              <w:rPr/>
              <w:t>​</w:t>
            </w:r>
          </w:p>
        </w:tc>
        <w:tc>
          <w:tcPr>
            <w:tcW w:w="125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3139"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Vice President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tbl>
      <w:tblPr>
        <w:tblW w:w="6514" w:type="dxa"/>
        <w:jc w:val="center"/>
        <w:tblInd w:w="0" w:type="dxa"/>
        <w:tblLayout w:type="fixed"/>
        <w:tblCellMar>
          <w:top w:w="0" w:type="dxa"/>
          <w:left w:w="0" w:type="dxa"/>
          <w:bottom w:w="0" w:type="dxa"/>
          <w:right w:w="0" w:type="dxa"/>
        </w:tblCellMar>
      </w:tblPr>
      <w:tblGrid>
        <w:gridCol w:w="124"/>
        <w:gridCol w:w="1624"/>
        <w:gridCol w:w="4766"/>
      </w:tblGrid>
      <w:tr>
        <w:trPr/>
        <w:tc>
          <w:tcPr>
            <w:tcW w:w="124" w:type="dxa"/>
            <w:tcBorders/>
            <w:vAlign w:val="center"/>
          </w:tcPr>
          <w:p>
            <w:pPr>
              <w:pStyle w:val="TableContents"/>
              <w:bidi w:val="0"/>
              <w:spacing w:before="0" w:after="0"/>
              <w:ind w:left="0" w:right="0" w:hanging="0"/>
              <w:jc w:val="left"/>
              <w:rPr/>
            </w:pPr>
            <w:r>
              <w:rPr/>
              <w:t>​</w:t>
            </w:r>
          </w:p>
        </w:tc>
        <w:tc>
          <w:tcPr>
            <w:tcW w:w="1624" w:type="dxa"/>
            <w:tcBorders/>
            <w:vAlign w:val="center"/>
          </w:tcPr>
          <w:p>
            <w:pPr>
              <w:pStyle w:val="TableContents"/>
              <w:bidi w:val="0"/>
              <w:spacing w:before="0" w:after="283"/>
              <w:ind w:left="0" w:right="0" w:hanging="0"/>
              <w:jc w:val="left"/>
              <w:rPr>
                <w:sz w:val="4"/>
                <w:szCs w:val="4"/>
              </w:rPr>
            </w:pPr>
            <w:r>
              <w:rPr>
                <w:sz w:val="4"/>
                <w:szCs w:val="4"/>
              </w:rPr>
            </w:r>
          </w:p>
        </w:tc>
        <w:tc>
          <w:tcPr>
            <w:tcW w:w="476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63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JPMORGAN CHASE BANK, N.A.</w:t>
            </w:r>
            <w:r>
              <w:rPr>
                <w:rFonts w:ascii="Times New Roman;Times;serif" w:hAnsi="Times New Roman;Times;serif"/>
                <w:sz w:val="22"/>
              </w:rPr>
              <w:t>, as a L/C Issuer and a Lender</w:t>
            </w:r>
          </w:p>
        </w:tc>
      </w:tr>
      <w:tr>
        <w:trPr/>
        <w:tc>
          <w:tcPr>
            <w:tcW w:w="124" w:type="dxa"/>
            <w:tcBorders/>
            <w:vAlign w:val="center"/>
          </w:tcPr>
          <w:p>
            <w:pPr>
              <w:pStyle w:val="TableContents"/>
              <w:bidi w:val="0"/>
              <w:spacing w:before="0" w:after="0"/>
              <w:ind w:left="0" w:right="0" w:hanging="0"/>
              <w:jc w:val="both"/>
              <w:rPr/>
            </w:pPr>
            <w:r>
              <w:rPr/>
              <w:t>​</w:t>
            </w:r>
          </w:p>
        </w:tc>
        <w:tc>
          <w:tcPr>
            <w:tcW w:w="6390"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63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63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62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476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Ryan Zimmerman</w:t>
            </w:r>
          </w:p>
        </w:tc>
      </w:tr>
      <w:tr>
        <w:trPr/>
        <w:tc>
          <w:tcPr>
            <w:tcW w:w="124" w:type="dxa"/>
            <w:tcBorders/>
            <w:vAlign w:val="center"/>
          </w:tcPr>
          <w:p>
            <w:pPr>
              <w:pStyle w:val="TableContents"/>
              <w:bidi w:val="0"/>
              <w:spacing w:before="0" w:after="0"/>
              <w:ind w:left="0" w:right="0" w:hanging="0"/>
              <w:jc w:val="both"/>
              <w:rPr/>
            </w:pPr>
            <w:r>
              <w:rPr/>
              <w:t>​</w:t>
            </w:r>
          </w:p>
        </w:tc>
        <w:tc>
          <w:tcPr>
            <w:tcW w:w="162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47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Ryan Zimmerman</w:t>
            </w:r>
          </w:p>
        </w:tc>
      </w:tr>
      <w:tr>
        <w:trPr/>
        <w:tc>
          <w:tcPr>
            <w:tcW w:w="124" w:type="dxa"/>
            <w:tcBorders/>
            <w:vAlign w:val="center"/>
          </w:tcPr>
          <w:p>
            <w:pPr>
              <w:pStyle w:val="TableContents"/>
              <w:bidi w:val="0"/>
              <w:spacing w:before="0" w:after="0"/>
              <w:ind w:left="0" w:right="0" w:hanging="0"/>
              <w:jc w:val="both"/>
              <w:rPr/>
            </w:pPr>
            <w:r>
              <w:rPr/>
              <w:t>​</w:t>
            </w:r>
          </w:p>
        </w:tc>
        <w:tc>
          <w:tcPr>
            <w:tcW w:w="162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476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Executive 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tbl>
      <w:tblPr>
        <w:tblW w:w="4654" w:type="dxa"/>
        <w:jc w:val="center"/>
        <w:tblInd w:w="0" w:type="dxa"/>
        <w:tblLayout w:type="fixed"/>
        <w:tblCellMar>
          <w:top w:w="0" w:type="dxa"/>
          <w:left w:w="0" w:type="dxa"/>
          <w:bottom w:w="0" w:type="dxa"/>
          <w:right w:w="0" w:type="dxa"/>
        </w:tblCellMar>
      </w:tblPr>
      <w:tblGrid>
        <w:gridCol w:w="124"/>
        <w:gridCol w:w="1450"/>
        <w:gridCol w:w="3080"/>
      </w:tblGrid>
      <w:tr>
        <w:trPr/>
        <w:tc>
          <w:tcPr>
            <w:tcW w:w="124" w:type="dxa"/>
            <w:tcBorders/>
            <w:vAlign w:val="center"/>
          </w:tcPr>
          <w:p>
            <w:pPr>
              <w:pStyle w:val="TableContents"/>
              <w:bidi w:val="0"/>
              <w:spacing w:before="0" w:after="0"/>
              <w:ind w:left="0" w:right="0" w:hanging="0"/>
              <w:jc w:val="left"/>
              <w:rPr/>
            </w:pPr>
            <w:r>
              <w:rPr/>
              <w:t>​</w:t>
            </w:r>
          </w:p>
        </w:tc>
        <w:tc>
          <w:tcPr>
            <w:tcW w:w="1450" w:type="dxa"/>
            <w:tcBorders/>
            <w:vAlign w:val="center"/>
          </w:tcPr>
          <w:p>
            <w:pPr>
              <w:pStyle w:val="TableContents"/>
              <w:bidi w:val="0"/>
              <w:spacing w:before="0" w:after="283"/>
              <w:ind w:left="0" w:right="0" w:hanging="0"/>
              <w:jc w:val="left"/>
              <w:rPr>
                <w:sz w:val="4"/>
                <w:szCs w:val="4"/>
              </w:rPr>
            </w:pPr>
            <w:r>
              <w:rPr>
                <w:sz w:val="4"/>
                <w:szCs w:val="4"/>
              </w:rPr>
            </w:r>
          </w:p>
        </w:tc>
        <w:tc>
          <w:tcPr>
            <w:tcW w:w="3080"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45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 xml:space="preserve">TRUST BANK, </w:t>
            </w:r>
            <w:r>
              <w:rPr>
                <w:rFonts w:ascii="Times New Roman;Times;serif" w:hAnsi="Times New Roman;Times;serif"/>
                <w:sz w:val="22"/>
              </w:rPr>
              <w:t>as an L/C Issuer and a Lender</w:t>
            </w:r>
          </w:p>
        </w:tc>
      </w:tr>
      <w:tr>
        <w:trPr/>
        <w:tc>
          <w:tcPr>
            <w:tcW w:w="124" w:type="dxa"/>
            <w:tcBorders/>
            <w:vAlign w:val="center"/>
          </w:tcPr>
          <w:p>
            <w:pPr>
              <w:pStyle w:val="TableContents"/>
              <w:bidi w:val="0"/>
              <w:spacing w:before="0" w:after="0"/>
              <w:ind w:left="0" w:right="0" w:hanging="0"/>
              <w:jc w:val="both"/>
              <w:rPr/>
            </w:pPr>
            <w:r>
              <w:rPr/>
              <w:t>​</w:t>
            </w:r>
          </w:p>
        </w:tc>
        <w:tc>
          <w:tcPr>
            <w:tcW w:w="4530"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453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450"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08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Carlos Cruz</w:t>
            </w:r>
          </w:p>
        </w:tc>
      </w:tr>
      <w:tr>
        <w:trPr/>
        <w:tc>
          <w:tcPr>
            <w:tcW w:w="124" w:type="dxa"/>
            <w:tcBorders/>
            <w:vAlign w:val="center"/>
          </w:tcPr>
          <w:p>
            <w:pPr>
              <w:pStyle w:val="TableContents"/>
              <w:bidi w:val="0"/>
              <w:spacing w:before="0" w:after="0"/>
              <w:ind w:left="0" w:right="0" w:hanging="0"/>
              <w:jc w:val="both"/>
              <w:rPr/>
            </w:pPr>
            <w:r>
              <w:rPr/>
              <w:t>​</w:t>
            </w:r>
          </w:p>
        </w:tc>
        <w:tc>
          <w:tcPr>
            <w:tcW w:w="145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3080"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Carlos Cruz</w:t>
            </w:r>
          </w:p>
        </w:tc>
      </w:tr>
      <w:tr>
        <w:trPr/>
        <w:tc>
          <w:tcPr>
            <w:tcW w:w="124" w:type="dxa"/>
            <w:tcBorders/>
            <w:vAlign w:val="center"/>
          </w:tcPr>
          <w:p>
            <w:pPr>
              <w:pStyle w:val="TableContents"/>
              <w:bidi w:val="0"/>
              <w:spacing w:before="0" w:after="0"/>
              <w:ind w:left="0" w:right="0" w:hanging="0"/>
              <w:jc w:val="both"/>
              <w:rPr/>
            </w:pPr>
            <w:r>
              <w:rPr/>
              <w:t>​</w:t>
            </w:r>
          </w:p>
        </w:tc>
        <w:tc>
          <w:tcPr>
            <w:tcW w:w="145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3080"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Director</w:t>
            </w:r>
          </w:p>
        </w:tc>
      </w:tr>
      <w:tr>
        <w:trPr/>
        <w:tc>
          <w:tcPr>
            <w:tcW w:w="124" w:type="dxa"/>
            <w:tcBorders/>
            <w:vAlign w:val="center"/>
          </w:tcPr>
          <w:p>
            <w:pPr>
              <w:pStyle w:val="TableContents"/>
              <w:bidi w:val="0"/>
              <w:spacing w:before="0" w:after="0"/>
              <w:ind w:left="0" w:right="0" w:hanging="0"/>
              <w:jc w:val="both"/>
              <w:rPr/>
            </w:pPr>
            <w:r>
              <w:rPr/>
              <w:t>​</w:t>
            </w:r>
          </w:p>
        </w:tc>
        <w:tc>
          <w:tcPr>
            <w:tcW w:w="1450" w:type="dxa"/>
            <w:tcBorders/>
            <w:vAlign w:val="center"/>
          </w:tcPr>
          <w:p>
            <w:pPr>
              <w:pStyle w:val="TableContents"/>
              <w:bidi w:val="0"/>
              <w:spacing w:before="0" w:after="0"/>
              <w:ind w:left="0" w:right="0" w:hanging="0"/>
              <w:jc w:val="both"/>
              <w:rPr/>
            </w:pPr>
            <w:r>
              <w:rPr/>
              <w:t>​</w:t>
            </w:r>
          </w:p>
        </w:tc>
        <w:tc>
          <w:tcPr>
            <w:tcW w:w="3080"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tbl>
      <w:tblPr>
        <w:tblW w:w="5261" w:type="dxa"/>
        <w:jc w:val="center"/>
        <w:tblInd w:w="0" w:type="dxa"/>
        <w:tblLayout w:type="fixed"/>
        <w:tblCellMar>
          <w:top w:w="0" w:type="dxa"/>
          <w:left w:w="0" w:type="dxa"/>
          <w:bottom w:w="0" w:type="dxa"/>
          <w:right w:w="0" w:type="dxa"/>
        </w:tblCellMar>
      </w:tblPr>
      <w:tblGrid>
        <w:gridCol w:w="124"/>
        <w:gridCol w:w="23"/>
        <w:gridCol w:w="963"/>
        <w:gridCol w:w="980"/>
        <w:gridCol w:w="411"/>
        <w:gridCol w:w="2760"/>
      </w:tblGrid>
      <w:tr>
        <w:trPr/>
        <w:tc>
          <w:tcPr>
            <w:tcW w:w="147" w:type="dxa"/>
            <w:gridSpan w:val="2"/>
            <w:tcBorders/>
            <w:vAlign w:val="center"/>
          </w:tcPr>
          <w:p>
            <w:pPr>
              <w:pStyle w:val="TableContents"/>
              <w:bidi w:val="0"/>
              <w:spacing w:before="0" w:after="0"/>
              <w:ind w:left="0" w:right="0" w:hanging="0"/>
              <w:jc w:val="left"/>
              <w:rPr/>
            </w:pPr>
            <w:r>
              <w:rPr/>
              <w:t>​</w:t>
            </w:r>
          </w:p>
        </w:tc>
        <w:tc>
          <w:tcPr>
            <w:tcW w:w="1943" w:type="dxa"/>
            <w:gridSpan w:val="2"/>
            <w:tcBorders/>
            <w:vAlign w:val="center"/>
          </w:tcPr>
          <w:p>
            <w:pPr>
              <w:pStyle w:val="TableContents"/>
              <w:bidi w:val="0"/>
              <w:spacing w:before="0" w:after="283"/>
              <w:ind w:left="0" w:right="0" w:hanging="0"/>
              <w:jc w:val="left"/>
              <w:rPr>
                <w:sz w:val="4"/>
                <w:szCs w:val="4"/>
              </w:rPr>
            </w:pPr>
            <w:r>
              <w:rPr>
                <w:sz w:val="4"/>
                <w:szCs w:val="4"/>
              </w:rPr>
            </w:r>
          </w:p>
        </w:tc>
        <w:tc>
          <w:tcPr>
            <w:tcW w:w="3171"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47" w:type="dxa"/>
            <w:gridSpan w:val="2"/>
            <w:tcBorders/>
            <w:vAlign w:val="center"/>
          </w:tcPr>
          <w:p>
            <w:pPr>
              <w:pStyle w:val="TableContents"/>
              <w:bidi w:val="0"/>
              <w:spacing w:before="0" w:after="0"/>
              <w:ind w:left="0" w:right="0" w:hanging="0"/>
              <w:jc w:val="both"/>
              <w:rPr/>
            </w:pPr>
            <w:r>
              <w:rPr/>
              <w:t>​</w:t>
            </w:r>
          </w:p>
        </w:tc>
        <w:tc>
          <w:tcPr>
            <w:tcW w:w="5114"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MUFG BANK, LTD.</w:t>
            </w:r>
            <w:r>
              <w:rPr>
                <w:rFonts w:ascii="Times New Roman;Times;serif" w:hAnsi="Times New Roman;Times;serif"/>
                <w:sz w:val="22"/>
              </w:rPr>
              <w:t>, as an L/C Issuer and a Lender</w:t>
            </w:r>
          </w:p>
        </w:tc>
      </w:tr>
      <w:tr>
        <w:trPr/>
        <w:tc>
          <w:tcPr>
            <w:tcW w:w="147" w:type="dxa"/>
            <w:gridSpan w:val="2"/>
            <w:tcBorders/>
            <w:vAlign w:val="center"/>
          </w:tcPr>
          <w:p>
            <w:pPr>
              <w:pStyle w:val="TableContents"/>
              <w:bidi w:val="0"/>
              <w:spacing w:before="0" w:after="0"/>
              <w:ind w:left="0" w:right="0" w:hanging="0"/>
              <w:jc w:val="both"/>
              <w:rPr/>
            </w:pPr>
            <w:r>
              <w:rPr/>
              <w:t>​</w:t>
            </w:r>
          </w:p>
        </w:tc>
        <w:tc>
          <w:tcPr>
            <w:tcW w:w="5114" w:type="dxa"/>
            <w:gridSpan w:val="4"/>
            <w:tcBorders/>
            <w:vAlign w:val="center"/>
          </w:tcPr>
          <w:p>
            <w:pPr>
              <w:pStyle w:val="TableContents"/>
              <w:bidi w:val="0"/>
              <w:spacing w:before="0" w:after="283"/>
              <w:ind w:left="0" w:right="0" w:hanging="0"/>
              <w:jc w:val="left"/>
              <w:rPr>
                <w:sz w:val="4"/>
                <w:szCs w:val="4"/>
              </w:rPr>
            </w:pPr>
            <w:r>
              <w:rPr>
                <w:sz w:val="4"/>
                <w:szCs w:val="4"/>
              </w:rPr>
            </w:r>
          </w:p>
        </w:tc>
      </w:tr>
      <w:tr>
        <w:trPr/>
        <w:tc>
          <w:tcPr>
            <w:tcW w:w="147" w:type="dxa"/>
            <w:gridSpan w:val="2"/>
            <w:tcBorders/>
            <w:vAlign w:val="center"/>
          </w:tcPr>
          <w:p>
            <w:pPr>
              <w:pStyle w:val="TableContents"/>
              <w:bidi w:val="0"/>
              <w:spacing w:before="0" w:after="0"/>
              <w:ind w:left="0" w:right="0" w:hanging="0"/>
              <w:jc w:val="both"/>
              <w:rPr/>
            </w:pPr>
            <w:r>
              <w:rPr/>
              <w:t>​</w:t>
            </w:r>
          </w:p>
        </w:tc>
        <w:tc>
          <w:tcPr>
            <w:tcW w:w="5114" w:type="dxa"/>
            <w:gridSpan w:val="4"/>
            <w:tcBorders/>
            <w:vAlign w:val="center"/>
          </w:tcPr>
          <w:p>
            <w:pPr>
              <w:pStyle w:val="TableContents"/>
              <w:bidi w:val="0"/>
              <w:spacing w:before="0" w:after="0"/>
              <w:ind w:left="0" w:right="0" w:hanging="0"/>
              <w:jc w:val="left"/>
              <w:rPr/>
            </w:pPr>
            <w:r>
              <w:rPr/>
              <w:t>​</w:t>
            </w:r>
          </w:p>
        </w:tc>
      </w:tr>
      <w:tr>
        <w:trPr/>
        <w:tc>
          <w:tcPr>
            <w:tcW w:w="147" w:type="dxa"/>
            <w:gridSpan w:val="2"/>
            <w:tcBorders/>
            <w:vAlign w:val="center"/>
          </w:tcPr>
          <w:p>
            <w:pPr>
              <w:pStyle w:val="TableContents"/>
              <w:bidi w:val="0"/>
              <w:spacing w:before="0" w:after="0"/>
              <w:ind w:left="0" w:right="0" w:hanging="0"/>
              <w:jc w:val="both"/>
              <w:rPr/>
            </w:pPr>
            <w:r>
              <w:rPr/>
              <w:t>​</w:t>
            </w:r>
          </w:p>
        </w:tc>
        <w:tc>
          <w:tcPr>
            <w:tcW w:w="1943"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171"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Eric Enberg</w:t>
            </w:r>
          </w:p>
        </w:tc>
      </w:tr>
      <w:tr>
        <w:trPr/>
        <w:tc>
          <w:tcPr>
            <w:tcW w:w="147" w:type="dxa"/>
            <w:gridSpan w:val="2"/>
            <w:tcBorders/>
            <w:vAlign w:val="center"/>
          </w:tcPr>
          <w:p>
            <w:pPr>
              <w:pStyle w:val="TableContents"/>
              <w:bidi w:val="0"/>
              <w:spacing w:before="0" w:after="0"/>
              <w:ind w:left="0" w:right="0" w:hanging="0"/>
              <w:jc w:val="both"/>
              <w:rPr/>
            </w:pPr>
            <w:r>
              <w:rPr/>
              <w:t>​</w:t>
            </w:r>
          </w:p>
        </w:tc>
        <w:tc>
          <w:tcPr>
            <w:tcW w:w="1943" w:type="dxa"/>
            <w:gridSpan w:val="2"/>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3171"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Eric Enberg</w:t>
            </w:r>
          </w:p>
        </w:tc>
      </w:tr>
      <w:tr>
        <w:trPr/>
        <w:tc>
          <w:tcPr>
            <w:tcW w:w="147" w:type="dxa"/>
            <w:gridSpan w:val="2"/>
            <w:tcBorders/>
            <w:vAlign w:val="center"/>
          </w:tcPr>
          <w:p>
            <w:pPr>
              <w:pStyle w:val="TableContents"/>
              <w:bidi w:val="0"/>
              <w:spacing w:before="0" w:after="0"/>
              <w:ind w:left="0" w:right="0" w:hanging="0"/>
              <w:jc w:val="both"/>
              <w:rPr/>
            </w:pPr>
            <w:r>
              <w:rPr/>
              <w:t>​</w:t>
            </w:r>
          </w:p>
        </w:tc>
        <w:tc>
          <w:tcPr>
            <w:tcW w:w="1943" w:type="dxa"/>
            <w:gridSpan w:val="2"/>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3171" w:type="dxa"/>
            <w:gridSpan w:val="2"/>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Director</w:t>
            </w:r>
          </w:p>
        </w:tc>
      </w:tr>
      <w:tr>
        <w:trPr/>
        <w:tc>
          <w:tcPr>
            <w:tcW w:w="147" w:type="dxa"/>
            <w:gridSpan w:val="2"/>
            <w:tcBorders/>
            <w:vAlign w:val="center"/>
          </w:tcPr>
          <w:p>
            <w:pPr>
              <w:pStyle w:val="TableContents"/>
              <w:bidi w:val="0"/>
              <w:spacing w:before="0" w:after="0"/>
              <w:ind w:left="0" w:right="0" w:hanging="0"/>
              <w:jc w:val="both"/>
              <w:rPr/>
            </w:pPr>
            <w:r>
              <w:rPr/>
              <w:t>​</w:t>
            </w:r>
          </w:p>
        </w:tc>
        <w:tc>
          <w:tcPr>
            <w:tcW w:w="1943" w:type="dxa"/>
            <w:gridSpan w:val="2"/>
            <w:tcBorders/>
            <w:vAlign w:val="center"/>
          </w:tcPr>
          <w:p>
            <w:pPr>
              <w:pStyle w:val="TableContents"/>
              <w:bidi w:val="0"/>
              <w:spacing w:before="0" w:after="0"/>
              <w:ind w:left="0" w:right="0" w:hanging="0"/>
              <w:jc w:val="both"/>
              <w:rPr/>
            </w:pPr>
            <w:r>
              <w:rPr/>
              <w:t>​</w:t>
            </w:r>
          </w:p>
        </w:tc>
        <w:tc>
          <w:tcPr>
            <w:tcW w:w="3171" w:type="dxa"/>
            <w:gridSpan w:val="2"/>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left"/>
              <w:rPr/>
            </w:pPr>
            <w:r>
              <w:rPr/>
              <w:t>​</w:t>
            </w:r>
          </w:p>
        </w:tc>
        <w:tc>
          <w:tcPr>
            <w:tcW w:w="986" w:type="dxa"/>
            <w:gridSpan w:val="2"/>
            <w:tcBorders/>
            <w:vAlign w:val="center"/>
          </w:tcPr>
          <w:p>
            <w:pPr>
              <w:pStyle w:val="TableContents"/>
              <w:bidi w:val="0"/>
              <w:spacing w:before="0" w:after="0"/>
              <w:ind w:left="0" w:right="0" w:hanging="0"/>
              <w:jc w:val="left"/>
              <w:rPr/>
            </w:pPr>
            <w:r>
              <w:rPr/>
              <w:t>​</w:t>
            </w:r>
          </w:p>
        </w:tc>
        <w:tc>
          <w:tcPr>
            <w:tcW w:w="1391" w:type="dxa"/>
            <w:gridSpan w:val="2"/>
            <w:tcBorders/>
            <w:vAlign w:val="center"/>
          </w:tcPr>
          <w:p>
            <w:pPr>
              <w:pStyle w:val="TableContents"/>
              <w:bidi w:val="0"/>
              <w:spacing w:before="0" w:after="0"/>
              <w:ind w:left="0" w:right="0" w:hanging="0"/>
              <w:jc w:val="left"/>
              <w:rPr/>
            </w:pPr>
            <w:r>
              <w:rPr/>
              <w:t>​</w:t>
            </w:r>
          </w:p>
        </w:tc>
        <w:tc>
          <w:tcPr>
            <w:tcW w:w="27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tbl>
      <w:tblPr>
        <w:tblW w:w="6767" w:type="dxa"/>
        <w:jc w:val="center"/>
        <w:tblInd w:w="0" w:type="dxa"/>
        <w:tblLayout w:type="fixed"/>
        <w:tblCellMar>
          <w:top w:w="0" w:type="dxa"/>
          <w:left w:w="0" w:type="dxa"/>
          <w:bottom w:w="0" w:type="dxa"/>
          <w:right w:w="0" w:type="dxa"/>
        </w:tblCellMar>
      </w:tblPr>
      <w:tblGrid>
        <w:gridCol w:w="124"/>
        <w:gridCol w:w="109"/>
        <w:gridCol w:w="23"/>
        <w:gridCol w:w="4966"/>
        <w:gridCol w:w="195"/>
        <w:gridCol w:w="1350"/>
      </w:tblGrid>
      <w:tr>
        <w:trPr/>
        <w:tc>
          <w:tcPr>
            <w:tcW w:w="256" w:type="dxa"/>
            <w:gridSpan w:val="3"/>
            <w:tcBorders/>
            <w:vAlign w:val="center"/>
          </w:tcPr>
          <w:p>
            <w:pPr>
              <w:pStyle w:val="TableContents"/>
              <w:bidi w:val="0"/>
              <w:spacing w:before="0" w:after="0"/>
              <w:ind w:left="0" w:right="0" w:hanging="0"/>
              <w:jc w:val="left"/>
              <w:rPr/>
            </w:pPr>
            <w:r>
              <w:rPr/>
              <w:t>​</w:t>
            </w:r>
          </w:p>
        </w:tc>
        <w:tc>
          <w:tcPr>
            <w:tcW w:w="4966" w:type="dxa"/>
            <w:tcBorders/>
            <w:vAlign w:val="center"/>
          </w:tcPr>
          <w:p>
            <w:pPr>
              <w:pStyle w:val="TableContents"/>
              <w:bidi w:val="0"/>
              <w:spacing w:before="0" w:after="283"/>
              <w:ind w:left="0" w:right="0" w:hanging="0"/>
              <w:jc w:val="left"/>
              <w:rPr>
                <w:sz w:val="4"/>
                <w:szCs w:val="4"/>
              </w:rPr>
            </w:pPr>
            <w:r>
              <w:rPr>
                <w:sz w:val="4"/>
                <w:szCs w:val="4"/>
              </w:rPr>
            </w:r>
          </w:p>
        </w:tc>
        <w:tc>
          <w:tcPr>
            <w:tcW w:w="1545"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256" w:type="dxa"/>
            <w:gridSpan w:val="3"/>
            <w:tcBorders/>
            <w:vAlign w:val="center"/>
          </w:tcPr>
          <w:p>
            <w:pPr>
              <w:pStyle w:val="TableContents"/>
              <w:bidi w:val="0"/>
              <w:spacing w:before="0" w:after="0"/>
              <w:ind w:left="0" w:right="0" w:hanging="0"/>
              <w:jc w:val="both"/>
              <w:rPr/>
            </w:pPr>
            <w:r>
              <w:rPr/>
              <w:t>​</w:t>
            </w:r>
          </w:p>
        </w:tc>
        <w:tc>
          <w:tcPr>
            <w:tcW w:w="6511"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THE BANK OF NOVA SCOTIA</w:t>
            </w:r>
            <w:r>
              <w:rPr>
                <w:rFonts w:ascii="Times New Roman;Times;serif" w:hAnsi="Times New Roman;Times;serif"/>
                <w:sz w:val="22"/>
              </w:rPr>
              <w:t>, as an L/C Issuer and a Lender</w:t>
            </w:r>
          </w:p>
        </w:tc>
      </w:tr>
      <w:tr>
        <w:trPr/>
        <w:tc>
          <w:tcPr>
            <w:tcW w:w="256" w:type="dxa"/>
            <w:gridSpan w:val="3"/>
            <w:tcBorders/>
            <w:vAlign w:val="center"/>
          </w:tcPr>
          <w:p>
            <w:pPr>
              <w:pStyle w:val="TableContents"/>
              <w:bidi w:val="0"/>
              <w:spacing w:before="0" w:after="0"/>
              <w:ind w:left="0" w:right="0" w:hanging="0"/>
              <w:jc w:val="both"/>
              <w:rPr/>
            </w:pPr>
            <w:r>
              <w:rPr/>
              <w:t>​</w:t>
            </w:r>
          </w:p>
        </w:tc>
        <w:tc>
          <w:tcPr>
            <w:tcW w:w="6511"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256" w:type="dxa"/>
            <w:gridSpan w:val="3"/>
            <w:tcBorders/>
            <w:vAlign w:val="center"/>
          </w:tcPr>
          <w:p>
            <w:pPr>
              <w:pStyle w:val="TableContents"/>
              <w:bidi w:val="0"/>
              <w:spacing w:before="0" w:after="0"/>
              <w:ind w:left="0" w:right="0" w:hanging="0"/>
              <w:jc w:val="both"/>
              <w:rPr/>
            </w:pPr>
            <w:r>
              <w:rPr/>
              <w:t>​</w:t>
            </w:r>
          </w:p>
        </w:tc>
        <w:tc>
          <w:tcPr>
            <w:tcW w:w="6511" w:type="dxa"/>
            <w:gridSpan w:val="3"/>
            <w:tcBorders/>
            <w:vAlign w:val="center"/>
          </w:tcPr>
          <w:p>
            <w:pPr>
              <w:pStyle w:val="TableContents"/>
              <w:bidi w:val="0"/>
              <w:spacing w:before="0" w:after="0"/>
              <w:ind w:left="0" w:right="0" w:hanging="0"/>
              <w:jc w:val="left"/>
              <w:rPr/>
            </w:pPr>
            <w:r>
              <w:rPr/>
              <w:t>​</w:t>
            </w:r>
          </w:p>
        </w:tc>
      </w:tr>
      <w:tr>
        <w:trPr/>
        <w:tc>
          <w:tcPr>
            <w:tcW w:w="256" w:type="dxa"/>
            <w:gridSpan w:val="3"/>
            <w:tcBorders/>
            <w:vAlign w:val="center"/>
          </w:tcPr>
          <w:p>
            <w:pPr>
              <w:pStyle w:val="TableContents"/>
              <w:bidi w:val="0"/>
              <w:spacing w:before="0" w:after="0"/>
              <w:ind w:left="0" w:right="0" w:hanging="0"/>
              <w:jc w:val="both"/>
              <w:rPr/>
            </w:pPr>
            <w:r>
              <w:rPr/>
              <w:t>​</w:t>
            </w:r>
          </w:p>
        </w:tc>
        <w:tc>
          <w:tcPr>
            <w:tcW w:w="496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1545"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Yvonne Bai</w:t>
            </w:r>
          </w:p>
        </w:tc>
      </w:tr>
      <w:tr>
        <w:trPr/>
        <w:tc>
          <w:tcPr>
            <w:tcW w:w="256" w:type="dxa"/>
            <w:gridSpan w:val="3"/>
            <w:tcBorders/>
            <w:vAlign w:val="center"/>
          </w:tcPr>
          <w:p>
            <w:pPr>
              <w:pStyle w:val="TableContents"/>
              <w:bidi w:val="0"/>
              <w:spacing w:before="0" w:after="0"/>
              <w:ind w:left="0" w:right="0" w:hanging="0"/>
              <w:jc w:val="both"/>
              <w:rPr/>
            </w:pPr>
            <w:r>
              <w:rPr/>
              <w:t>​</w:t>
            </w:r>
          </w:p>
        </w:tc>
        <w:tc>
          <w:tcPr>
            <w:tcW w:w="496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154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Yvonne Bai</w:t>
            </w:r>
          </w:p>
        </w:tc>
      </w:tr>
      <w:tr>
        <w:trPr/>
        <w:tc>
          <w:tcPr>
            <w:tcW w:w="256" w:type="dxa"/>
            <w:gridSpan w:val="3"/>
            <w:tcBorders/>
            <w:vAlign w:val="center"/>
          </w:tcPr>
          <w:p>
            <w:pPr>
              <w:pStyle w:val="TableContents"/>
              <w:bidi w:val="0"/>
              <w:spacing w:before="0" w:after="0"/>
              <w:ind w:left="0" w:right="0" w:hanging="0"/>
              <w:jc w:val="both"/>
              <w:rPr/>
            </w:pPr>
            <w:r>
              <w:rPr/>
              <w:t>​</w:t>
            </w:r>
          </w:p>
        </w:tc>
        <w:tc>
          <w:tcPr>
            <w:tcW w:w="496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1545" w:type="dxa"/>
            <w:gridSpan w:val="2"/>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Director</w: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5184" w:type="dxa"/>
            <w:gridSpan w:val="3"/>
            <w:tcBorders/>
            <w:vAlign w:val="center"/>
          </w:tcPr>
          <w:p>
            <w:pPr>
              <w:pStyle w:val="TableContents"/>
              <w:bidi w:val="0"/>
              <w:spacing w:before="0" w:after="0"/>
              <w:ind w:left="0" w:right="0" w:hanging="0"/>
              <w:jc w:val="left"/>
              <w:rPr/>
            </w:pPr>
            <w:r>
              <w:rPr/>
              <w:t>​</w:t>
            </w:r>
          </w:p>
        </w:tc>
        <w:tc>
          <w:tcPr>
            <w:tcW w:w="135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tbl>
      <w:tblPr>
        <w:tblW w:w="6034" w:type="dxa"/>
        <w:jc w:val="center"/>
        <w:tblInd w:w="0" w:type="dxa"/>
        <w:tblLayout w:type="fixed"/>
        <w:tblCellMar>
          <w:top w:w="0" w:type="dxa"/>
          <w:left w:w="0" w:type="dxa"/>
          <w:bottom w:w="0" w:type="dxa"/>
          <w:right w:w="0" w:type="dxa"/>
        </w:tblCellMar>
      </w:tblPr>
      <w:tblGrid>
        <w:gridCol w:w="124"/>
        <w:gridCol w:w="1577"/>
        <w:gridCol w:w="4333"/>
      </w:tblGrid>
      <w:tr>
        <w:trPr/>
        <w:tc>
          <w:tcPr>
            <w:tcW w:w="124" w:type="dxa"/>
            <w:tcBorders/>
            <w:vAlign w:val="center"/>
          </w:tcPr>
          <w:p>
            <w:pPr>
              <w:pStyle w:val="TableContents"/>
              <w:bidi w:val="0"/>
              <w:spacing w:before="0" w:after="0"/>
              <w:ind w:left="0" w:right="0" w:hanging="0"/>
              <w:jc w:val="left"/>
              <w:rPr/>
            </w:pPr>
            <w:r>
              <w:rPr/>
              <w:t>​</w:t>
            </w:r>
          </w:p>
        </w:tc>
        <w:tc>
          <w:tcPr>
            <w:tcW w:w="1577" w:type="dxa"/>
            <w:tcBorders/>
            <w:vAlign w:val="center"/>
          </w:tcPr>
          <w:p>
            <w:pPr>
              <w:pStyle w:val="TableContents"/>
              <w:bidi w:val="0"/>
              <w:spacing w:before="0" w:after="283"/>
              <w:ind w:left="0" w:right="0" w:hanging="0"/>
              <w:jc w:val="left"/>
              <w:rPr>
                <w:sz w:val="4"/>
                <w:szCs w:val="4"/>
              </w:rPr>
            </w:pPr>
            <w:r>
              <w:rPr>
                <w:sz w:val="4"/>
                <w:szCs w:val="4"/>
              </w:rPr>
            </w:r>
          </w:p>
        </w:tc>
        <w:tc>
          <w:tcPr>
            <w:tcW w:w="4333"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591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BANCO SANTANDER, S.A., NEW YORK BRANCH</w:t>
            </w:r>
            <w:r>
              <w:rPr>
                <w:rFonts w:ascii="Times New Roman;Times;serif" w:hAnsi="Times New Roman;Times;serif"/>
                <w:sz w:val="22"/>
              </w:rPr>
              <w:t>, as a</w:t>
            </w:r>
          </w:p>
        </w:tc>
      </w:tr>
      <w:tr>
        <w:trPr/>
        <w:tc>
          <w:tcPr>
            <w:tcW w:w="124" w:type="dxa"/>
            <w:tcBorders/>
            <w:vAlign w:val="center"/>
          </w:tcPr>
          <w:p>
            <w:pPr>
              <w:pStyle w:val="TableContents"/>
              <w:bidi w:val="0"/>
              <w:spacing w:before="0" w:after="0"/>
              <w:ind w:left="0" w:right="0" w:hanging="0"/>
              <w:jc w:val="both"/>
              <w:rPr/>
            </w:pPr>
            <w:r>
              <w:rPr/>
              <w:t>​</w:t>
            </w:r>
          </w:p>
        </w:tc>
        <w:tc>
          <w:tcPr>
            <w:tcW w:w="591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Lender</w:t>
            </w:r>
          </w:p>
        </w:tc>
      </w:tr>
      <w:tr>
        <w:trPr/>
        <w:tc>
          <w:tcPr>
            <w:tcW w:w="124" w:type="dxa"/>
            <w:tcBorders/>
            <w:vAlign w:val="center"/>
          </w:tcPr>
          <w:p>
            <w:pPr>
              <w:pStyle w:val="TableContents"/>
              <w:bidi w:val="0"/>
              <w:spacing w:before="0" w:after="0"/>
              <w:ind w:left="0" w:right="0" w:hanging="0"/>
              <w:jc w:val="both"/>
              <w:rPr/>
            </w:pPr>
            <w:r>
              <w:rPr/>
              <w:t>​</w:t>
            </w:r>
          </w:p>
        </w:tc>
        <w:tc>
          <w:tcPr>
            <w:tcW w:w="59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59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57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4333"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Andres Barbosa</w:t>
            </w:r>
          </w:p>
        </w:tc>
      </w:tr>
      <w:tr>
        <w:trPr/>
        <w:tc>
          <w:tcPr>
            <w:tcW w:w="124" w:type="dxa"/>
            <w:tcBorders/>
            <w:vAlign w:val="center"/>
          </w:tcPr>
          <w:p>
            <w:pPr>
              <w:pStyle w:val="TableContents"/>
              <w:bidi w:val="0"/>
              <w:spacing w:before="0" w:after="0"/>
              <w:ind w:left="0" w:right="0" w:hanging="0"/>
              <w:jc w:val="both"/>
              <w:rPr/>
            </w:pPr>
            <w:r>
              <w:rPr/>
              <w:t>​</w:t>
            </w:r>
          </w:p>
        </w:tc>
        <w:tc>
          <w:tcPr>
            <w:tcW w:w="1577"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433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Andres Barbosa</w:t>
            </w:r>
          </w:p>
        </w:tc>
      </w:tr>
      <w:tr>
        <w:trPr/>
        <w:tc>
          <w:tcPr>
            <w:tcW w:w="124" w:type="dxa"/>
            <w:tcBorders/>
            <w:vAlign w:val="center"/>
          </w:tcPr>
          <w:p>
            <w:pPr>
              <w:pStyle w:val="TableContents"/>
              <w:bidi w:val="0"/>
              <w:spacing w:before="0" w:after="0"/>
              <w:ind w:left="0" w:right="0" w:hanging="0"/>
              <w:jc w:val="both"/>
              <w:rPr/>
            </w:pPr>
            <w:r>
              <w:rPr/>
              <w:t>​</w:t>
            </w:r>
          </w:p>
        </w:tc>
        <w:tc>
          <w:tcPr>
            <w:tcW w:w="1577"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4333"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Managing Director </w:t>
            </w:r>
          </w:p>
        </w:tc>
      </w:tr>
      <w:tr>
        <w:trPr/>
        <w:tc>
          <w:tcPr>
            <w:tcW w:w="124" w:type="dxa"/>
            <w:tcBorders/>
            <w:vAlign w:val="center"/>
          </w:tcPr>
          <w:p>
            <w:pPr>
              <w:pStyle w:val="TableContents"/>
              <w:bidi w:val="0"/>
              <w:spacing w:before="0" w:after="0"/>
              <w:ind w:left="0" w:right="0" w:hanging="0"/>
              <w:jc w:val="both"/>
              <w:rPr/>
            </w:pPr>
            <w:r>
              <w:rPr/>
              <w:t>​</w:t>
            </w:r>
          </w:p>
        </w:tc>
        <w:tc>
          <w:tcPr>
            <w:tcW w:w="1577" w:type="dxa"/>
            <w:tcBorders/>
            <w:vAlign w:val="center"/>
          </w:tcPr>
          <w:p>
            <w:pPr>
              <w:pStyle w:val="TableContents"/>
              <w:bidi w:val="0"/>
              <w:spacing w:before="0" w:after="0"/>
              <w:ind w:left="0" w:right="0" w:hanging="0"/>
              <w:jc w:val="both"/>
              <w:rPr/>
            </w:pPr>
            <w:r>
              <w:rPr/>
              <w:t>​</w:t>
            </w:r>
          </w:p>
        </w:tc>
        <w:tc>
          <w:tcPr>
            <w:tcW w:w="4333"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577" w:type="dxa"/>
            <w:tcBorders/>
            <w:vAlign w:val="center"/>
          </w:tcPr>
          <w:p>
            <w:pPr>
              <w:pStyle w:val="TableContents"/>
              <w:bidi w:val="0"/>
              <w:spacing w:before="0" w:after="0"/>
              <w:ind w:left="0" w:right="0" w:hanging="0"/>
              <w:jc w:val="both"/>
              <w:rPr/>
            </w:pPr>
            <w:r>
              <w:rPr/>
              <w:t>​</w:t>
            </w:r>
          </w:p>
        </w:tc>
        <w:tc>
          <w:tcPr>
            <w:tcW w:w="4333"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577"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4333"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Zara Kamal</w:t>
            </w:r>
          </w:p>
        </w:tc>
      </w:tr>
      <w:tr>
        <w:trPr/>
        <w:tc>
          <w:tcPr>
            <w:tcW w:w="124" w:type="dxa"/>
            <w:tcBorders/>
            <w:vAlign w:val="center"/>
          </w:tcPr>
          <w:p>
            <w:pPr>
              <w:pStyle w:val="TableContents"/>
              <w:bidi w:val="0"/>
              <w:spacing w:before="0" w:after="0"/>
              <w:ind w:left="0" w:right="0" w:hanging="0"/>
              <w:jc w:val="both"/>
              <w:rPr/>
            </w:pPr>
            <w:r>
              <w:rPr/>
              <w:t>​</w:t>
            </w:r>
          </w:p>
        </w:tc>
        <w:tc>
          <w:tcPr>
            <w:tcW w:w="1577"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4333"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Zara Kamal</w:t>
            </w:r>
          </w:p>
        </w:tc>
      </w:tr>
      <w:tr>
        <w:trPr/>
        <w:tc>
          <w:tcPr>
            <w:tcW w:w="124" w:type="dxa"/>
            <w:tcBorders/>
            <w:vAlign w:val="center"/>
          </w:tcPr>
          <w:p>
            <w:pPr>
              <w:pStyle w:val="TableContents"/>
              <w:bidi w:val="0"/>
              <w:spacing w:before="0" w:after="0"/>
              <w:ind w:left="0" w:right="0" w:hanging="0"/>
              <w:jc w:val="both"/>
              <w:rPr/>
            </w:pPr>
            <w:r>
              <w:rPr/>
              <w:t>​</w:t>
            </w:r>
          </w:p>
        </w:tc>
        <w:tc>
          <w:tcPr>
            <w:tcW w:w="1577"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4333"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Executive Director </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tbl>
      <w:tblPr>
        <w:tblW w:w="6116" w:type="dxa"/>
        <w:jc w:val="center"/>
        <w:tblInd w:w="0" w:type="dxa"/>
        <w:tblLayout w:type="fixed"/>
        <w:tblCellMar>
          <w:top w:w="0" w:type="dxa"/>
          <w:left w:w="0" w:type="dxa"/>
          <w:bottom w:w="0" w:type="dxa"/>
          <w:right w:w="0" w:type="dxa"/>
        </w:tblCellMar>
      </w:tblPr>
      <w:tblGrid>
        <w:gridCol w:w="124"/>
        <w:gridCol w:w="23"/>
        <w:gridCol w:w="1125"/>
        <w:gridCol w:w="1144"/>
        <w:gridCol w:w="475"/>
        <w:gridCol w:w="3225"/>
      </w:tblGrid>
      <w:tr>
        <w:trPr/>
        <w:tc>
          <w:tcPr>
            <w:tcW w:w="147" w:type="dxa"/>
            <w:gridSpan w:val="2"/>
            <w:tcBorders/>
            <w:vAlign w:val="center"/>
          </w:tcPr>
          <w:p>
            <w:pPr>
              <w:pStyle w:val="TableContents"/>
              <w:bidi w:val="0"/>
              <w:spacing w:before="0" w:after="0"/>
              <w:ind w:left="0" w:right="0" w:hanging="0"/>
              <w:jc w:val="left"/>
              <w:rPr/>
            </w:pPr>
            <w:r>
              <w:rPr/>
              <w:t>​</w:t>
            </w:r>
          </w:p>
        </w:tc>
        <w:tc>
          <w:tcPr>
            <w:tcW w:w="2269" w:type="dxa"/>
            <w:gridSpan w:val="2"/>
            <w:tcBorders/>
            <w:vAlign w:val="center"/>
          </w:tcPr>
          <w:p>
            <w:pPr>
              <w:pStyle w:val="TableContents"/>
              <w:bidi w:val="0"/>
              <w:spacing w:before="0" w:after="283"/>
              <w:ind w:left="0" w:right="0" w:hanging="0"/>
              <w:jc w:val="left"/>
              <w:rPr>
                <w:sz w:val="4"/>
                <w:szCs w:val="4"/>
              </w:rPr>
            </w:pPr>
            <w:r>
              <w:rPr>
                <w:sz w:val="4"/>
                <w:szCs w:val="4"/>
              </w:rPr>
            </w:r>
          </w:p>
        </w:tc>
        <w:tc>
          <w:tcPr>
            <w:tcW w:w="3700"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47" w:type="dxa"/>
            <w:gridSpan w:val="2"/>
            <w:tcBorders/>
            <w:vAlign w:val="center"/>
          </w:tcPr>
          <w:p>
            <w:pPr>
              <w:pStyle w:val="TableContents"/>
              <w:bidi w:val="0"/>
              <w:spacing w:before="0" w:after="0"/>
              <w:ind w:left="0" w:right="0" w:hanging="0"/>
              <w:jc w:val="both"/>
              <w:rPr/>
            </w:pPr>
            <w:r>
              <w:rPr/>
              <w:t>​</w:t>
            </w:r>
          </w:p>
        </w:tc>
        <w:tc>
          <w:tcPr>
            <w:tcW w:w="5969" w:type="dxa"/>
            <w:gridSpan w:val="4"/>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 xml:space="preserve">BANK OF CHINA, LOS ANGELES BRANCH, </w:t>
            </w:r>
            <w:r>
              <w:rPr>
                <w:rFonts w:ascii="Times New Roman;Times;serif" w:hAnsi="Times New Roman;Times;serif"/>
                <w:sz w:val="22"/>
              </w:rPr>
              <w:t>as a Lender</w:t>
            </w:r>
          </w:p>
        </w:tc>
      </w:tr>
      <w:tr>
        <w:trPr/>
        <w:tc>
          <w:tcPr>
            <w:tcW w:w="147" w:type="dxa"/>
            <w:gridSpan w:val="2"/>
            <w:tcBorders/>
            <w:vAlign w:val="center"/>
          </w:tcPr>
          <w:p>
            <w:pPr>
              <w:pStyle w:val="TableContents"/>
              <w:bidi w:val="0"/>
              <w:spacing w:before="0" w:after="0"/>
              <w:ind w:left="0" w:right="0" w:hanging="0"/>
              <w:jc w:val="both"/>
              <w:rPr/>
            </w:pPr>
            <w:r>
              <w:rPr/>
              <w:t>​</w:t>
            </w:r>
          </w:p>
        </w:tc>
        <w:tc>
          <w:tcPr>
            <w:tcW w:w="5969" w:type="dxa"/>
            <w:gridSpan w:val="4"/>
            <w:tcBorders/>
            <w:vAlign w:val="center"/>
          </w:tcPr>
          <w:p>
            <w:pPr>
              <w:pStyle w:val="TableContents"/>
              <w:bidi w:val="0"/>
              <w:spacing w:before="0" w:after="283"/>
              <w:ind w:left="0" w:right="0" w:hanging="0"/>
              <w:jc w:val="left"/>
              <w:rPr>
                <w:sz w:val="4"/>
                <w:szCs w:val="4"/>
              </w:rPr>
            </w:pPr>
            <w:r>
              <w:rPr>
                <w:sz w:val="4"/>
                <w:szCs w:val="4"/>
              </w:rPr>
            </w:r>
          </w:p>
        </w:tc>
      </w:tr>
      <w:tr>
        <w:trPr/>
        <w:tc>
          <w:tcPr>
            <w:tcW w:w="147" w:type="dxa"/>
            <w:gridSpan w:val="2"/>
            <w:tcBorders/>
            <w:vAlign w:val="center"/>
          </w:tcPr>
          <w:p>
            <w:pPr>
              <w:pStyle w:val="TableContents"/>
              <w:bidi w:val="0"/>
              <w:spacing w:before="0" w:after="0"/>
              <w:ind w:left="0" w:right="0" w:hanging="0"/>
              <w:jc w:val="both"/>
              <w:rPr/>
            </w:pPr>
            <w:r>
              <w:rPr/>
              <w:t>​</w:t>
            </w:r>
          </w:p>
        </w:tc>
        <w:tc>
          <w:tcPr>
            <w:tcW w:w="5969" w:type="dxa"/>
            <w:gridSpan w:val="4"/>
            <w:tcBorders/>
            <w:vAlign w:val="center"/>
          </w:tcPr>
          <w:p>
            <w:pPr>
              <w:pStyle w:val="TableContents"/>
              <w:bidi w:val="0"/>
              <w:spacing w:before="0" w:after="0"/>
              <w:ind w:left="0" w:right="0" w:hanging="0"/>
              <w:jc w:val="left"/>
              <w:rPr/>
            </w:pPr>
            <w:r>
              <w:rPr/>
              <w:t>​</w:t>
            </w:r>
          </w:p>
        </w:tc>
      </w:tr>
      <w:tr>
        <w:trPr/>
        <w:tc>
          <w:tcPr>
            <w:tcW w:w="147" w:type="dxa"/>
            <w:gridSpan w:val="2"/>
            <w:tcBorders/>
            <w:vAlign w:val="center"/>
          </w:tcPr>
          <w:p>
            <w:pPr>
              <w:pStyle w:val="TableContents"/>
              <w:bidi w:val="0"/>
              <w:spacing w:before="0" w:after="0"/>
              <w:ind w:left="0" w:right="0" w:hanging="0"/>
              <w:jc w:val="both"/>
              <w:rPr/>
            </w:pPr>
            <w:r>
              <w:rPr/>
              <w:t>​</w:t>
            </w:r>
          </w:p>
        </w:tc>
        <w:tc>
          <w:tcPr>
            <w:tcW w:w="5969" w:type="dxa"/>
            <w:gridSpan w:val="4"/>
            <w:tcBorders/>
            <w:vAlign w:val="center"/>
          </w:tcPr>
          <w:p>
            <w:pPr>
              <w:pStyle w:val="TableContents"/>
              <w:bidi w:val="0"/>
              <w:spacing w:before="0" w:after="0"/>
              <w:ind w:left="0" w:right="0" w:hanging="0"/>
              <w:jc w:val="left"/>
              <w:rPr/>
            </w:pPr>
            <w:r>
              <w:rPr/>
              <w:t>​</w:t>
            </w:r>
          </w:p>
        </w:tc>
      </w:tr>
      <w:tr>
        <w:trPr/>
        <w:tc>
          <w:tcPr>
            <w:tcW w:w="147" w:type="dxa"/>
            <w:gridSpan w:val="2"/>
            <w:tcBorders/>
            <w:vAlign w:val="center"/>
          </w:tcPr>
          <w:p>
            <w:pPr>
              <w:pStyle w:val="TableContents"/>
              <w:bidi w:val="0"/>
              <w:spacing w:before="0" w:after="0"/>
              <w:ind w:left="0" w:right="0" w:hanging="0"/>
              <w:jc w:val="both"/>
              <w:rPr/>
            </w:pPr>
            <w:r>
              <w:rPr/>
              <w:t>​</w:t>
            </w:r>
          </w:p>
        </w:tc>
        <w:tc>
          <w:tcPr>
            <w:tcW w:w="2269"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700" w:type="dxa"/>
            <w:gridSpan w:val="2"/>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Peng Li</w:t>
            </w:r>
          </w:p>
        </w:tc>
      </w:tr>
      <w:tr>
        <w:trPr/>
        <w:tc>
          <w:tcPr>
            <w:tcW w:w="147" w:type="dxa"/>
            <w:gridSpan w:val="2"/>
            <w:tcBorders/>
            <w:vAlign w:val="center"/>
          </w:tcPr>
          <w:p>
            <w:pPr>
              <w:pStyle w:val="TableContents"/>
              <w:bidi w:val="0"/>
              <w:spacing w:before="0" w:after="0"/>
              <w:ind w:left="0" w:right="0" w:hanging="0"/>
              <w:jc w:val="both"/>
              <w:rPr/>
            </w:pPr>
            <w:r>
              <w:rPr/>
              <w:t>​</w:t>
            </w:r>
          </w:p>
        </w:tc>
        <w:tc>
          <w:tcPr>
            <w:tcW w:w="2269" w:type="dxa"/>
            <w:gridSpan w:val="2"/>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3700"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Peng Li</w:t>
            </w:r>
          </w:p>
        </w:tc>
      </w:tr>
      <w:tr>
        <w:trPr/>
        <w:tc>
          <w:tcPr>
            <w:tcW w:w="147" w:type="dxa"/>
            <w:gridSpan w:val="2"/>
            <w:tcBorders/>
            <w:vAlign w:val="center"/>
          </w:tcPr>
          <w:p>
            <w:pPr>
              <w:pStyle w:val="TableContents"/>
              <w:bidi w:val="0"/>
              <w:spacing w:before="0" w:after="0"/>
              <w:ind w:left="0" w:right="0" w:hanging="0"/>
              <w:jc w:val="both"/>
              <w:rPr/>
            </w:pPr>
            <w:r>
              <w:rPr/>
              <w:t>​</w:t>
            </w:r>
          </w:p>
        </w:tc>
        <w:tc>
          <w:tcPr>
            <w:tcW w:w="2269" w:type="dxa"/>
            <w:gridSpan w:val="2"/>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3700" w:type="dxa"/>
            <w:gridSpan w:val="2"/>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SVP &amp; Branch Manager</w:t>
            </w:r>
          </w:p>
        </w:tc>
      </w:tr>
      <w:tr>
        <w:trPr/>
        <w:tc>
          <w:tcPr>
            <w:tcW w:w="124" w:type="dxa"/>
            <w:tcBorders/>
            <w:vAlign w:val="center"/>
          </w:tcPr>
          <w:p>
            <w:pPr>
              <w:pStyle w:val="TableContents"/>
              <w:bidi w:val="0"/>
              <w:spacing w:before="0" w:after="0"/>
              <w:ind w:left="0" w:right="0" w:hanging="0"/>
              <w:jc w:val="left"/>
              <w:rPr/>
            </w:pPr>
            <w:r>
              <w:rPr/>
              <w:t>​</w:t>
            </w:r>
          </w:p>
        </w:tc>
        <w:tc>
          <w:tcPr>
            <w:tcW w:w="1148" w:type="dxa"/>
            <w:gridSpan w:val="2"/>
            <w:tcBorders/>
            <w:vAlign w:val="center"/>
          </w:tcPr>
          <w:p>
            <w:pPr>
              <w:pStyle w:val="TableContents"/>
              <w:bidi w:val="0"/>
              <w:spacing w:before="0" w:after="0"/>
              <w:ind w:left="0" w:right="0" w:hanging="0"/>
              <w:jc w:val="left"/>
              <w:rPr/>
            </w:pPr>
            <w:r>
              <w:rPr/>
              <w:t>​</w:t>
            </w:r>
          </w:p>
        </w:tc>
        <w:tc>
          <w:tcPr>
            <w:tcW w:w="1619" w:type="dxa"/>
            <w:gridSpan w:val="2"/>
            <w:tcBorders/>
            <w:vAlign w:val="center"/>
          </w:tcPr>
          <w:p>
            <w:pPr>
              <w:pStyle w:val="TableContents"/>
              <w:bidi w:val="0"/>
              <w:spacing w:before="0" w:after="0"/>
              <w:ind w:left="0" w:right="0" w:hanging="0"/>
              <w:jc w:val="left"/>
              <w:rPr/>
            </w:pPr>
            <w:r>
              <w:rPr/>
              <w:t>​</w:t>
            </w:r>
          </w:p>
        </w:tc>
        <w:tc>
          <w:tcPr>
            <w:tcW w:w="322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tbl>
      <w:tblPr>
        <w:tblW w:w="6289" w:type="dxa"/>
        <w:jc w:val="center"/>
        <w:tblInd w:w="0" w:type="dxa"/>
        <w:tblLayout w:type="fixed"/>
        <w:tblCellMar>
          <w:top w:w="0" w:type="dxa"/>
          <w:left w:w="0" w:type="dxa"/>
          <w:bottom w:w="0" w:type="dxa"/>
          <w:right w:w="0" w:type="dxa"/>
        </w:tblCellMar>
      </w:tblPr>
      <w:tblGrid>
        <w:gridCol w:w="124"/>
        <w:gridCol w:w="1702"/>
        <w:gridCol w:w="4463"/>
      </w:tblGrid>
      <w:tr>
        <w:trPr/>
        <w:tc>
          <w:tcPr>
            <w:tcW w:w="124" w:type="dxa"/>
            <w:tcBorders/>
            <w:vAlign w:val="center"/>
          </w:tcPr>
          <w:p>
            <w:pPr>
              <w:pStyle w:val="TableContents"/>
              <w:bidi w:val="0"/>
              <w:spacing w:before="0" w:after="0"/>
              <w:ind w:left="0" w:right="0" w:hanging="0"/>
              <w:jc w:val="both"/>
              <w:rPr/>
            </w:pPr>
            <w:r>
              <w:rPr/>
              <w:t>​</w:t>
            </w:r>
          </w:p>
        </w:tc>
        <w:tc>
          <w:tcPr>
            <w:tcW w:w="616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caps/>
                <w:sz w:val="22"/>
              </w:rPr>
              <w:t>Commerzbank AG, New York Branch</w:t>
            </w:r>
            <w:r>
              <w:rPr>
                <w:rFonts w:ascii="Times New Roman;Times;serif" w:hAnsi="Times New Roman;Times;serif"/>
                <w:sz w:val="22"/>
              </w:rPr>
              <w:t xml:space="preserve">, as a Lender </w:t>
            </w:r>
          </w:p>
        </w:tc>
      </w:tr>
      <w:tr>
        <w:trPr/>
        <w:tc>
          <w:tcPr>
            <w:tcW w:w="124" w:type="dxa"/>
            <w:tcBorders/>
            <w:vAlign w:val="center"/>
          </w:tcPr>
          <w:p>
            <w:pPr>
              <w:pStyle w:val="TableContents"/>
              <w:bidi w:val="0"/>
              <w:spacing w:before="0" w:after="0"/>
              <w:ind w:left="0" w:right="0" w:hanging="0"/>
              <w:jc w:val="both"/>
              <w:rPr/>
            </w:pPr>
            <w:r>
              <w:rPr/>
              <w:t>​</w:t>
            </w:r>
          </w:p>
        </w:tc>
        <w:tc>
          <w:tcPr>
            <w:tcW w:w="6165"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61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616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702"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4463"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Robert Sullivan</w:t>
            </w:r>
          </w:p>
        </w:tc>
      </w:tr>
      <w:tr>
        <w:trPr/>
        <w:tc>
          <w:tcPr>
            <w:tcW w:w="124" w:type="dxa"/>
            <w:tcBorders/>
            <w:vAlign w:val="center"/>
          </w:tcPr>
          <w:p>
            <w:pPr>
              <w:pStyle w:val="TableContents"/>
              <w:bidi w:val="0"/>
              <w:spacing w:before="0" w:after="0"/>
              <w:ind w:left="0" w:right="0" w:hanging="0"/>
              <w:jc w:val="both"/>
              <w:rPr/>
            </w:pPr>
            <w:r>
              <w:rPr/>
              <w:t>​</w:t>
            </w:r>
          </w:p>
        </w:tc>
        <w:tc>
          <w:tcPr>
            <w:tcW w:w="170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446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Robert Sullivan</w:t>
            </w:r>
          </w:p>
        </w:tc>
      </w:tr>
      <w:tr>
        <w:trPr/>
        <w:tc>
          <w:tcPr>
            <w:tcW w:w="124" w:type="dxa"/>
            <w:tcBorders/>
            <w:vAlign w:val="center"/>
          </w:tcPr>
          <w:p>
            <w:pPr>
              <w:pStyle w:val="TableContents"/>
              <w:bidi w:val="0"/>
              <w:spacing w:before="0" w:after="0"/>
              <w:ind w:left="0" w:right="0" w:hanging="0"/>
              <w:jc w:val="both"/>
              <w:rPr/>
            </w:pPr>
            <w:r>
              <w:rPr/>
              <w:t>​</w:t>
            </w:r>
          </w:p>
        </w:tc>
        <w:tc>
          <w:tcPr>
            <w:tcW w:w="170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4463"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Director</w:t>
            </w:r>
          </w:p>
        </w:tc>
      </w:tr>
      <w:tr>
        <w:trPr/>
        <w:tc>
          <w:tcPr>
            <w:tcW w:w="124" w:type="dxa"/>
            <w:tcBorders/>
            <w:vAlign w:val="center"/>
          </w:tcPr>
          <w:p>
            <w:pPr>
              <w:pStyle w:val="TableContents"/>
              <w:bidi w:val="0"/>
              <w:spacing w:before="0" w:after="0"/>
              <w:ind w:left="0" w:right="0" w:hanging="0"/>
              <w:jc w:val="both"/>
              <w:rPr/>
            </w:pPr>
            <w:r>
              <w:rPr/>
              <w:t>​</w:t>
            </w:r>
          </w:p>
        </w:tc>
        <w:tc>
          <w:tcPr>
            <w:tcW w:w="1702" w:type="dxa"/>
            <w:tcBorders/>
            <w:vAlign w:val="center"/>
          </w:tcPr>
          <w:p>
            <w:pPr>
              <w:pStyle w:val="TableContents"/>
              <w:bidi w:val="0"/>
              <w:spacing w:before="0" w:after="0"/>
              <w:ind w:left="0" w:right="0" w:hanging="0"/>
              <w:jc w:val="both"/>
              <w:rPr/>
            </w:pPr>
            <w:r>
              <w:rPr/>
              <w:t>​</w:t>
            </w:r>
          </w:p>
        </w:tc>
        <w:tc>
          <w:tcPr>
            <w:tcW w:w="4463"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702" w:type="dxa"/>
            <w:tcBorders/>
            <w:vAlign w:val="center"/>
          </w:tcPr>
          <w:p>
            <w:pPr>
              <w:pStyle w:val="TableContents"/>
              <w:bidi w:val="0"/>
              <w:spacing w:before="0" w:after="0"/>
              <w:ind w:left="0" w:right="0" w:hanging="0"/>
              <w:jc w:val="both"/>
              <w:rPr/>
            </w:pPr>
            <w:r>
              <w:rPr/>
              <w:t>​</w:t>
            </w:r>
          </w:p>
        </w:tc>
        <w:tc>
          <w:tcPr>
            <w:tcW w:w="4463"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70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4463"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John Bermudez</w:t>
            </w:r>
          </w:p>
        </w:tc>
      </w:tr>
      <w:tr>
        <w:trPr/>
        <w:tc>
          <w:tcPr>
            <w:tcW w:w="124" w:type="dxa"/>
            <w:tcBorders/>
            <w:vAlign w:val="center"/>
          </w:tcPr>
          <w:p>
            <w:pPr>
              <w:pStyle w:val="TableContents"/>
              <w:bidi w:val="0"/>
              <w:spacing w:before="0" w:after="0"/>
              <w:ind w:left="0" w:right="0" w:hanging="0"/>
              <w:jc w:val="both"/>
              <w:rPr/>
            </w:pPr>
            <w:r>
              <w:rPr/>
              <w:t>​</w:t>
            </w:r>
          </w:p>
        </w:tc>
        <w:tc>
          <w:tcPr>
            <w:tcW w:w="170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4463"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John Bermudez</w:t>
            </w:r>
          </w:p>
        </w:tc>
      </w:tr>
      <w:tr>
        <w:trPr/>
        <w:tc>
          <w:tcPr>
            <w:tcW w:w="124" w:type="dxa"/>
            <w:tcBorders/>
            <w:vAlign w:val="center"/>
          </w:tcPr>
          <w:p>
            <w:pPr>
              <w:pStyle w:val="TableContents"/>
              <w:bidi w:val="0"/>
              <w:spacing w:before="0" w:after="0"/>
              <w:ind w:left="0" w:right="0" w:hanging="0"/>
              <w:jc w:val="both"/>
              <w:rPr/>
            </w:pPr>
            <w:r>
              <w:rPr/>
              <w:t>​</w:t>
            </w:r>
          </w:p>
        </w:tc>
        <w:tc>
          <w:tcPr>
            <w:tcW w:w="170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4463"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tbl>
      <w:tblPr>
        <w:tblW w:w="3246" w:type="dxa"/>
        <w:jc w:val="center"/>
        <w:tblInd w:w="0" w:type="dxa"/>
        <w:tblLayout w:type="fixed"/>
        <w:tblCellMar>
          <w:top w:w="0" w:type="dxa"/>
          <w:left w:w="0" w:type="dxa"/>
          <w:bottom w:w="0" w:type="dxa"/>
          <w:right w:w="0" w:type="dxa"/>
        </w:tblCellMar>
      </w:tblPr>
      <w:tblGrid>
        <w:gridCol w:w="124"/>
        <w:gridCol w:w="721"/>
        <w:gridCol w:w="2401"/>
      </w:tblGrid>
      <w:tr>
        <w:trPr/>
        <w:tc>
          <w:tcPr>
            <w:tcW w:w="124"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12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 xml:space="preserve">DBS BANK LTD., </w:t>
            </w:r>
            <w:r>
              <w:rPr>
                <w:rFonts w:ascii="Times New Roman;Times;serif" w:hAnsi="Times New Roman;Times;serif"/>
                <w:sz w:val="22"/>
              </w:rPr>
              <w:t>as a Lender</w:t>
            </w:r>
          </w:p>
        </w:tc>
      </w:tr>
      <w:tr>
        <w:trPr/>
        <w:tc>
          <w:tcPr>
            <w:tcW w:w="124" w:type="dxa"/>
            <w:tcBorders/>
            <w:vAlign w:val="center"/>
          </w:tcPr>
          <w:p>
            <w:pPr>
              <w:pStyle w:val="TableContents"/>
              <w:bidi w:val="0"/>
              <w:spacing w:before="0" w:after="0"/>
              <w:ind w:left="0" w:right="0" w:hanging="0"/>
              <w:jc w:val="both"/>
              <w:rPr/>
            </w:pPr>
            <w:r>
              <w:rPr/>
              <w:t>​</w:t>
            </w:r>
          </w:p>
        </w:tc>
        <w:tc>
          <w:tcPr>
            <w:tcW w:w="312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12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40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Goh Soo Ching s</w:t>
            </w:r>
          </w:p>
        </w:tc>
      </w:tr>
      <w:tr>
        <w:trPr/>
        <w:tc>
          <w:tcPr>
            <w:tcW w:w="124"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240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Goh Soo Ching</w:t>
            </w:r>
          </w:p>
        </w:tc>
      </w:tr>
      <w:tr>
        <w:trPr/>
        <w:tc>
          <w:tcPr>
            <w:tcW w:w="124"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240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Assistant Vice President</w:t>
            </w:r>
          </w:p>
        </w:tc>
      </w:tr>
      <w:tr>
        <w:trPr/>
        <w:tc>
          <w:tcPr>
            <w:tcW w:w="124"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both"/>
              <w:rPr/>
            </w:pPr>
            <w:r>
              <w:rPr/>
              <w:t>​</w:t>
            </w:r>
          </w:p>
        </w:tc>
        <w:tc>
          <w:tcPr>
            <w:tcW w:w="240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tbl>
      <w:tblPr>
        <w:tblW w:w="5569" w:type="dxa"/>
        <w:jc w:val="center"/>
        <w:tblInd w:w="0" w:type="dxa"/>
        <w:tblLayout w:type="fixed"/>
        <w:tblCellMar>
          <w:top w:w="0" w:type="dxa"/>
          <w:left w:w="0" w:type="dxa"/>
          <w:bottom w:w="0" w:type="dxa"/>
          <w:right w:w="0" w:type="dxa"/>
        </w:tblCellMar>
      </w:tblPr>
      <w:tblGrid>
        <w:gridCol w:w="124"/>
        <w:gridCol w:w="1362"/>
        <w:gridCol w:w="4083"/>
      </w:tblGrid>
      <w:tr>
        <w:trPr/>
        <w:tc>
          <w:tcPr>
            <w:tcW w:w="124" w:type="dxa"/>
            <w:tcBorders/>
            <w:vAlign w:val="center"/>
          </w:tcPr>
          <w:p>
            <w:pPr>
              <w:pStyle w:val="TableContents"/>
              <w:bidi w:val="0"/>
              <w:spacing w:before="0" w:after="0"/>
              <w:ind w:left="0" w:right="0" w:hanging="0"/>
              <w:jc w:val="left"/>
              <w:rPr/>
            </w:pPr>
            <w:r>
              <w:rPr/>
              <w:t>​</w:t>
            </w:r>
          </w:p>
        </w:tc>
        <w:tc>
          <w:tcPr>
            <w:tcW w:w="1362" w:type="dxa"/>
            <w:tcBorders/>
            <w:vAlign w:val="center"/>
          </w:tcPr>
          <w:p>
            <w:pPr>
              <w:pStyle w:val="TableContents"/>
              <w:bidi w:val="0"/>
              <w:spacing w:before="0" w:after="283"/>
              <w:ind w:left="0" w:right="0" w:hanging="0"/>
              <w:jc w:val="left"/>
              <w:rPr>
                <w:sz w:val="4"/>
                <w:szCs w:val="4"/>
              </w:rPr>
            </w:pPr>
            <w:r>
              <w:rPr>
                <w:sz w:val="4"/>
                <w:szCs w:val="4"/>
              </w:rPr>
            </w:r>
          </w:p>
        </w:tc>
        <w:tc>
          <w:tcPr>
            <w:tcW w:w="4083"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54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 xml:space="preserve">KEYBANK NATIONAL ASSOCIATION, </w:t>
            </w:r>
            <w:r>
              <w:rPr>
                <w:rFonts w:ascii="Times New Roman;Times;serif" w:hAnsi="Times New Roman;Times;serif"/>
                <w:sz w:val="22"/>
              </w:rPr>
              <w:t>as a Lender</w:t>
            </w:r>
          </w:p>
        </w:tc>
      </w:tr>
      <w:tr>
        <w:trPr/>
        <w:tc>
          <w:tcPr>
            <w:tcW w:w="124" w:type="dxa"/>
            <w:tcBorders/>
            <w:vAlign w:val="center"/>
          </w:tcPr>
          <w:p>
            <w:pPr>
              <w:pStyle w:val="TableContents"/>
              <w:bidi w:val="0"/>
              <w:spacing w:before="0" w:after="0"/>
              <w:ind w:left="0" w:right="0" w:hanging="0"/>
              <w:jc w:val="both"/>
              <w:rPr/>
            </w:pPr>
            <w:r>
              <w:rPr/>
              <w:t>​</w:t>
            </w:r>
          </w:p>
        </w:tc>
        <w:tc>
          <w:tcPr>
            <w:tcW w:w="54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54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362"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4083"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John R. Macks</w:t>
            </w:r>
          </w:p>
        </w:tc>
      </w:tr>
      <w:tr>
        <w:trPr/>
        <w:tc>
          <w:tcPr>
            <w:tcW w:w="124" w:type="dxa"/>
            <w:tcBorders/>
            <w:vAlign w:val="center"/>
          </w:tcPr>
          <w:p>
            <w:pPr>
              <w:pStyle w:val="TableContents"/>
              <w:bidi w:val="0"/>
              <w:spacing w:before="0" w:after="0"/>
              <w:ind w:left="0" w:right="0" w:hanging="0"/>
              <w:jc w:val="both"/>
              <w:rPr/>
            </w:pPr>
            <w:r>
              <w:rPr/>
              <w:t>​</w:t>
            </w:r>
          </w:p>
        </w:tc>
        <w:tc>
          <w:tcPr>
            <w:tcW w:w="136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408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John R. Macks</w:t>
            </w:r>
          </w:p>
        </w:tc>
      </w:tr>
      <w:tr>
        <w:trPr/>
        <w:tc>
          <w:tcPr>
            <w:tcW w:w="124" w:type="dxa"/>
            <w:tcBorders/>
            <w:vAlign w:val="center"/>
          </w:tcPr>
          <w:p>
            <w:pPr>
              <w:pStyle w:val="TableContents"/>
              <w:bidi w:val="0"/>
              <w:spacing w:before="0" w:after="0"/>
              <w:ind w:left="0" w:right="0" w:hanging="0"/>
              <w:jc w:val="both"/>
              <w:rPr/>
            </w:pPr>
            <w:r>
              <w:rPr/>
              <w:t>​</w:t>
            </w:r>
          </w:p>
        </w:tc>
        <w:tc>
          <w:tcPr>
            <w:tcW w:w="136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4083"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Senior 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tbl>
      <w:tblPr>
        <w:tblW w:w="6619" w:type="dxa"/>
        <w:jc w:val="center"/>
        <w:tblInd w:w="0" w:type="dxa"/>
        <w:tblLayout w:type="fixed"/>
        <w:tblCellMar>
          <w:top w:w="0" w:type="dxa"/>
          <w:left w:w="0" w:type="dxa"/>
          <w:bottom w:w="0" w:type="dxa"/>
          <w:right w:w="0" w:type="dxa"/>
        </w:tblCellMar>
      </w:tblPr>
      <w:tblGrid>
        <w:gridCol w:w="124"/>
        <w:gridCol w:w="1782"/>
        <w:gridCol w:w="4713"/>
      </w:tblGrid>
      <w:tr>
        <w:trPr/>
        <w:tc>
          <w:tcPr>
            <w:tcW w:w="124" w:type="dxa"/>
            <w:tcBorders/>
            <w:vAlign w:val="center"/>
          </w:tcPr>
          <w:p>
            <w:pPr>
              <w:pStyle w:val="TableContents"/>
              <w:bidi w:val="0"/>
              <w:spacing w:before="0" w:after="0"/>
              <w:ind w:left="0" w:right="0" w:hanging="0"/>
              <w:jc w:val="left"/>
              <w:rPr/>
            </w:pPr>
            <w:r>
              <w:rPr/>
              <w:t>​</w:t>
            </w:r>
          </w:p>
        </w:tc>
        <w:tc>
          <w:tcPr>
            <w:tcW w:w="1782" w:type="dxa"/>
            <w:tcBorders/>
            <w:vAlign w:val="center"/>
          </w:tcPr>
          <w:p>
            <w:pPr>
              <w:pStyle w:val="TableContents"/>
              <w:bidi w:val="0"/>
              <w:spacing w:before="0" w:after="0"/>
              <w:ind w:left="0" w:right="0" w:hanging="0"/>
              <w:jc w:val="left"/>
              <w:rPr/>
            </w:pPr>
            <w:r>
              <w:rPr/>
              <w:t>​</w:t>
            </w:r>
          </w:p>
        </w:tc>
        <w:tc>
          <w:tcPr>
            <w:tcW w:w="471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64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 xml:space="preserve">SUMITOMO MITSUI BANKING CORPORATION, </w:t>
            </w:r>
            <w:r>
              <w:rPr>
                <w:rFonts w:ascii="Times New Roman;Times;serif" w:hAnsi="Times New Roman;Times;serif"/>
                <w:sz w:val="22"/>
              </w:rPr>
              <w:t>as a Lender</w:t>
            </w:r>
          </w:p>
        </w:tc>
      </w:tr>
      <w:tr>
        <w:trPr/>
        <w:tc>
          <w:tcPr>
            <w:tcW w:w="124" w:type="dxa"/>
            <w:tcBorders/>
            <w:vAlign w:val="center"/>
          </w:tcPr>
          <w:p>
            <w:pPr>
              <w:pStyle w:val="TableContents"/>
              <w:bidi w:val="0"/>
              <w:spacing w:before="0" w:after="0"/>
              <w:ind w:left="0" w:right="0" w:hanging="0"/>
              <w:jc w:val="both"/>
              <w:rPr/>
            </w:pPr>
            <w:r>
              <w:rPr/>
              <w:t>​</w:t>
            </w:r>
          </w:p>
        </w:tc>
        <w:tc>
          <w:tcPr>
            <w:tcW w:w="6495"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64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649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782"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4713"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Nabeel Shah</w:t>
            </w:r>
          </w:p>
        </w:tc>
      </w:tr>
      <w:tr>
        <w:trPr/>
        <w:tc>
          <w:tcPr>
            <w:tcW w:w="124" w:type="dxa"/>
            <w:tcBorders/>
            <w:vAlign w:val="center"/>
          </w:tcPr>
          <w:p>
            <w:pPr>
              <w:pStyle w:val="TableContents"/>
              <w:bidi w:val="0"/>
              <w:spacing w:before="0" w:after="0"/>
              <w:ind w:left="0" w:right="0" w:hanging="0"/>
              <w:jc w:val="both"/>
              <w:rPr/>
            </w:pPr>
            <w:r>
              <w:rPr/>
              <w:t>​</w:t>
            </w:r>
          </w:p>
        </w:tc>
        <w:tc>
          <w:tcPr>
            <w:tcW w:w="178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471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Nabeel Shah</w:t>
            </w:r>
          </w:p>
        </w:tc>
      </w:tr>
      <w:tr>
        <w:trPr/>
        <w:tc>
          <w:tcPr>
            <w:tcW w:w="124" w:type="dxa"/>
            <w:tcBorders/>
            <w:vAlign w:val="center"/>
          </w:tcPr>
          <w:p>
            <w:pPr>
              <w:pStyle w:val="TableContents"/>
              <w:bidi w:val="0"/>
              <w:spacing w:before="0" w:after="0"/>
              <w:ind w:left="0" w:right="0" w:hanging="0"/>
              <w:jc w:val="both"/>
              <w:rPr/>
            </w:pPr>
            <w:r>
              <w:rPr/>
              <w:t>​</w:t>
            </w:r>
          </w:p>
        </w:tc>
        <w:tc>
          <w:tcPr>
            <w:tcW w:w="178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4713"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Executive 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tbl>
      <w:tblPr>
        <w:tblW w:w="7684" w:type="dxa"/>
        <w:jc w:val="center"/>
        <w:tblInd w:w="0" w:type="dxa"/>
        <w:tblLayout w:type="fixed"/>
        <w:tblCellMar>
          <w:top w:w="0" w:type="dxa"/>
          <w:left w:w="0" w:type="dxa"/>
          <w:bottom w:w="0" w:type="dxa"/>
          <w:right w:w="0" w:type="dxa"/>
        </w:tblCellMar>
      </w:tblPr>
      <w:tblGrid>
        <w:gridCol w:w="124"/>
        <w:gridCol w:w="1891"/>
        <w:gridCol w:w="5669"/>
      </w:tblGrid>
      <w:tr>
        <w:trPr/>
        <w:tc>
          <w:tcPr>
            <w:tcW w:w="124" w:type="dxa"/>
            <w:tcBorders/>
            <w:vAlign w:val="center"/>
          </w:tcPr>
          <w:p>
            <w:pPr>
              <w:pStyle w:val="TableContents"/>
              <w:bidi w:val="0"/>
              <w:spacing w:before="0" w:after="0"/>
              <w:ind w:left="0" w:right="0" w:hanging="0"/>
              <w:jc w:val="left"/>
              <w:rPr/>
            </w:pPr>
            <w:r>
              <w:rPr/>
              <w:t>​</w:t>
            </w:r>
          </w:p>
        </w:tc>
        <w:tc>
          <w:tcPr>
            <w:tcW w:w="1891" w:type="dxa"/>
            <w:tcBorders/>
            <w:vAlign w:val="center"/>
          </w:tcPr>
          <w:p>
            <w:pPr>
              <w:pStyle w:val="TableContents"/>
              <w:bidi w:val="0"/>
              <w:spacing w:before="0" w:after="0"/>
              <w:ind w:left="0" w:right="0" w:hanging="0"/>
              <w:jc w:val="left"/>
              <w:rPr/>
            </w:pPr>
            <w:r>
              <w:rPr/>
              <w:t>​</w:t>
            </w:r>
          </w:p>
        </w:tc>
        <w:tc>
          <w:tcPr>
            <w:tcW w:w="5669"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756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THE TORONTO-DOMINION BANK, NEW YORK BRANCH</w:t>
            </w:r>
            <w:r>
              <w:rPr>
                <w:rFonts w:ascii="Times New Roman;Times;serif" w:hAnsi="Times New Roman;Times;serif"/>
                <w:sz w:val="22"/>
              </w:rPr>
              <w:t>, as a Lender</w:t>
            </w:r>
          </w:p>
        </w:tc>
      </w:tr>
      <w:tr>
        <w:trPr/>
        <w:tc>
          <w:tcPr>
            <w:tcW w:w="124" w:type="dxa"/>
            <w:tcBorders/>
            <w:vAlign w:val="center"/>
          </w:tcPr>
          <w:p>
            <w:pPr>
              <w:pStyle w:val="TableContents"/>
              <w:bidi w:val="0"/>
              <w:spacing w:before="0" w:after="0"/>
              <w:ind w:left="0" w:right="0" w:hanging="0"/>
              <w:jc w:val="both"/>
              <w:rPr/>
            </w:pPr>
            <w:r>
              <w:rPr/>
              <w:t>​</w:t>
            </w:r>
          </w:p>
        </w:tc>
        <w:tc>
          <w:tcPr>
            <w:tcW w:w="7560"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756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756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8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669"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David Perlman</w:t>
            </w:r>
          </w:p>
        </w:tc>
      </w:tr>
      <w:tr>
        <w:trPr/>
        <w:tc>
          <w:tcPr>
            <w:tcW w:w="124" w:type="dxa"/>
            <w:tcBorders/>
            <w:vAlign w:val="center"/>
          </w:tcPr>
          <w:p>
            <w:pPr>
              <w:pStyle w:val="TableContents"/>
              <w:bidi w:val="0"/>
              <w:spacing w:before="0" w:after="0"/>
              <w:ind w:left="0" w:right="0" w:hanging="0"/>
              <w:jc w:val="both"/>
              <w:rPr/>
            </w:pPr>
            <w:r>
              <w:rPr/>
              <w:t>​</w:t>
            </w:r>
          </w:p>
        </w:tc>
        <w:tc>
          <w:tcPr>
            <w:tcW w:w="189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5669"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David Perlman</w:t>
            </w:r>
          </w:p>
        </w:tc>
      </w:tr>
      <w:tr>
        <w:trPr/>
        <w:tc>
          <w:tcPr>
            <w:tcW w:w="124" w:type="dxa"/>
            <w:tcBorders/>
            <w:vAlign w:val="center"/>
          </w:tcPr>
          <w:p>
            <w:pPr>
              <w:pStyle w:val="TableContents"/>
              <w:bidi w:val="0"/>
              <w:spacing w:before="0" w:after="0"/>
              <w:ind w:left="0" w:right="0" w:hanging="0"/>
              <w:jc w:val="both"/>
              <w:rPr/>
            </w:pPr>
            <w:r>
              <w:rPr/>
              <w:t>​</w:t>
            </w:r>
          </w:p>
        </w:tc>
        <w:tc>
          <w:tcPr>
            <w:tcW w:w="189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5669"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Authorized Signatory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tbl>
      <w:tblPr>
        <w:tblW w:w="5539" w:type="dxa"/>
        <w:jc w:val="center"/>
        <w:tblInd w:w="0" w:type="dxa"/>
        <w:tblLayout w:type="fixed"/>
        <w:tblCellMar>
          <w:top w:w="0" w:type="dxa"/>
          <w:left w:w="0" w:type="dxa"/>
          <w:bottom w:w="0" w:type="dxa"/>
          <w:right w:w="0" w:type="dxa"/>
        </w:tblCellMar>
      </w:tblPr>
      <w:tblGrid>
        <w:gridCol w:w="124"/>
        <w:gridCol w:w="1688"/>
        <w:gridCol w:w="3727"/>
      </w:tblGrid>
      <w:tr>
        <w:trPr/>
        <w:tc>
          <w:tcPr>
            <w:tcW w:w="124" w:type="dxa"/>
            <w:tcBorders/>
            <w:vAlign w:val="center"/>
          </w:tcPr>
          <w:p>
            <w:pPr>
              <w:pStyle w:val="TableContents"/>
              <w:bidi w:val="0"/>
              <w:spacing w:before="0" w:after="0"/>
              <w:ind w:left="0" w:right="0" w:hanging="0"/>
              <w:jc w:val="left"/>
              <w:rPr/>
            </w:pPr>
            <w:r>
              <w:rPr/>
              <w:t>​</w:t>
            </w:r>
          </w:p>
        </w:tc>
        <w:tc>
          <w:tcPr>
            <w:tcW w:w="1688" w:type="dxa"/>
            <w:tcBorders/>
            <w:vAlign w:val="center"/>
          </w:tcPr>
          <w:p>
            <w:pPr>
              <w:pStyle w:val="TableContents"/>
              <w:bidi w:val="0"/>
              <w:spacing w:before="0" w:after="0"/>
              <w:ind w:left="0" w:right="0" w:hanging="0"/>
              <w:jc w:val="left"/>
              <w:rPr/>
            </w:pPr>
            <w:r>
              <w:rPr/>
              <w:t>​</w:t>
            </w:r>
          </w:p>
        </w:tc>
        <w:tc>
          <w:tcPr>
            <w:tcW w:w="3727"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541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 xml:space="preserve">U.S. BANK NATIONAL ASSOCIATION, </w:t>
            </w:r>
            <w:r>
              <w:rPr>
                <w:rFonts w:ascii="Times New Roman;Times;serif" w:hAnsi="Times New Roman;Times;serif"/>
                <w:sz w:val="22"/>
              </w:rPr>
              <w:t>as a Lender</w:t>
            </w:r>
          </w:p>
        </w:tc>
      </w:tr>
      <w:tr>
        <w:trPr/>
        <w:tc>
          <w:tcPr>
            <w:tcW w:w="124" w:type="dxa"/>
            <w:tcBorders/>
            <w:vAlign w:val="center"/>
          </w:tcPr>
          <w:p>
            <w:pPr>
              <w:pStyle w:val="TableContents"/>
              <w:bidi w:val="0"/>
              <w:spacing w:before="0" w:after="0"/>
              <w:ind w:left="0" w:right="0" w:hanging="0"/>
              <w:jc w:val="both"/>
              <w:rPr/>
            </w:pPr>
            <w:r>
              <w:rPr/>
              <w:t>​</w:t>
            </w:r>
          </w:p>
        </w:tc>
        <w:tc>
          <w:tcPr>
            <w:tcW w:w="541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541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68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727"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Alex Wilson</w:t>
            </w:r>
          </w:p>
        </w:tc>
      </w:tr>
      <w:tr>
        <w:trPr/>
        <w:tc>
          <w:tcPr>
            <w:tcW w:w="124" w:type="dxa"/>
            <w:tcBorders/>
            <w:vAlign w:val="center"/>
          </w:tcPr>
          <w:p>
            <w:pPr>
              <w:pStyle w:val="TableContents"/>
              <w:bidi w:val="0"/>
              <w:spacing w:before="0" w:after="0"/>
              <w:ind w:left="0" w:right="0" w:hanging="0"/>
              <w:jc w:val="both"/>
              <w:rPr/>
            </w:pPr>
            <w:r>
              <w:rPr/>
              <w:t>​</w:t>
            </w:r>
          </w:p>
        </w:tc>
        <w:tc>
          <w:tcPr>
            <w:tcW w:w="1688"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3727"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Alex Wilson</w:t>
            </w:r>
          </w:p>
        </w:tc>
      </w:tr>
      <w:tr>
        <w:trPr/>
        <w:tc>
          <w:tcPr>
            <w:tcW w:w="124" w:type="dxa"/>
            <w:tcBorders/>
            <w:vAlign w:val="center"/>
          </w:tcPr>
          <w:p>
            <w:pPr>
              <w:pStyle w:val="TableContents"/>
              <w:bidi w:val="0"/>
              <w:spacing w:before="0" w:after="0"/>
              <w:ind w:left="0" w:right="0" w:hanging="0"/>
              <w:jc w:val="both"/>
              <w:rPr/>
            </w:pPr>
            <w:r>
              <w:rPr/>
              <w:t>​</w:t>
            </w:r>
          </w:p>
        </w:tc>
        <w:tc>
          <w:tcPr>
            <w:tcW w:w="1688"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3727"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tbl>
      <w:tblPr>
        <w:tblW w:w="5734" w:type="dxa"/>
        <w:jc w:val="center"/>
        <w:tblInd w:w="0" w:type="dxa"/>
        <w:tblLayout w:type="fixed"/>
        <w:tblCellMar>
          <w:top w:w="0" w:type="dxa"/>
          <w:left w:w="0" w:type="dxa"/>
          <w:bottom w:w="0" w:type="dxa"/>
          <w:right w:w="0" w:type="dxa"/>
        </w:tblCellMar>
      </w:tblPr>
      <w:tblGrid>
        <w:gridCol w:w="124"/>
        <w:gridCol w:w="1539"/>
        <w:gridCol w:w="4071"/>
      </w:tblGrid>
      <w:tr>
        <w:trPr/>
        <w:tc>
          <w:tcPr>
            <w:tcW w:w="124" w:type="dxa"/>
            <w:tcBorders/>
            <w:vAlign w:val="center"/>
          </w:tcPr>
          <w:p>
            <w:pPr>
              <w:pStyle w:val="TableContents"/>
              <w:bidi w:val="0"/>
              <w:spacing w:before="0" w:after="0"/>
              <w:ind w:left="0" w:right="0" w:hanging="0"/>
              <w:jc w:val="left"/>
              <w:rPr/>
            </w:pPr>
            <w:r>
              <w:rPr/>
              <w:t>​</w:t>
            </w:r>
          </w:p>
        </w:tc>
        <w:tc>
          <w:tcPr>
            <w:tcW w:w="1539" w:type="dxa"/>
            <w:tcBorders/>
            <w:vAlign w:val="center"/>
          </w:tcPr>
          <w:p>
            <w:pPr>
              <w:pStyle w:val="TableContents"/>
              <w:bidi w:val="0"/>
              <w:spacing w:before="0" w:after="0"/>
              <w:ind w:left="0" w:right="0" w:hanging="0"/>
              <w:jc w:val="left"/>
              <w:rPr/>
            </w:pPr>
            <w:r>
              <w:rPr/>
              <w:t>​</w:t>
            </w:r>
          </w:p>
        </w:tc>
        <w:tc>
          <w:tcPr>
            <w:tcW w:w="407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5610"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WELLS FARGO BANK, NATIONAL ASSOCIATION,</w:t>
            </w:r>
          </w:p>
        </w:tc>
      </w:tr>
      <w:tr>
        <w:trPr/>
        <w:tc>
          <w:tcPr>
            <w:tcW w:w="124" w:type="dxa"/>
            <w:tcBorders/>
            <w:vAlign w:val="center"/>
          </w:tcPr>
          <w:p>
            <w:pPr>
              <w:pStyle w:val="TableContents"/>
              <w:bidi w:val="0"/>
              <w:spacing w:before="0" w:after="0"/>
              <w:ind w:left="0" w:right="0" w:hanging="0"/>
              <w:jc w:val="both"/>
              <w:rPr/>
            </w:pPr>
            <w:r>
              <w:rPr/>
              <w:t>​</w:t>
            </w:r>
          </w:p>
        </w:tc>
        <w:tc>
          <w:tcPr>
            <w:tcW w:w="5610"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 a Lender</w:t>
            </w:r>
          </w:p>
        </w:tc>
      </w:tr>
      <w:tr>
        <w:trPr/>
        <w:tc>
          <w:tcPr>
            <w:tcW w:w="124" w:type="dxa"/>
            <w:tcBorders/>
            <w:vAlign w:val="center"/>
          </w:tcPr>
          <w:p>
            <w:pPr>
              <w:pStyle w:val="TableContents"/>
              <w:bidi w:val="0"/>
              <w:spacing w:before="0" w:after="0"/>
              <w:ind w:left="0" w:right="0" w:hanging="0"/>
              <w:jc w:val="both"/>
              <w:rPr/>
            </w:pPr>
            <w:r>
              <w:rPr/>
              <w:t>​</w:t>
            </w:r>
          </w:p>
        </w:tc>
        <w:tc>
          <w:tcPr>
            <w:tcW w:w="56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561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53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407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Matt Milbourn</w:t>
            </w:r>
          </w:p>
        </w:tc>
      </w:tr>
      <w:tr>
        <w:trPr/>
        <w:tc>
          <w:tcPr>
            <w:tcW w:w="124" w:type="dxa"/>
            <w:tcBorders/>
            <w:vAlign w:val="center"/>
          </w:tcPr>
          <w:p>
            <w:pPr>
              <w:pStyle w:val="TableContents"/>
              <w:bidi w:val="0"/>
              <w:spacing w:before="0" w:after="0"/>
              <w:ind w:left="0" w:right="0" w:hanging="0"/>
              <w:jc w:val="both"/>
              <w:rPr/>
            </w:pPr>
            <w:r>
              <w:rPr/>
              <w:t>​</w:t>
            </w:r>
          </w:p>
        </w:tc>
        <w:tc>
          <w:tcPr>
            <w:tcW w:w="1539"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4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Matt Milbourn</w:t>
            </w:r>
          </w:p>
        </w:tc>
      </w:tr>
      <w:tr>
        <w:trPr/>
        <w:tc>
          <w:tcPr>
            <w:tcW w:w="124" w:type="dxa"/>
            <w:tcBorders/>
            <w:vAlign w:val="center"/>
          </w:tcPr>
          <w:p>
            <w:pPr>
              <w:pStyle w:val="TableContents"/>
              <w:bidi w:val="0"/>
              <w:spacing w:before="0" w:after="0"/>
              <w:ind w:left="0" w:right="0" w:hanging="0"/>
              <w:jc w:val="both"/>
              <w:rPr/>
            </w:pPr>
            <w:r>
              <w:rPr/>
              <w:t>​</w:t>
            </w:r>
          </w:p>
        </w:tc>
        <w:tc>
          <w:tcPr>
            <w:tcW w:w="1539"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407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Executive 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tbl>
      <w:tblPr>
        <w:tblW w:w="3259" w:type="dxa"/>
        <w:jc w:val="center"/>
        <w:tblInd w:w="0" w:type="dxa"/>
        <w:tblLayout w:type="fixed"/>
        <w:tblCellMar>
          <w:top w:w="0" w:type="dxa"/>
          <w:left w:w="0" w:type="dxa"/>
          <w:bottom w:w="0" w:type="dxa"/>
          <w:right w:w="0" w:type="dxa"/>
        </w:tblCellMar>
      </w:tblPr>
      <w:tblGrid>
        <w:gridCol w:w="124"/>
        <w:gridCol w:w="832"/>
        <w:gridCol w:w="2303"/>
      </w:tblGrid>
      <w:tr>
        <w:trPr/>
        <w:tc>
          <w:tcPr>
            <w:tcW w:w="124" w:type="dxa"/>
            <w:tcBorders/>
            <w:vAlign w:val="center"/>
          </w:tcPr>
          <w:p>
            <w:pPr>
              <w:pStyle w:val="TableContents"/>
              <w:bidi w:val="0"/>
              <w:spacing w:before="0" w:after="0"/>
              <w:ind w:left="0" w:right="0" w:hanging="0"/>
              <w:jc w:val="left"/>
              <w:rPr/>
            </w:pPr>
            <w:r>
              <w:rPr/>
              <w:t>​</w:t>
            </w:r>
          </w:p>
        </w:tc>
        <w:tc>
          <w:tcPr>
            <w:tcW w:w="832" w:type="dxa"/>
            <w:tcBorders/>
            <w:vAlign w:val="center"/>
          </w:tcPr>
          <w:p>
            <w:pPr>
              <w:pStyle w:val="TableContents"/>
              <w:bidi w:val="0"/>
              <w:spacing w:before="0" w:after="0"/>
              <w:ind w:left="0" w:right="0" w:hanging="0"/>
              <w:jc w:val="left"/>
              <w:rPr/>
            </w:pPr>
            <w:r>
              <w:rPr/>
              <w:t>​</w:t>
            </w:r>
          </w:p>
        </w:tc>
        <w:tc>
          <w:tcPr>
            <w:tcW w:w="2303"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13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 xml:space="preserve">KBC BANK, N.V., </w:t>
            </w:r>
            <w:r>
              <w:rPr>
                <w:rFonts w:ascii="Times New Roman;Times;serif" w:hAnsi="Times New Roman;Times;serif"/>
                <w:sz w:val="22"/>
              </w:rPr>
              <w:t>as a Lender</w:t>
            </w:r>
          </w:p>
        </w:tc>
      </w:tr>
      <w:tr>
        <w:trPr/>
        <w:tc>
          <w:tcPr>
            <w:tcW w:w="124" w:type="dxa"/>
            <w:tcBorders/>
            <w:vAlign w:val="center"/>
          </w:tcPr>
          <w:p>
            <w:pPr>
              <w:pStyle w:val="TableContents"/>
              <w:bidi w:val="0"/>
              <w:spacing w:before="0" w:after="0"/>
              <w:ind w:left="0" w:right="0" w:hanging="0"/>
              <w:jc w:val="both"/>
              <w:rPr/>
            </w:pPr>
            <w:r>
              <w:rPr/>
              <w:t>​</w:t>
            </w:r>
          </w:p>
        </w:tc>
        <w:tc>
          <w:tcPr>
            <w:tcW w:w="31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13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832"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303"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Nicholas Fiore</w:t>
            </w:r>
          </w:p>
        </w:tc>
      </w:tr>
      <w:tr>
        <w:trPr/>
        <w:tc>
          <w:tcPr>
            <w:tcW w:w="124" w:type="dxa"/>
            <w:tcBorders/>
            <w:vAlign w:val="center"/>
          </w:tcPr>
          <w:p>
            <w:pPr>
              <w:pStyle w:val="TableContents"/>
              <w:bidi w:val="0"/>
              <w:spacing w:before="0" w:after="0"/>
              <w:ind w:left="0" w:right="0" w:hanging="0"/>
              <w:jc w:val="both"/>
              <w:rPr/>
            </w:pPr>
            <w:r>
              <w:rPr/>
              <w:t>​</w:t>
            </w:r>
          </w:p>
        </w:tc>
        <w:tc>
          <w:tcPr>
            <w:tcW w:w="83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230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Nicholas Fiore</w:t>
            </w:r>
          </w:p>
        </w:tc>
      </w:tr>
      <w:tr>
        <w:trPr/>
        <w:tc>
          <w:tcPr>
            <w:tcW w:w="124" w:type="dxa"/>
            <w:tcBorders/>
            <w:vAlign w:val="center"/>
          </w:tcPr>
          <w:p>
            <w:pPr>
              <w:pStyle w:val="TableContents"/>
              <w:bidi w:val="0"/>
              <w:spacing w:before="0" w:after="0"/>
              <w:ind w:left="0" w:right="0" w:hanging="0"/>
              <w:jc w:val="both"/>
              <w:rPr/>
            </w:pPr>
            <w:r>
              <w:rPr/>
              <w:t>​</w:t>
            </w:r>
          </w:p>
        </w:tc>
        <w:tc>
          <w:tcPr>
            <w:tcW w:w="83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2303"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Managing Director </w:t>
            </w:r>
          </w:p>
        </w:tc>
      </w:tr>
      <w:tr>
        <w:trPr/>
        <w:tc>
          <w:tcPr>
            <w:tcW w:w="124" w:type="dxa"/>
            <w:tcBorders/>
            <w:vAlign w:val="center"/>
          </w:tcPr>
          <w:p>
            <w:pPr>
              <w:pStyle w:val="TableContents"/>
              <w:bidi w:val="0"/>
              <w:spacing w:before="0" w:after="0"/>
              <w:ind w:left="0" w:right="0" w:hanging="0"/>
              <w:jc w:val="both"/>
              <w:rPr/>
            </w:pPr>
            <w:r>
              <w:rPr/>
              <w:t>​</w:t>
            </w:r>
          </w:p>
        </w:tc>
        <w:tc>
          <w:tcPr>
            <w:tcW w:w="832" w:type="dxa"/>
            <w:tcBorders/>
            <w:vAlign w:val="center"/>
          </w:tcPr>
          <w:p>
            <w:pPr>
              <w:pStyle w:val="TableContents"/>
              <w:bidi w:val="0"/>
              <w:spacing w:before="0" w:after="0"/>
              <w:ind w:left="0" w:right="0" w:hanging="0"/>
              <w:jc w:val="both"/>
              <w:rPr/>
            </w:pPr>
            <w:r>
              <w:rPr/>
              <w:t>​</w:t>
            </w:r>
          </w:p>
        </w:tc>
        <w:tc>
          <w:tcPr>
            <w:tcW w:w="2303"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832" w:type="dxa"/>
            <w:tcBorders/>
            <w:vAlign w:val="center"/>
          </w:tcPr>
          <w:p>
            <w:pPr>
              <w:pStyle w:val="TableContents"/>
              <w:bidi w:val="0"/>
              <w:spacing w:before="0" w:after="0"/>
              <w:ind w:left="0" w:right="0" w:hanging="0"/>
              <w:jc w:val="both"/>
              <w:rPr/>
            </w:pPr>
            <w:r>
              <w:rPr/>
              <w:t>​</w:t>
            </w:r>
          </w:p>
        </w:tc>
        <w:tc>
          <w:tcPr>
            <w:tcW w:w="2303"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83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2303"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Wei-Chun Wang</w:t>
            </w:r>
          </w:p>
        </w:tc>
      </w:tr>
      <w:tr>
        <w:trPr/>
        <w:tc>
          <w:tcPr>
            <w:tcW w:w="124" w:type="dxa"/>
            <w:tcBorders/>
            <w:vAlign w:val="center"/>
          </w:tcPr>
          <w:p>
            <w:pPr>
              <w:pStyle w:val="TableContents"/>
              <w:bidi w:val="0"/>
              <w:spacing w:before="0" w:after="0"/>
              <w:ind w:left="0" w:right="0" w:hanging="0"/>
              <w:jc w:val="both"/>
              <w:rPr/>
            </w:pPr>
            <w:r>
              <w:rPr/>
              <w:t>​</w:t>
            </w:r>
          </w:p>
        </w:tc>
        <w:tc>
          <w:tcPr>
            <w:tcW w:w="83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2303"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Wei-Chun Wang</w:t>
            </w:r>
          </w:p>
        </w:tc>
      </w:tr>
      <w:tr>
        <w:trPr/>
        <w:tc>
          <w:tcPr>
            <w:tcW w:w="124" w:type="dxa"/>
            <w:tcBorders/>
            <w:vAlign w:val="center"/>
          </w:tcPr>
          <w:p>
            <w:pPr>
              <w:pStyle w:val="TableContents"/>
              <w:bidi w:val="0"/>
              <w:spacing w:before="0" w:after="0"/>
              <w:ind w:left="0" w:right="0" w:hanging="0"/>
              <w:jc w:val="both"/>
              <w:rPr/>
            </w:pPr>
            <w:r>
              <w:rPr/>
              <w:t>​</w:t>
            </w:r>
          </w:p>
        </w:tc>
        <w:tc>
          <w:tcPr>
            <w:tcW w:w="83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2303"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Managing Director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tbl>
      <w:tblPr>
        <w:tblW w:w="8796" w:type="dxa"/>
        <w:jc w:val="center"/>
        <w:tblInd w:w="0" w:type="dxa"/>
        <w:tblLayout w:type="fixed"/>
        <w:tblCellMar>
          <w:top w:w="0" w:type="dxa"/>
          <w:left w:w="0" w:type="dxa"/>
          <w:bottom w:w="0" w:type="dxa"/>
          <w:right w:w="0" w:type="dxa"/>
        </w:tblCellMar>
      </w:tblPr>
      <w:tblGrid>
        <w:gridCol w:w="124"/>
        <w:gridCol w:w="721"/>
        <w:gridCol w:w="7951"/>
      </w:tblGrid>
      <w:tr>
        <w:trPr/>
        <w:tc>
          <w:tcPr>
            <w:tcW w:w="124"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79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86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 xml:space="preserve">STANDARD CHARTERED BANK, </w:t>
            </w:r>
            <w:r>
              <w:rPr>
                <w:rFonts w:ascii="Times New Roman;Times;serif" w:hAnsi="Times New Roman;Times;serif"/>
                <w:sz w:val="22"/>
              </w:rPr>
              <w:t>as a Lender</w:t>
            </w:r>
          </w:p>
        </w:tc>
      </w:tr>
      <w:tr>
        <w:trPr/>
        <w:tc>
          <w:tcPr>
            <w:tcW w:w="124" w:type="dxa"/>
            <w:tcBorders/>
            <w:vAlign w:val="center"/>
          </w:tcPr>
          <w:p>
            <w:pPr>
              <w:pStyle w:val="TableContents"/>
              <w:bidi w:val="0"/>
              <w:spacing w:before="0" w:after="0"/>
              <w:ind w:left="0" w:right="0" w:hanging="0"/>
              <w:jc w:val="both"/>
              <w:rPr/>
            </w:pPr>
            <w:r>
              <w:rPr/>
              <w:t>​</w:t>
            </w:r>
          </w:p>
        </w:tc>
        <w:tc>
          <w:tcPr>
            <w:tcW w:w="867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867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795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Vinai Krishnan</w:t>
            </w:r>
          </w:p>
        </w:tc>
      </w:tr>
      <w:tr>
        <w:trPr/>
        <w:tc>
          <w:tcPr>
            <w:tcW w:w="124"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79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Vinai Krishnan</w:t>
            </w:r>
          </w:p>
        </w:tc>
      </w:tr>
      <w:tr>
        <w:trPr/>
        <w:tc>
          <w:tcPr>
            <w:tcW w:w="124" w:type="dxa"/>
            <w:tcBorders/>
            <w:vAlign w:val="center"/>
          </w:tcPr>
          <w:p>
            <w:pPr>
              <w:pStyle w:val="TableContents"/>
              <w:bidi w:val="0"/>
              <w:spacing w:before="0" w:after="0"/>
              <w:ind w:left="0" w:right="0" w:hanging="0"/>
              <w:jc w:val="both"/>
              <w:rPr/>
            </w:pPr>
            <w:r>
              <w:rPr/>
              <w:t>​</w:t>
            </w:r>
          </w:p>
        </w:tc>
        <w:tc>
          <w:tcPr>
            <w:tcW w:w="72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7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Managing Director, Global Sector Head, Technology, Media &amp; Telecom. Coverage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tbl>
      <w:tblPr>
        <w:tblW w:w="5614" w:type="dxa"/>
        <w:jc w:val="center"/>
        <w:tblInd w:w="0" w:type="dxa"/>
        <w:tblLayout w:type="fixed"/>
        <w:tblCellMar>
          <w:top w:w="0" w:type="dxa"/>
          <w:left w:w="0" w:type="dxa"/>
          <w:bottom w:w="0" w:type="dxa"/>
          <w:right w:w="0" w:type="dxa"/>
        </w:tblCellMar>
      </w:tblPr>
      <w:tblGrid>
        <w:gridCol w:w="124"/>
        <w:gridCol w:w="1734"/>
        <w:gridCol w:w="3756"/>
      </w:tblGrid>
      <w:tr>
        <w:trPr/>
        <w:tc>
          <w:tcPr>
            <w:tcW w:w="124" w:type="dxa"/>
            <w:tcBorders/>
            <w:vAlign w:val="center"/>
          </w:tcPr>
          <w:p>
            <w:pPr>
              <w:pStyle w:val="TableContents"/>
              <w:bidi w:val="0"/>
              <w:spacing w:before="0" w:after="0"/>
              <w:ind w:left="0" w:right="0" w:hanging="0"/>
              <w:jc w:val="left"/>
              <w:rPr/>
            </w:pPr>
            <w:r>
              <w:rPr/>
              <w:t>​</w:t>
            </w:r>
          </w:p>
        </w:tc>
        <w:tc>
          <w:tcPr>
            <w:tcW w:w="1734" w:type="dxa"/>
            <w:tcBorders/>
            <w:vAlign w:val="center"/>
          </w:tcPr>
          <w:p>
            <w:pPr>
              <w:pStyle w:val="TableContents"/>
              <w:bidi w:val="0"/>
              <w:spacing w:before="0" w:after="0"/>
              <w:ind w:left="0" w:right="0" w:hanging="0"/>
              <w:jc w:val="left"/>
              <w:rPr/>
            </w:pPr>
            <w:r>
              <w:rPr/>
              <w:t>​</w:t>
            </w:r>
          </w:p>
        </w:tc>
        <w:tc>
          <w:tcPr>
            <w:tcW w:w="37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549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 xml:space="preserve">THE HUNTINGTON NATIONAL BANK, </w:t>
            </w:r>
            <w:r>
              <w:rPr>
                <w:rFonts w:ascii="Times New Roman;Times;serif" w:hAnsi="Times New Roman;Times;serif"/>
                <w:sz w:val="22"/>
              </w:rPr>
              <w:t>as a Lender</w:t>
            </w:r>
          </w:p>
        </w:tc>
      </w:tr>
      <w:tr>
        <w:trPr/>
        <w:tc>
          <w:tcPr>
            <w:tcW w:w="124" w:type="dxa"/>
            <w:tcBorders/>
            <w:vAlign w:val="center"/>
          </w:tcPr>
          <w:p>
            <w:pPr>
              <w:pStyle w:val="TableContents"/>
              <w:bidi w:val="0"/>
              <w:spacing w:before="0" w:after="0"/>
              <w:ind w:left="0" w:right="0" w:hanging="0"/>
              <w:jc w:val="both"/>
              <w:rPr/>
            </w:pPr>
            <w:r>
              <w:rPr/>
              <w:t>​</w:t>
            </w:r>
          </w:p>
        </w:tc>
        <w:tc>
          <w:tcPr>
            <w:tcW w:w="54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549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73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75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Meina Zhou</w:t>
            </w:r>
          </w:p>
        </w:tc>
      </w:tr>
      <w:tr>
        <w:trPr/>
        <w:tc>
          <w:tcPr>
            <w:tcW w:w="124" w:type="dxa"/>
            <w:tcBorders/>
            <w:vAlign w:val="center"/>
          </w:tcPr>
          <w:p>
            <w:pPr>
              <w:pStyle w:val="TableContents"/>
              <w:bidi w:val="0"/>
              <w:spacing w:before="0" w:after="0"/>
              <w:ind w:left="0" w:right="0" w:hanging="0"/>
              <w:jc w:val="both"/>
              <w:rPr/>
            </w:pPr>
            <w:r>
              <w:rPr/>
              <w:t>​</w:t>
            </w:r>
          </w:p>
        </w:tc>
        <w:tc>
          <w:tcPr>
            <w:tcW w:w="173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375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Meina Zhou</w:t>
            </w:r>
          </w:p>
        </w:tc>
      </w:tr>
      <w:tr>
        <w:trPr/>
        <w:tc>
          <w:tcPr>
            <w:tcW w:w="124" w:type="dxa"/>
            <w:tcBorders/>
            <w:vAlign w:val="center"/>
          </w:tcPr>
          <w:p>
            <w:pPr>
              <w:pStyle w:val="TableContents"/>
              <w:bidi w:val="0"/>
              <w:spacing w:before="0" w:after="0"/>
              <w:ind w:left="0" w:right="0" w:hanging="0"/>
              <w:jc w:val="both"/>
              <w:rPr/>
            </w:pPr>
            <w:r>
              <w:rPr/>
              <w:t>​</w:t>
            </w:r>
          </w:p>
        </w:tc>
        <w:tc>
          <w:tcPr>
            <w:tcW w:w="173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375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Associate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tbl>
      <w:tblPr>
        <w:tblW w:w="7069" w:type="dxa"/>
        <w:jc w:val="center"/>
        <w:tblInd w:w="0" w:type="dxa"/>
        <w:tblLayout w:type="fixed"/>
        <w:tblCellMar>
          <w:top w:w="0" w:type="dxa"/>
          <w:left w:w="0" w:type="dxa"/>
          <w:bottom w:w="0" w:type="dxa"/>
          <w:right w:w="0" w:type="dxa"/>
        </w:tblCellMar>
      </w:tblPr>
      <w:tblGrid>
        <w:gridCol w:w="124"/>
        <w:gridCol w:w="1863"/>
        <w:gridCol w:w="5082"/>
      </w:tblGrid>
      <w:tr>
        <w:trPr/>
        <w:tc>
          <w:tcPr>
            <w:tcW w:w="124" w:type="dxa"/>
            <w:tcBorders/>
            <w:vAlign w:val="center"/>
          </w:tcPr>
          <w:p>
            <w:pPr>
              <w:pStyle w:val="TableContents"/>
              <w:bidi w:val="0"/>
              <w:spacing w:before="0" w:after="0"/>
              <w:ind w:left="0" w:right="0" w:hanging="0"/>
              <w:jc w:val="left"/>
              <w:rPr/>
            </w:pPr>
            <w:r>
              <w:rPr/>
              <w:t>​</w:t>
            </w:r>
          </w:p>
        </w:tc>
        <w:tc>
          <w:tcPr>
            <w:tcW w:w="1863" w:type="dxa"/>
            <w:tcBorders/>
            <w:vAlign w:val="center"/>
          </w:tcPr>
          <w:p>
            <w:pPr>
              <w:pStyle w:val="TableContents"/>
              <w:bidi w:val="0"/>
              <w:spacing w:before="0" w:after="283"/>
              <w:ind w:left="0" w:right="0" w:hanging="0"/>
              <w:jc w:val="left"/>
              <w:rPr>
                <w:sz w:val="4"/>
                <w:szCs w:val="4"/>
              </w:rPr>
            </w:pPr>
            <w:r>
              <w:rPr>
                <w:sz w:val="4"/>
                <w:szCs w:val="4"/>
              </w:rPr>
            </w:r>
          </w:p>
        </w:tc>
        <w:tc>
          <w:tcPr>
            <w:tcW w:w="5082"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69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 xml:space="preserve">BAYERISCHE LANDESBANK, NEW YORK BRANCH, </w:t>
            </w:r>
            <w:r>
              <w:rPr>
                <w:rFonts w:ascii="Times New Roman;Times;serif" w:hAnsi="Times New Roman;Times;serif"/>
                <w:sz w:val="22"/>
              </w:rPr>
              <w:t>as a Lender</w:t>
            </w:r>
          </w:p>
        </w:tc>
      </w:tr>
      <w:tr>
        <w:trPr/>
        <w:tc>
          <w:tcPr>
            <w:tcW w:w="124" w:type="dxa"/>
            <w:tcBorders/>
            <w:vAlign w:val="center"/>
          </w:tcPr>
          <w:p>
            <w:pPr>
              <w:pStyle w:val="TableContents"/>
              <w:bidi w:val="0"/>
              <w:spacing w:before="0" w:after="0"/>
              <w:ind w:left="0" w:right="0" w:hanging="0"/>
              <w:jc w:val="both"/>
              <w:rPr/>
            </w:pPr>
            <w:r>
              <w:rPr/>
              <w:t>​</w:t>
            </w:r>
          </w:p>
        </w:tc>
        <w:tc>
          <w:tcPr>
            <w:tcW w:w="6945"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69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69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863"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5082"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Rolf Siebert</w:t>
            </w:r>
          </w:p>
        </w:tc>
      </w:tr>
      <w:tr>
        <w:trPr/>
        <w:tc>
          <w:tcPr>
            <w:tcW w:w="124" w:type="dxa"/>
            <w:tcBorders/>
            <w:vAlign w:val="center"/>
          </w:tcPr>
          <w:p>
            <w:pPr>
              <w:pStyle w:val="TableContents"/>
              <w:bidi w:val="0"/>
              <w:spacing w:before="0" w:after="0"/>
              <w:ind w:left="0" w:right="0" w:hanging="0"/>
              <w:jc w:val="both"/>
              <w:rPr/>
            </w:pPr>
            <w:r>
              <w:rPr/>
              <w:t>​</w:t>
            </w:r>
          </w:p>
        </w:tc>
        <w:tc>
          <w:tcPr>
            <w:tcW w:w="1863"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5082"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Rolf Siebert</w:t>
            </w:r>
          </w:p>
        </w:tc>
      </w:tr>
      <w:tr>
        <w:trPr/>
        <w:tc>
          <w:tcPr>
            <w:tcW w:w="124" w:type="dxa"/>
            <w:tcBorders/>
            <w:vAlign w:val="center"/>
          </w:tcPr>
          <w:p>
            <w:pPr>
              <w:pStyle w:val="TableContents"/>
              <w:bidi w:val="0"/>
              <w:spacing w:before="0" w:after="0"/>
              <w:ind w:left="0" w:right="0" w:hanging="0"/>
              <w:jc w:val="both"/>
              <w:rPr/>
            </w:pPr>
            <w:r>
              <w:rPr/>
              <w:t>​</w:t>
            </w:r>
          </w:p>
        </w:tc>
        <w:tc>
          <w:tcPr>
            <w:tcW w:w="1863"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508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Executive Director </w:t>
            </w:r>
          </w:p>
        </w:tc>
      </w:tr>
      <w:tr>
        <w:trPr/>
        <w:tc>
          <w:tcPr>
            <w:tcW w:w="124" w:type="dxa"/>
            <w:tcBorders/>
            <w:vAlign w:val="center"/>
          </w:tcPr>
          <w:p>
            <w:pPr>
              <w:pStyle w:val="TableContents"/>
              <w:bidi w:val="0"/>
              <w:spacing w:before="0" w:after="0"/>
              <w:ind w:left="0" w:right="0" w:hanging="0"/>
              <w:jc w:val="both"/>
              <w:rPr/>
            </w:pPr>
            <w:r>
              <w:rPr/>
              <w:t>​</w:t>
            </w:r>
          </w:p>
        </w:tc>
        <w:tc>
          <w:tcPr>
            <w:tcW w:w="1863" w:type="dxa"/>
            <w:tcBorders/>
            <w:vAlign w:val="center"/>
          </w:tcPr>
          <w:p>
            <w:pPr>
              <w:pStyle w:val="TableContents"/>
              <w:bidi w:val="0"/>
              <w:spacing w:before="0" w:after="0"/>
              <w:ind w:left="0" w:right="0" w:hanging="0"/>
              <w:jc w:val="both"/>
              <w:rPr/>
            </w:pPr>
            <w:r>
              <w:rPr/>
              <w:t>​</w:t>
            </w:r>
          </w:p>
        </w:tc>
        <w:tc>
          <w:tcPr>
            <w:tcW w:w="5082"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863" w:type="dxa"/>
            <w:tcBorders/>
            <w:vAlign w:val="center"/>
          </w:tcPr>
          <w:p>
            <w:pPr>
              <w:pStyle w:val="TableContents"/>
              <w:bidi w:val="0"/>
              <w:spacing w:before="0" w:after="0"/>
              <w:ind w:left="0" w:right="0" w:hanging="0"/>
              <w:jc w:val="both"/>
              <w:rPr/>
            </w:pPr>
            <w:r>
              <w:rPr/>
              <w:t>​</w:t>
            </w:r>
          </w:p>
        </w:tc>
        <w:tc>
          <w:tcPr>
            <w:tcW w:w="5082" w:type="dxa"/>
            <w:tcBorders/>
            <w:vAlign w:val="center"/>
          </w:tcPr>
          <w:p>
            <w:pPr>
              <w:pStyle w:val="TableContents"/>
              <w:bidi w:val="0"/>
              <w:spacing w:before="0" w:after="0"/>
              <w:ind w:left="0" w:right="0" w:hanging="0"/>
              <w:jc w:val="both"/>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863"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By:</w:t>
            </w:r>
          </w:p>
        </w:tc>
        <w:tc>
          <w:tcPr>
            <w:tcW w:w="5082"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Elke Videgain</w:t>
            </w:r>
          </w:p>
        </w:tc>
      </w:tr>
      <w:tr>
        <w:trPr/>
        <w:tc>
          <w:tcPr>
            <w:tcW w:w="124" w:type="dxa"/>
            <w:tcBorders/>
            <w:vAlign w:val="center"/>
          </w:tcPr>
          <w:p>
            <w:pPr>
              <w:pStyle w:val="TableContents"/>
              <w:bidi w:val="0"/>
              <w:spacing w:before="0" w:after="0"/>
              <w:ind w:left="0" w:right="0" w:hanging="0"/>
              <w:jc w:val="both"/>
              <w:rPr/>
            </w:pPr>
            <w:r>
              <w:rPr/>
              <w:t>​</w:t>
            </w:r>
          </w:p>
        </w:tc>
        <w:tc>
          <w:tcPr>
            <w:tcW w:w="1863"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5082" w:type="dxa"/>
            <w:tcBorders>
              <w:top w:val="single" w:sz="2" w:space="0" w:color="000000"/>
            </w:tcBorders>
            <w:tcMar>
              <w:top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Elke Videgain</w:t>
            </w:r>
          </w:p>
        </w:tc>
      </w:tr>
      <w:tr>
        <w:trPr/>
        <w:tc>
          <w:tcPr>
            <w:tcW w:w="124" w:type="dxa"/>
            <w:tcBorders/>
            <w:vAlign w:val="center"/>
          </w:tcPr>
          <w:p>
            <w:pPr>
              <w:pStyle w:val="TableContents"/>
              <w:bidi w:val="0"/>
              <w:spacing w:before="0" w:after="0"/>
              <w:ind w:left="0" w:right="0" w:hanging="0"/>
              <w:jc w:val="both"/>
              <w:rPr/>
            </w:pPr>
            <w:r>
              <w:rPr/>
              <w:t>​</w:t>
            </w:r>
          </w:p>
        </w:tc>
        <w:tc>
          <w:tcPr>
            <w:tcW w:w="1863"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5082"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tbl>
      <w:tblPr>
        <w:tblW w:w="10144" w:type="dxa"/>
        <w:jc w:val="center"/>
        <w:tblInd w:w="0" w:type="dxa"/>
        <w:tblLayout w:type="fixed"/>
        <w:tblCellMar>
          <w:top w:w="0" w:type="dxa"/>
          <w:left w:w="0" w:type="dxa"/>
          <w:bottom w:w="0" w:type="dxa"/>
          <w:right w:w="0" w:type="dxa"/>
        </w:tblCellMar>
      </w:tblPr>
      <w:tblGrid>
        <w:gridCol w:w="124"/>
        <w:gridCol w:w="2734"/>
        <w:gridCol w:w="7286"/>
      </w:tblGrid>
      <w:tr>
        <w:trPr/>
        <w:tc>
          <w:tcPr>
            <w:tcW w:w="124" w:type="dxa"/>
            <w:tcBorders/>
            <w:vAlign w:val="center"/>
          </w:tcPr>
          <w:p>
            <w:pPr>
              <w:pStyle w:val="TableContents"/>
              <w:bidi w:val="0"/>
              <w:spacing w:before="0" w:after="0"/>
              <w:ind w:left="0" w:right="0" w:hanging="0"/>
              <w:jc w:val="left"/>
              <w:rPr/>
            </w:pPr>
            <w:r>
              <w:rPr/>
              <w:t>​</w:t>
            </w:r>
          </w:p>
        </w:tc>
        <w:tc>
          <w:tcPr>
            <w:tcW w:w="2734" w:type="dxa"/>
            <w:tcBorders/>
            <w:vAlign w:val="center"/>
          </w:tcPr>
          <w:p>
            <w:pPr>
              <w:pStyle w:val="TableContents"/>
              <w:bidi w:val="0"/>
              <w:spacing w:before="0" w:after="283"/>
              <w:ind w:left="0" w:right="0" w:hanging="0"/>
              <w:jc w:val="left"/>
              <w:rPr>
                <w:sz w:val="4"/>
                <w:szCs w:val="4"/>
              </w:rPr>
            </w:pPr>
            <w:r>
              <w:rPr>
                <w:sz w:val="4"/>
                <w:szCs w:val="4"/>
              </w:rPr>
            </w:r>
          </w:p>
        </w:tc>
        <w:tc>
          <w:tcPr>
            <w:tcW w:w="7286"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100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 xml:space="preserve">OVERSEA-CHINESE BANKING CORPORATION LIMITED, NEW YORK AGENCY, </w:t>
            </w:r>
            <w:r>
              <w:rPr>
                <w:rFonts w:ascii="Times New Roman;Times;serif" w:hAnsi="Times New Roman;Times;serif"/>
                <w:sz w:val="22"/>
              </w:rPr>
              <w:t>as a Lender</w:t>
            </w:r>
          </w:p>
        </w:tc>
      </w:tr>
      <w:tr>
        <w:trPr/>
        <w:tc>
          <w:tcPr>
            <w:tcW w:w="124" w:type="dxa"/>
            <w:tcBorders/>
            <w:vAlign w:val="center"/>
          </w:tcPr>
          <w:p>
            <w:pPr>
              <w:pStyle w:val="TableContents"/>
              <w:bidi w:val="0"/>
              <w:spacing w:before="0" w:after="0"/>
              <w:ind w:left="0" w:right="0" w:hanging="0"/>
              <w:jc w:val="both"/>
              <w:rPr/>
            </w:pPr>
            <w:r>
              <w:rPr/>
              <w:t>​</w:t>
            </w:r>
          </w:p>
        </w:tc>
        <w:tc>
          <w:tcPr>
            <w:tcW w:w="100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10020"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273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7286"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Grace Sun</w:t>
            </w:r>
          </w:p>
        </w:tc>
      </w:tr>
      <w:tr>
        <w:trPr/>
        <w:tc>
          <w:tcPr>
            <w:tcW w:w="124" w:type="dxa"/>
            <w:tcBorders/>
            <w:vAlign w:val="center"/>
          </w:tcPr>
          <w:p>
            <w:pPr>
              <w:pStyle w:val="TableContents"/>
              <w:bidi w:val="0"/>
              <w:spacing w:before="0" w:after="0"/>
              <w:ind w:left="0" w:right="0" w:hanging="0"/>
              <w:jc w:val="both"/>
              <w:rPr/>
            </w:pPr>
            <w:r>
              <w:rPr/>
              <w:t>​</w:t>
            </w:r>
          </w:p>
        </w:tc>
        <w:tc>
          <w:tcPr>
            <w:tcW w:w="273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72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Grace Sun</w:t>
            </w:r>
          </w:p>
        </w:tc>
      </w:tr>
      <w:tr>
        <w:trPr/>
        <w:tc>
          <w:tcPr>
            <w:tcW w:w="124" w:type="dxa"/>
            <w:tcBorders/>
            <w:vAlign w:val="center"/>
          </w:tcPr>
          <w:p>
            <w:pPr>
              <w:pStyle w:val="TableContents"/>
              <w:bidi w:val="0"/>
              <w:spacing w:before="0" w:after="0"/>
              <w:ind w:left="0" w:right="0" w:hanging="0"/>
              <w:jc w:val="both"/>
              <w:rPr/>
            </w:pPr>
            <w:r>
              <w:rPr/>
              <w:t>​</w:t>
            </w:r>
          </w:p>
        </w:tc>
        <w:tc>
          <w:tcPr>
            <w:tcW w:w="273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7286"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Managing 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tbl>
      <w:tblPr>
        <w:tblW w:w="3769" w:type="dxa"/>
        <w:jc w:val="center"/>
        <w:tblInd w:w="0" w:type="dxa"/>
        <w:tblLayout w:type="fixed"/>
        <w:tblCellMar>
          <w:top w:w="0" w:type="dxa"/>
          <w:left w:w="0" w:type="dxa"/>
          <w:bottom w:w="0" w:type="dxa"/>
          <w:right w:w="0" w:type="dxa"/>
        </w:tblCellMar>
      </w:tblPr>
      <w:tblGrid>
        <w:gridCol w:w="124"/>
        <w:gridCol w:w="994"/>
        <w:gridCol w:w="2651"/>
      </w:tblGrid>
      <w:tr>
        <w:trPr/>
        <w:tc>
          <w:tcPr>
            <w:tcW w:w="124" w:type="dxa"/>
            <w:tcBorders/>
            <w:vAlign w:val="center"/>
          </w:tcPr>
          <w:p>
            <w:pPr>
              <w:pStyle w:val="TableContents"/>
              <w:bidi w:val="0"/>
              <w:spacing w:before="0" w:after="0"/>
              <w:ind w:left="0" w:right="0" w:hanging="0"/>
              <w:jc w:val="left"/>
              <w:rPr/>
            </w:pPr>
            <w:r>
              <w:rPr/>
              <w:t>​</w:t>
            </w:r>
          </w:p>
        </w:tc>
        <w:tc>
          <w:tcPr>
            <w:tcW w:w="994" w:type="dxa"/>
            <w:tcBorders/>
            <w:vAlign w:val="center"/>
          </w:tcPr>
          <w:p>
            <w:pPr>
              <w:pStyle w:val="TableContents"/>
              <w:bidi w:val="0"/>
              <w:spacing w:before="0" w:after="283"/>
              <w:ind w:left="0" w:right="0" w:hanging="0"/>
              <w:jc w:val="left"/>
              <w:rPr>
                <w:sz w:val="4"/>
                <w:szCs w:val="4"/>
              </w:rPr>
            </w:pPr>
            <w:r>
              <w:rPr>
                <w:sz w:val="4"/>
                <w:szCs w:val="4"/>
              </w:rPr>
            </w:r>
          </w:p>
        </w:tc>
        <w:tc>
          <w:tcPr>
            <w:tcW w:w="265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0"/>
              <w:ind w:left="0" w:right="0" w:hanging="0"/>
              <w:jc w:val="both"/>
              <w:rPr/>
            </w:pPr>
            <w:r>
              <w:rPr/>
              <w:t>​</w:t>
            </w:r>
          </w:p>
        </w:tc>
        <w:tc>
          <w:tcPr>
            <w:tcW w:w="364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 xml:space="preserve">CIBC BANK USA, </w:t>
            </w:r>
            <w:r>
              <w:rPr>
                <w:rFonts w:ascii="Times New Roman;Times;serif" w:hAnsi="Times New Roman;Times;serif"/>
                <w:sz w:val="22"/>
              </w:rPr>
              <w:t>as a New Lender</w:t>
            </w:r>
          </w:p>
        </w:tc>
      </w:tr>
      <w:tr>
        <w:trPr/>
        <w:tc>
          <w:tcPr>
            <w:tcW w:w="124" w:type="dxa"/>
            <w:tcBorders/>
            <w:vAlign w:val="center"/>
          </w:tcPr>
          <w:p>
            <w:pPr>
              <w:pStyle w:val="TableContents"/>
              <w:bidi w:val="0"/>
              <w:spacing w:before="0" w:after="0"/>
              <w:ind w:left="0" w:right="0" w:hanging="0"/>
              <w:jc w:val="both"/>
              <w:rPr/>
            </w:pPr>
            <w:r>
              <w:rPr/>
              <w:t>​</w:t>
            </w:r>
          </w:p>
        </w:tc>
        <w:tc>
          <w:tcPr>
            <w:tcW w:w="36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3645"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both"/>
              <w:rPr/>
            </w:pPr>
            <w:r>
              <w:rPr/>
              <w:t>​</w:t>
            </w:r>
          </w:p>
        </w:tc>
        <w:tc>
          <w:tcPr>
            <w:tcW w:w="99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2651"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/s/ James Belletire</w:t>
            </w:r>
          </w:p>
        </w:tc>
      </w:tr>
      <w:tr>
        <w:trPr/>
        <w:tc>
          <w:tcPr>
            <w:tcW w:w="124" w:type="dxa"/>
            <w:tcBorders/>
            <w:vAlign w:val="center"/>
          </w:tcPr>
          <w:p>
            <w:pPr>
              <w:pStyle w:val="TableContents"/>
              <w:bidi w:val="0"/>
              <w:spacing w:before="0" w:after="0"/>
              <w:ind w:left="0" w:right="0" w:hanging="0"/>
              <w:jc w:val="both"/>
              <w:rPr/>
            </w:pPr>
            <w:r>
              <w:rPr/>
              <w:t>​</w:t>
            </w:r>
          </w:p>
        </w:tc>
        <w:tc>
          <w:tcPr>
            <w:tcW w:w="99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Name:</w:t>
            </w:r>
          </w:p>
        </w:tc>
        <w:tc>
          <w:tcPr>
            <w:tcW w:w="265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James Belletire</w:t>
            </w:r>
          </w:p>
        </w:tc>
      </w:tr>
      <w:tr>
        <w:trPr/>
        <w:tc>
          <w:tcPr>
            <w:tcW w:w="124" w:type="dxa"/>
            <w:tcBorders/>
            <w:vAlign w:val="center"/>
          </w:tcPr>
          <w:p>
            <w:pPr>
              <w:pStyle w:val="TableContents"/>
              <w:bidi w:val="0"/>
              <w:spacing w:before="0" w:after="0"/>
              <w:ind w:left="0" w:right="0" w:hanging="0"/>
              <w:jc w:val="both"/>
              <w:rPr/>
            </w:pPr>
            <w:r>
              <w:rPr/>
              <w:t>​</w:t>
            </w:r>
          </w:p>
        </w:tc>
        <w:tc>
          <w:tcPr>
            <w:tcW w:w="994"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Title:</w:t>
            </w:r>
          </w:p>
        </w:tc>
        <w:tc>
          <w:tcPr>
            <w:tcW w:w="2651" w:type="dxa"/>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Managing Director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Avnet, Inc.</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Amendment No. 3 to 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Signature Page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Annex I</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4696"/>
        <w:gridCol w:w="2277"/>
        <w:gridCol w:w="3232"/>
      </w:tblGrid>
      <w:tr>
        <w:trPr/>
        <w:tc>
          <w:tcPr>
            <w:tcW w:w="4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981960" cy="175260"/>
                      <wp:effectExtent l="0" t="0" r="0" b="0"/>
                      <wp:wrapNone/>
                      <wp:docPr id="22" name="Frame22"/>
                      <a:graphic xmlns:a="http://schemas.openxmlformats.org/drawingml/2006/main">
                        <a:graphicData uri="http://schemas.microsoft.com/office/word/2010/wordprocessingShape">
                          <wps:wsp>
                            <wps:cNvSpPr txBox="1"/>
                            <wps:spPr>
                              <a:xfrm>
                                <a:off x="0" y="0"/>
                                <a:ext cx="298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45895" cy="175260"/>
                      <wp:effectExtent l="0" t="0" r="0" b="0"/>
                      <wp:wrapNone/>
                      <wp:docPr id="23" name="Frame23"/>
                      <a:graphic xmlns:a="http://schemas.openxmlformats.org/drawingml/2006/main">
                        <a:graphicData uri="http://schemas.microsoft.com/office/word/2010/wordprocessingShape">
                          <wps:wsp>
                            <wps:cNvSpPr txBox="1"/>
                            <wps:spPr>
                              <a:xfrm>
                                <a:off x="0" y="0"/>
                                <a:ext cx="144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52320" cy="175260"/>
                      <wp:effectExtent l="0" t="0" r="0" b="0"/>
                      <wp:wrapNone/>
                      <wp:docPr id="24" name="Frame24"/>
                      <a:graphic xmlns:a="http://schemas.openxmlformats.org/drawingml/2006/main">
                        <a:graphicData uri="http://schemas.microsoft.com/office/word/2010/wordprocessingShape">
                          <wps:wsp>
                            <wps:cNvSpPr txBox="1"/>
                            <wps:spPr>
                              <a:xfrm>
                                <a:off x="0" y="0"/>
                                <a:ext cx="2052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9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b/>
                <w:sz w:val="22"/>
              </w:rPr>
            </w:pPr>
            <w:r>
              <w:rPr>
                <w:rFonts w:ascii="Times New Roman;Times;serif" w:hAnsi="Times New Roman;Times;serif"/>
                <w:b/>
                <w:sz w:val="22"/>
              </w:rPr>
              <w:t>Increasing Lender</w:t>
            </w:r>
          </w:p>
        </w:tc>
        <w:tc>
          <w:tcPr>
            <w:tcW w:w="2277"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Increase in Commitment</w:t>
            </w:r>
          </w:p>
        </w:tc>
        <w:tc>
          <w:tcPr>
            <w:tcW w:w="3232"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2026-2 Commitment Increase Percentage</w:t>
            </w:r>
          </w:p>
        </w:tc>
      </w:tr>
      <w:tr>
        <w:trPr/>
        <w:tc>
          <w:tcPr>
            <w:tcW w:w="4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Bank of America, N.A.</w:t>
            </w:r>
          </w:p>
        </w:tc>
        <w:tc>
          <w:tcPr>
            <w:tcW w:w="22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$82,000,000.00</w:t>
            </w:r>
          </w:p>
        </w:tc>
        <w:tc>
          <w:tcPr>
            <w:tcW w:w="3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8.200000000%</w:t>
            </w:r>
          </w:p>
        </w:tc>
      </w:tr>
      <w:tr>
        <w:trPr/>
        <w:tc>
          <w:tcPr>
            <w:tcW w:w="4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BNP Paribas</w:t>
            </w:r>
          </w:p>
        </w:tc>
        <w:tc>
          <w:tcPr>
            <w:tcW w:w="22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$82,000,000.00</w:t>
            </w:r>
          </w:p>
        </w:tc>
        <w:tc>
          <w:tcPr>
            <w:tcW w:w="3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8.200000000%</w:t>
            </w:r>
          </w:p>
        </w:tc>
      </w:tr>
      <w:tr>
        <w:trPr/>
        <w:tc>
          <w:tcPr>
            <w:tcW w:w="4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DBS Bank Ltd.</w:t>
            </w:r>
          </w:p>
        </w:tc>
        <w:tc>
          <w:tcPr>
            <w:tcW w:w="22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$82,000,000.00</w:t>
            </w:r>
          </w:p>
        </w:tc>
        <w:tc>
          <w:tcPr>
            <w:tcW w:w="3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8.200000000%</w:t>
            </w:r>
          </w:p>
        </w:tc>
      </w:tr>
      <w:tr>
        <w:trPr/>
        <w:tc>
          <w:tcPr>
            <w:tcW w:w="4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JPMorgan Chase Bank, N.A.</w:t>
            </w:r>
          </w:p>
        </w:tc>
        <w:tc>
          <w:tcPr>
            <w:tcW w:w="22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$82,000,000.00</w:t>
            </w:r>
          </w:p>
        </w:tc>
        <w:tc>
          <w:tcPr>
            <w:tcW w:w="3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8.200000000%</w:t>
            </w:r>
          </w:p>
        </w:tc>
      </w:tr>
      <w:tr>
        <w:trPr/>
        <w:tc>
          <w:tcPr>
            <w:tcW w:w="4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MUFG Bank, Ltd.</w:t>
            </w:r>
          </w:p>
        </w:tc>
        <w:tc>
          <w:tcPr>
            <w:tcW w:w="22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$82,000,000.00</w:t>
            </w:r>
          </w:p>
        </w:tc>
        <w:tc>
          <w:tcPr>
            <w:tcW w:w="3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8.200000000%</w:t>
            </w:r>
          </w:p>
        </w:tc>
      </w:tr>
      <w:tr>
        <w:trPr/>
        <w:tc>
          <w:tcPr>
            <w:tcW w:w="4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 xml:space="preserve">The Bank of Nova Scotia </w:t>
            </w:r>
          </w:p>
        </w:tc>
        <w:tc>
          <w:tcPr>
            <w:tcW w:w="22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$82,000,000.00</w:t>
            </w:r>
          </w:p>
        </w:tc>
        <w:tc>
          <w:tcPr>
            <w:tcW w:w="3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8.200000000%</w:t>
            </w:r>
          </w:p>
        </w:tc>
      </w:tr>
      <w:tr>
        <w:trPr/>
        <w:tc>
          <w:tcPr>
            <w:tcW w:w="4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Banco Santander, S.A., New York Branch</w:t>
            </w:r>
          </w:p>
        </w:tc>
        <w:tc>
          <w:tcPr>
            <w:tcW w:w="22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$47,000,000.00</w:t>
            </w:r>
          </w:p>
        </w:tc>
        <w:tc>
          <w:tcPr>
            <w:tcW w:w="3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4.700000000%</w:t>
            </w:r>
          </w:p>
        </w:tc>
      </w:tr>
      <w:tr>
        <w:trPr/>
        <w:tc>
          <w:tcPr>
            <w:tcW w:w="4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Bank of China, Los Angeles Branch</w:t>
            </w:r>
          </w:p>
        </w:tc>
        <w:tc>
          <w:tcPr>
            <w:tcW w:w="22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$47,000,000.00</w:t>
            </w:r>
          </w:p>
        </w:tc>
        <w:tc>
          <w:tcPr>
            <w:tcW w:w="3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4.700000000%</w:t>
            </w:r>
          </w:p>
        </w:tc>
      </w:tr>
      <w:tr>
        <w:trPr/>
        <w:tc>
          <w:tcPr>
            <w:tcW w:w="4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CIBC Bank USA</w:t>
            </w:r>
          </w:p>
        </w:tc>
        <w:tc>
          <w:tcPr>
            <w:tcW w:w="22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$120,000,000.00</w:t>
            </w:r>
          </w:p>
        </w:tc>
        <w:tc>
          <w:tcPr>
            <w:tcW w:w="3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12.000000000%</w:t>
            </w:r>
          </w:p>
        </w:tc>
      </w:tr>
      <w:tr>
        <w:trPr/>
        <w:tc>
          <w:tcPr>
            <w:tcW w:w="4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Commerzbank AG, New York Branch</w:t>
            </w:r>
          </w:p>
        </w:tc>
        <w:tc>
          <w:tcPr>
            <w:tcW w:w="22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$47,000,000.00</w:t>
            </w:r>
          </w:p>
        </w:tc>
        <w:tc>
          <w:tcPr>
            <w:tcW w:w="3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4.700000000%</w:t>
            </w:r>
          </w:p>
        </w:tc>
      </w:tr>
      <w:tr>
        <w:trPr/>
        <w:tc>
          <w:tcPr>
            <w:tcW w:w="4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KeyBank National Association</w:t>
            </w:r>
          </w:p>
        </w:tc>
        <w:tc>
          <w:tcPr>
            <w:tcW w:w="22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$47,000,000.00</w:t>
            </w:r>
          </w:p>
        </w:tc>
        <w:tc>
          <w:tcPr>
            <w:tcW w:w="3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4.700000000%</w:t>
            </w:r>
          </w:p>
        </w:tc>
      </w:tr>
      <w:tr>
        <w:trPr/>
        <w:tc>
          <w:tcPr>
            <w:tcW w:w="4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The Toronto-Dominion Bank, New York Branch</w:t>
            </w:r>
          </w:p>
        </w:tc>
        <w:tc>
          <w:tcPr>
            <w:tcW w:w="22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$47,000,000.00</w:t>
            </w:r>
          </w:p>
        </w:tc>
        <w:tc>
          <w:tcPr>
            <w:tcW w:w="3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4.700000000%</w:t>
            </w:r>
          </w:p>
        </w:tc>
      </w:tr>
      <w:tr>
        <w:trPr/>
        <w:tc>
          <w:tcPr>
            <w:tcW w:w="4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U.S. Bank National Association</w:t>
            </w:r>
          </w:p>
        </w:tc>
        <w:tc>
          <w:tcPr>
            <w:tcW w:w="22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$47,000,000.00</w:t>
            </w:r>
          </w:p>
        </w:tc>
        <w:tc>
          <w:tcPr>
            <w:tcW w:w="3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4.700000000%</w:t>
            </w:r>
          </w:p>
        </w:tc>
      </w:tr>
      <w:tr>
        <w:trPr/>
        <w:tc>
          <w:tcPr>
            <w:tcW w:w="4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Wells Fargo Bank, National Association</w:t>
            </w:r>
          </w:p>
        </w:tc>
        <w:tc>
          <w:tcPr>
            <w:tcW w:w="22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$25,000,000.00</w:t>
            </w:r>
          </w:p>
        </w:tc>
        <w:tc>
          <w:tcPr>
            <w:tcW w:w="3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2.500000000%</w:t>
            </w:r>
          </w:p>
        </w:tc>
      </w:tr>
      <w:tr>
        <w:trPr/>
        <w:tc>
          <w:tcPr>
            <w:tcW w:w="4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Oversea-Chinese Banking Corporation Limited, New York Agency</w:t>
            </w:r>
          </w:p>
        </w:tc>
        <w:tc>
          <w:tcPr>
            <w:tcW w:w="22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$27,000,000.00</w:t>
            </w:r>
          </w:p>
        </w:tc>
        <w:tc>
          <w:tcPr>
            <w:tcW w:w="3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2.700000000%</w:t>
            </w:r>
          </w:p>
        </w:tc>
      </w:tr>
      <w:tr>
        <w:trPr/>
        <w:tc>
          <w:tcPr>
            <w:tcW w:w="4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Standard Chartered Bank</w:t>
            </w:r>
          </w:p>
        </w:tc>
        <w:tc>
          <w:tcPr>
            <w:tcW w:w="22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$27,000,000.00</w:t>
            </w:r>
          </w:p>
        </w:tc>
        <w:tc>
          <w:tcPr>
            <w:tcW w:w="3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2.700000000%</w:t>
            </w:r>
          </w:p>
        </w:tc>
      </w:tr>
      <w:tr>
        <w:trPr/>
        <w:tc>
          <w:tcPr>
            <w:tcW w:w="4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The Huntington National Bank</w:t>
            </w:r>
          </w:p>
        </w:tc>
        <w:tc>
          <w:tcPr>
            <w:tcW w:w="22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$27,000,000.00</w:t>
            </w:r>
          </w:p>
        </w:tc>
        <w:tc>
          <w:tcPr>
            <w:tcW w:w="3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2.700000000%</w:t>
            </w:r>
          </w:p>
        </w:tc>
      </w:tr>
      <w:tr>
        <w:trPr/>
        <w:tc>
          <w:tcPr>
            <w:tcW w:w="469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Total:</w:t>
            </w:r>
          </w:p>
        </w:tc>
        <w:tc>
          <w:tcPr>
            <w:tcW w:w="2277"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b/>
                <w:sz w:val="22"/>
              </w:rPr>
            </w:pPr>
            <w:r>
              <w:rPr>
                <w:rFonts w:ascii="Times New Roman;Times;serif" w:hAnsi="Times New Roman;Times;serif"/>
                <w:b/>
                <w:sz w:val="22"/>
              </w:rPr>
              <w:t>$1,000,000,000.00</w:t>
            </w:r>
          </w:p>
        </w:tc>
        <w:tc>
          <w:tcPr>
            <w:tcW w:w="3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100.000000000%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Annex II</w:t>
      </w:r>
    </w:p>
    <w:p>
      <w:pPr>
        <w:pStyle w:val="TextBody"/>
        <w:bidi w:val="0"/>
        <w:spacing w:before="0" w:after="0"/>
        <w:ind w:left="0" w:right="0" w:hanging="0"/>
        <w:jc w:val="center"/>
        <w:rPr/>
      </w:pPr>
      <w:r>
        <w:rPr/>
        <w:t>​</w:t>
      </w:r>
    </w:p>
    <w:p>
      <w:pPr>
        <w:pStyle w:val="TextBody"/>
        <w:bidi w:val="0"/>
        <w:spacing w:before="0" w:after="240"/>
        <w:ind w:left="0" w:right="0" w:hanging="0"/>
        <w:jc w:val="right"/>
        <w:rPr>
          <w:rFonts w:ascii="Times New Roman;Times;serif" w:hAnsi="Times New Roman;Times;serif"/>
          <w:b/>
          <w:i/>
          <w:sz w:val="22"/>
        </w:rPr>
      </w:pPr>
      <w:r>
        <w:rPr>
          <w:rFonts w:ascii="Times New Roman;Times;serif" w:hAnsi="Times New Roman;Times;serif"/>
          <w:b/>
          <w:i/>
          <w:sz w:val="22"/>
        </w:rPr>
        <w:t>SCHEDULE 2.01</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COMMITMENTS</w:t>
      </w:r>
    </w:p>
    <w:p>
      <w:pPr>
        <w:pStyle w:val="TextBody"/>
        <w:bidi w:val="0"/>
        <w:spacing w:before="0" w:after="300"/>
        <w:ind w:left="0" w:right="0" w:hanging="0"/>
        <w:jc w:val="center"/>
        <w:rPr>
          <w:rFonts w:ascii="Times New Roman;Times;serif" w:hAnsi="Times New Roman;Times;serif"/>
          <w:b/>
          <w:sz w:val="22"/>
        </w:rPr>
      </w:pPr>
      <w:r>
        <w:rPr>
          <w:rFonts w:ascii="Times New Roman;Times;serif" w:hAnsi="Times New Roman;Times;serif"/>
          <w:b/>
          <w:sz w:val="22"/>
        </w:rPr>
        <w:t>AND APPLICABLE PERCENTAGES</w:t>
      </w:r>
    </w:p>
    <w:tbl>
      <w:tblPr>
        <w:tblW w:w="10203" w:type="dxa"/>
        <w:jc w:val="center"/>
        <w:tblInd w:w="0" w:type="dxa"/>
        <w:tblLayout w:type="fixed"/>
        <w:tblCellMar>
          <w:top w:w="0" w:type="dxa"/>
          <w:left w:w="0" w:type="dxa"/>
          <w:bottom w:w="0" w:type="dxa"/>
          <w:right w:w="0" w:type="dxa"/>
        </w:tblCellMar>
      </w:tblPr>
      <w:tblGrid>
        <w:gridCol w:w="6421"/>
        <w:gridCol w:w="1906"/>
        <w:gridCol w:w="1876"/>
      </w:tblGrid>
      <w:tr>
        <w:trPr/>
        <w:tc>
          <w:tcPr>
            <w:tcW w:w="6421" w:type="dxa"/>
            <w:tcBorders/>
            <w:vAlign w:val="center"/>
          </w:tcPr>
          <w:p>
            <w:pPr>
              <w:pStyle w:val="TableContents"/>
              <w:bidi w:val="0"/>
              <w:spacing w:before="0" w:after="0"/>
              <w:ind w:left="0" w:right="0" w:hanging="0"/>
              <w:jc w:val="center"/>
              <w:rPr/>
            </w:pPr>
            <w:r>
              <w:rPr/>
              <w:t>​</w:t>
            </w:r>
          </w:p>
          <w:p>
            <w:pPr>
              <w:pStyle w:val="TableContents"/>
              <w:bidi w:val="0"/>
              <w:spacing w:before="0" w:after="60"/>
              <w:ind w:left="0" w:right="0" w:hanging="0"/>
              <w:jc w:val="center"/>
              <w:rPr/>
            </w:pPr>
            <w:r>
              <w:rPr/>
              <w:t>​</w:t>
            </w:r>
          </w:p>
          <w:p>
            <w:pPr>
              <w:pStyle w:val="TableContents"/>
              <w:bidi w:val="0"/>
              <w:spacing w:before="0" w:after="0"/>
              <w:ind w:left="0" w:right="0" w:hanging="0"/>
              <w:jc w:val="left"/>
              <w:rPr/>
            </w:pPr>
            <w:r>
              <w:rPr/>
              <w:t>​</w:t>
            </w:r>
          </w:p>
        </w:tc>
        <w:tc>
          <w:tcPr>
            <w:tcW w:w="190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c>
          <w:tcPr>
            <w:tcW w:w="1876" w:type="dxa"/>
            <w:tcBorders/>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c>
      </w:tr>
      <w:tr>
        <w:trPr/>
        <w:tc>
          <w:tcPr>
            <w:tcW w:w="6421"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left"/>
              <w:rPr/>
            </w:pPr>
            <w:r>
              <w:rPr/>
              <w:t>​</w:t>
            </w:r>
          </w:p>
          <w:p>
            <w:pPr>
              <w:pStyle w:val="TableContents"/>
              <w:bidi w:val="0"/>
              <w:spacing w:before="0" w:after="0"/>
              <w:ind w:left="0" w:right="0" w:hanging="0"/>
              <w:jc w:val="center"/>
              <w:rPr/>
            </w:pPr>
            <w:r>
              <w:rPr/>
              <w:t>​</w:t>
            </w:r>
          </w:p>
          <w:p>
            <w:pPr>
              <w:pStyle w:val="TableContents"/>
              <w:bidi w:val="0"/>
              <w:spacing w:before="0" w:after="60"/>
              <w:ind w:left="0" w:right="0" w:hanging="0"/>
              <w:jc w:val="center"/>
              <w:rPr>
                <w:rFonts w:ascii="Times New Roman;Times;serif" w:hAnsi="Times New Roman;Times;serif"/>
                <w:b/>
                <w:sz w:val="22"/>
              </w:rPr>
            </w:pPr>
            <w:r>
              <w:rPr>
                <w:rFonts w:ascii="Times New Roman;Times;serif" w:hAnsi="Times New Roman;Times;serif"/>
                <w:b/>
                <w:sz w:val="22"/>
              </w:rPr>
              <w:t>Lender</w:t>
            </w:r>
          </w:p>
        </w:tc>
        <w:tc>
          <w:tcPr>
            <w:tcW w:w="190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center"/>
              <w:rPr/>
            </w:pPr>
            <w:r>
              <w:rPr/>
              <w:t>​</w:t>
            </w:r>
          </w:p>
          <w:p>
            <w:pPr>
              <w:pStyle w:val="TableContents"/>
              <w:bidi w:val="0"/>
              <w:spacing w:before="0" w:after="0"/>
              <w:ind w:left="0" w:right="0" w:hanging="0"/>
              <w:jc w:val="center"/>
              <w:rPr/>
            </w:pPr>
            <w:r>
              <w:rPr/>
              <w:t>​</w:t>
            </w:r>
          </w:p>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Commitment</w:t>
            </w:r>
          </w:p>
        </w:tc>
        <w:tc>
          <w:tcPr>
            <w:tcW w:w="187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Applicable</w:t>
            </w:r>
          </w:p>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Commitment</w:t>
            </w:r>
          </w:p>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Percentage</w:t>
            </w:r>
          </w:p>
        </w:tc>
      </w:tr>
      <w:tr>
        <w:trPr/>
        <w:tc>
          <w:tcPr>
            <w:tcW w:w="6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Bank of America, N.A.</w:t>
            </w:r>
          </w:p>
        </w:tc>
        <w:tc>
          <w:tcPr>
            <w:tcW w:w="19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$215,000,000.00</w:t>
            </w:r>
          </w:p>
        </w:tc>
        <w:tc>
          <w:tcPr>
            <w:tcW w:w="18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7.818181818%</w:t>
            </w:r>
          </w:p>
        </w:tc>
      </w:tr>
      <w:tr>
        <w:trPr/>
        <w:tc>
          <w:tcPr>
            <w:tcW w:w="6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BNP Paribas</w:t>
            </w:r>
          </w:p>
        </w:tc>
        <w:tc>
          <w:tcPr>
            <w:tcW w:w="19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$215,000,000.00</w:t>
            </w:r>
          </w:p>
        </w:tc>
        <w:tc>
          <w:tcPr>
            <w:tcW w:w="18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7.818181818%</w:t>
            </w:r>
          </w:p>
        </w:tc>
      </w:tr>
      <w:tr>
        <w:trPr/>
        <w:tc>
          <w:tcPr>
            <w:tcW w:w="6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DBS Bank Ltd.</w:t>
            </w:r>
          </w:p>
        </w:tc>
        <w:tc>
          <w:tcPr>
            <w:tcW w:w="19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$215,000,000.00</w:t>
            </w:r>
          </w:p>
        </w:tc>
        <w:tc>
          <w:tcPr>
            <w:tcW w:w="18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7.818181818%</w:t>
            </w:r>
          </w:p>
        </w:tc>
      </w:tr>
      <w:tr>
        <w:trPr/>
        <w:tc>
          <w:tcPr>
            <w:tcW w:w="6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JPMorgan Chase Bank, N.A.</w:t>
            </w:r>
          </w:p>
        </w:tc>
        <w:tc>
          <w:tcPr>
            <w:tcW w:w="19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$215,000,000.00</w:t>
            </w:r>
          </w:p>
        </w:tc>
        <w:tc>
          <w:tcPr>
            <w:tcW w:w="18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7.818181818%</w:t>
            </w:r>
          </w:p>
        </w:tc>
      </w:tr>
      <w:tr>
        <w:trPr/>
        <w:tc>
          <w:tcPr>
            <w:tcW w:w="6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MUFG Bank, Ltd.</w:t>
            </w:r>
          </w:p>
        </w:tc>
        <w:tc>
          <w:tcPr>
            <w:tcW w:w="19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$215,000,000.00</w:t>
            </w:r>
          </w:p>
        </w:tc>
        <w:tc>
          <w:tcPr>
            <w:tcW w:w="18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7.818181818%</w:t>
            </w:r>
          </w:p>
        </w:tc>
      </w:tr>
      <w:tr>
        <w:trPr/>
        <w:tc>
          <w:tcPr>
            <w:tcW w:w="6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 xml:space="preserve">The Bank of Nova Scotia </w:t>
            </w:r>
          </w:p>
        </w:tc>
        <w:tc>
          <w:tcPr>
            <w:tcW w:w="19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$215,000,000.00</w:t>
            </w:r>
          </w:p>
        </w:tc>
        <w:tc>
          <w:tcPr>
            <w:tcW w:w="18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7.818181818%</w:t>
            </w:r>
          </w:p>
        </w:tc>
      </w:tr>
      <w:tr>
        <w:trPr/>
        <w:tc>
          <w:tcPr>
            <w:tcW w:w="6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Truist Bank</w:t>
            </w:r>
          </w:p>
        </w:tc>
        <w:tc>
          <w:tcPr>
            <w:tcW w:w="19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$133,000,000.00</w:t>
            </w:r>
          </w:p>
        </w:tc>
        <w:tc>
          <w:tcPr>
            <w:tcW w:w="18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4.836363636%</w:t>
            </w:r>
          </w:p>
        </w:tc>
      </w:tr>
      <w:tr>
        <w:trPr/>
        <w:tc>
          <w:tcPr>
            <w:tcW w:w="6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Banco Santander, S.A., New York Branch</w:t>
            </w:r>
          </w:p>
        </w:tc>
        <w:tc>
          <w:tcPr>
            <w:tcW w:w="19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$120,000,000.00</w:t>
            </w:r>
          </w:p>
        </w:tc>
        <w:tc>
          <w:tcPr>
            <w:tcW w:w="18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4.363636364%</w:t>
            </w:r>
          </w:p>
        </w:tc>
      </w:tr>
      <w:tr>
        <w:trPr/>
        <w:tc>
          <w:tcPr>
            <w:tcW w:w="6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Bank of China, Los Angeles Branch</w:t>
            </w:r>
          </w:p>
        </w:tc>
        <w:tc>
          <w:tcPr>
            <w:tcW w:w="19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$120,000,000.00</w:t>
            </w:r>
          </w:p>
        </w:tc>
        <w:tc>
          <w:tcPr>
            <w:tcW w:w="18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4.363636364%</w:t>
            </w:r>
          </w:p>
        </w:tc>
      </w:tr>
      <w:tr>
        <w:trPr/>
        <w:tc>
          <w:tcPr>
            <w:tcW w:w="6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CIBC Bank USA</w:t>
            </w:r>
          </w:p>
        </w:tc>
        <w:tc>
          <w:tcPr>
            <w:tcW w:w="19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$120,000,000.00</w:t>
            </w:r>
          </w:p>
        </w:tc>
        <w:tc>
          <w:tcPr>
            <w:tcW w:w="18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4.363636364%</w:t>
            </w:r>
          </w:p>
        </w:tc>
      </w:tr>
      <w:tr>
        <w:trPr/>
        <w:tc>
          <w:tcPr>
            <w:tcW w:w="6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Commerzbank AG, New York Branch</w:t>
            </w:r>
          </w:p>
        </w:tc>
        <w:tc>
          <w:tcPr>
            <w:tcW w:w="19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$120,000,000.00</w:t>
            </w:r>
          </w:p>
        </w:tc>
        <w:tc>
          <w:tcPr>
            <w:tcW w:w="18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4.363636364%</w:t>
            </w:r>
          </w:p>
        </w:tc>
      </w:tr>
      <w:tr>
        <w:trPr/>
        <w:tc>
          <w:tcPr>
            <w:tcW w:w="6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KeyBank National Association</w:t>
            </w:r>
          </w:p>
        </w:tc>
        <w:tc>
          <w:tcPr>
            <w:tcW w:w="19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$120,000,000.00</w:t>
            </w:r>
          </w:p>
        </w:tc>
        <w:tc>
          <w:tcPr>
            <w:tcW w:w="18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4.363636364%</w:t>
            </w:r>
          </w:p>
        </w:tc>
      </w:tr>
      <w:tr>
        <w:trPr/>
        <w:tc>
          <w:tcPr>
            <w:tcW w:w="6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The Toronto-Dominion Bank, New York Branch</w:t>
            </w:r>
          </w:p>
        </w:tc>
        <w:tc>
          <w:tcPr>
            <w:tcW w:w="19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$120,000,000.00</w:t>
            </w:r>
          </w:p>
        </w:tc>
        <w:tc>
          <w:tcPr>
            <w:tcW w:w="18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4.363636364%</w:t>
            </w:r>
          </w:p>
        </w:tc>
      </w:tr>
      <w:tr>
        <w:trPr/>
        <w:tc>
          <w:tcPr>
            <w:tcW w:w="6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U.S. Bank National Association</w:t>
            </w:r>
          </w:p>
        </w:tc>
        <w:tc>
          <w:tcPr>
            <w:tcW w:w="19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$120,000,000.00</w:t>
            </w:r>
          </w:p>
        </w:tc>
        <w:tc>
          <w:tcPr>
            <w:tcW w:w="18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4.363636364%</w:t>
            </w:r>
          </w:p>
        </w:tc>
      </w:tr>
      <w:tr>
        <w:trPr/>
        <w:tc>
          <w:tcPr>
            <w:tcW w:w="6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Wells Fargo Bank, National Association</w:t>
            </w:r>
          </w:p>
        </w:tc>
        <w:tc>
          <w:tcPr>
            <w:tcW w:w="19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$98,000,000.00</w:t>
            </w:r>
          </w:p>
        </w:tc>
        <w:tc>
          <w:tcPr>
            <w:tcW w:w="18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3.563636364%</w:t>
            </w:r>
          </w:p>
        </w:tc>
      </w:tr>
      <w:tr>
        <w:trPr/>
        <w:tc>
          <w:tcPr>
            <w:tcW w:w="6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Oversea-Chinese Banking Corporation Limited, New York Agency</w:t>
            </w:r>
          </w:p>
        </w:tc>
        <w:tc>
          <w:tcPr>
            <w:tcW w:w="19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$76,000,000.00</w:t>
            </w:r>
          </w:p>
        </w:tc>
        <w:tc>
          <w:tcPr>
            <w:tcW w:w="18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2.763636364%</w:t>
            </w:r>
          </w:p>
        </w:tc>
      </w:tr>
      <w:tr>
        <w:trPr/>
        <w:tc>
          <w:tcPr>
            <w:tcW w:w="6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Standard Chartered Bank</w:t>
            </w:r>
          </w:p>
        </w:tc>
        <w:tc>
          <w:tcPr>
            <w:tcW w:w="19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$76,000,000.00</w:t>
            </w:r>
          </w:p>
        </w:tc>
        <w:tc>
          <w:tcPr>
            <w:tcW w:w="18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2.763636364%</w:t>
            </w:r>
          </w:p>
        </w:tc>
      </w:tr>
      <w:tr>
        <w:trPr/>
        <w:tc>
          <w:tcPr>
            <w:tcW w:w="6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The Huntington National Bank</w:t>
            </w:r>
          </w:p>
        </w:tc>
        <w:tc>
          <w:tcPr>
            <w:tcW w:w="19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$76,000,000.00</w:t>
            </w:r>
          </w:p>
        </w:tc>
        <w:tc>
          <w:tcPr>
            <w:tcW w:w="18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2.763636364%</w:t>
            </w:r>
          </w:p>
        </w:tc>
      </w:tr>
      <w:tr>
        <w:trPr/>
        <w:tc>
          <w:tcPr>
            <w:tcW w:w="6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Sumitomo Mitsui Banking Corporation</w:t>
            </w:r>
          </w:p>
        </w:tc>
        <w:tc>
          <w:tcPr>
            <w:tcW w:w="19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$73,000,000.00</w:t>
            </w:r>
          </w:p>
        </w:tc>
        <w:tc>
          <w:tcPr>
            <w:tcW w:w="18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2.654545455%</w:t>
            </w:r>
          </w:p>
        </w:tc>
      </w:tr>
      <w:tr>
        <w:trPr/>
        <w:tc>
          <w:tcPr>
            <w:tcW w:w="6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KBC Bank N.V., New York Branch</w:t>
            </w:r>
          </w:p>
        </w:tc>
        <w:tc>
          <w:tcPr>
            <w:tcW w:w="19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$49,000,000.00</w:t>
            </w:r>
          </w:p>
        </w:tc>
        <w:tc>
          <w:tcPr>
            <w:tcW w:w="18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1.781818182%</w:t>
            </w:r>
          </w:p>
        </w:tc>
      </w:tr>
      <w:tr>
        <w:trPr/>
        <w:tc>
          <w:tcPr>
            <w:tcW w:w="6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sz w:val="22"/>
              </w:rPr>
            </w:pPr>
            <w:r>
              <w:rPr>
                <w:rFonts w:ascii="Times New Roman;Times;serif" w:hAnsi="Times New Roman;Times;serif"/>
                <w:sz w:val="22"/>
              </w:rPr>
              <w:t>Bayerische Landesbank, New York Branch</w:t>
            </w:r>
          </w:p>
        </w:tc>
        <w:tc>
          <w:tcPr>
            <w:tcW w:w="19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sz w:val="22"/>
              </w:rPr>
            </w:pPr>
            <w:r>
              <w:rPr>
                <w:rFonts w:ascii="Times New Roman;Times;serif" w:hAnsi="Times New Roman;Times;serif"/>
                <w:sz w:val="22"/>
              </w:rPr>
              <w:t>$39,000,000.00</w:t>
            </w:r>
          </w:p>
        </w:tc>
        <w:tc>
          <w:tcPr>
            <w:tcW w:w="18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sz w:val="22"/>
              </w:rPr>
            </w:pPr>
            <w:r>
              <w:rPr>
                <w:rFonts w:ascii="Times New Roman;Times;serif" w:hAnsi="Times New Roman;Times;serif"/>
                <w:sz w:val="22"/>
              </w:rPr>
              <w:t>1.418181818%</w:t>
            </w:r>
          </w:p>
        </w:tc>
      </w:tr>
      <w:tr>
        <w:trPr/>
        <w:tc>
          <w:tcPr>
            <w:tcW w:w="642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left"/>
              <w:rPr>
                <w:rFonts w:ascii="Times New Roman;Times;serif" w:hAnsi="Times New Roman;Times;serif"/>
                <w:b/>
                <w:sz w:val="22"/>
              </w:rPr>
            </w:pPr>
            <w:r>
              <w:rPr>
                <w:rFonts w:ascii="Times New Roman;Times;serif" w:hAnsi="Times New Roman;Times;serif"/>
                <w:b/>
                <w:sz w:val="22"/>
              </w:rPr>
              <w:t>Total:</w:t>
            </w:r>
          </w:p>
        </w:tc>
        <w:tc>
          <w:tcPr>
            <w:tcW w:w="19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center"/>
              <w:rPr>
                <w:rFonts w:ascii="Times New Roman;Times;serif" w:hAnsi="Times New Roman;Times;serif"/>
                <w:b/>
                <w:sz w:val="22"/>
              </w:rPr>
            </w:pPr>
            <w:r>
              <w:rPr>
                <w:rFonts w:ascii="Times New Roman;Times;serif" w:hAnsi="Times New Roman;Times;serif"/>
                <w:b/>
                <w:sz w:val="22"/>
              </w:rPr>
              <w:t>$2,750,000,000.00</w:t>
            </w:r>
          </w:p>
        </w:tc>
        <w:tc>
          <w:tcPr>
            <w:tcW w:w="187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60"/>
              <w:ind w:left="0" w:right="0" w:hanging="0"/>
              <w:jc w:val="right"/>
              <w:rPr>
                <w:rFonts w:ascii="Times New Roman;Times;serif" w:hAnsi="Times New Roman;Times;serif"/>
                <w:b/>
                <w:sz w:val="22"/>
              </w:rPr>
            </w:pPr>
            <w:r>
              <w:rPr>
                <w:rFonts w:ascii="Times New Roman;Times;serif" w:hAnsi="Times New Roman;Times;serif"/>
                <w:b/>
                <w:sz w:val="22"/>
              </w:rPr>
              <w:t>100.000000000%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6"/>
        <w:ind w:left="0" w:right="0" w:hanging="0"/>
        <w:jc w:val="left"/>
        <w:rPr>
          <w:color w:val="FF0000"/>
        </w:rPr>
      </w:pPr>
      <w:r>
        <w:rPr>
          <w:color w:val="FF0000"/>
        </w:rPr>
        <w:t>​</w:t>
      </w:r>
    </w:p>
    <w:p>
      <w:pPr>
        <w:pStyle w:val="TextBody"/>
        <w:bidi w:val="0"/>
        <w:spacing w:before="0" w:after="66"/>
        <w:ind w:left="0" w:right="0" w:hanging="0"/>
        <w:jc w:val="left"/>
        <w:rPr>
          <w:color w:val="FF0000"/>
        </w:rPr>
      </w:pPr>
      <w:r>
        <w:rPr>
          <w:color w:val="FF0000"/>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328" w:before="0" w:after="200"/>
        <w:ind w:left="0" w:right="0" w:hanging="0"/>
        <w:jc w:val="center"/>
        <w:rPr>
          <w:rFonts w:ascii="Times New Roman;Times;serif" w:hAnsi="Times New Roman;Times;serif"/>
          <w:b/>
          <w:sz w:val="22"/>
        </w:rPr>
      </w:pPr>
      <w:r>
        <w:rPr>
          <w:rFonts w:ascii="Times New Roman;Times;serif" w:hAnsi="Times New Roman;Times;serif"/>
          <w:b/>
          <w:sz w:val="22"/>
        </w:rPr>
        <w:t>Annex III</w:t>
      </w:r>
    </w:p>
    <w:p>
      <w:pPr>
        <w:pStyle w:val="TextBody"/>
        <w:bidi w:val="0"/>
        <w:spacing w:lineRule="auto" w:line="328" w:before="0" w:after="200"/>
        <w:ind w:left="0" w:right="0" w:hanging="0"/>
        <w:jc w:val="center"/>
        <w:rPr>
          <w:rFonts w:ascii="Times New Roman;Times;serif" w:hAnsi="Times New Roman;Times;serif"/>
          <w:b/>
          <w:sz w:val="22"/>
        </w:rPr>
      </w:pPr>
      <w:r>
        <w:rPr>
          <w:rFonts w:ascii="Times New Roman;Times;serif" w:hAnsi="Times New Roman;Times;serif"/>
          <w:b/>
          <w:sz w:val="22"/>
        </w:rPr>
        <w:t>Amended Credit Agreement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66"/>
        <w:ind w:left="0" w:right="0" w:hanging="0"/>
        <w:jc w:val="right"/>
        <w:rPr>
          <w:rFonts w:ascii="Times New Roman;Times;serif" w:hAnsi="Times New Roman;Times;serif"/>
          <w:sz w:val="16"/>
        </w:rPr>
      </w:pPr>
      <w:r>
        <w:rPr>
          <w:rFonts w:ascii="Times New Roman;Times;serif" w:hAnsi="Times New Roman;Times;serif"/>
          <w:color w:val="FF0000"/>
          <w:sz w:val="22"/>
        </w:rPr>
        <w:t>C</w:t>
      </w:r>
      <w:r>
        <w:rPr>
          <w:rFonts w:ascii="Times New Roman;Times;serif" w:hAnsi="Times New Roman;Times;serif"/>
          <w:color w:val="FF0000"/>
          <w:sz w:val="16"/>
        </w:rPr>
        <w:t xml:space="preserve">ONFORMED </w:t>
      </w:r>
      <w:r>
        <w:rPr>
          <w:rFonts w:ascii="Times New Roman;Times;serif" w:hAnsi="Times New Roman;Times;serif"/>
          <w:color w:val="FF0000"/>
          <w:sz w:val="22"/>
        </w:rPr>
        <w:t>V</w:t>
      </w:r>
      <w:r>
        <w:rPr>
          <w:rFonts w:ascii="Times New Roman;Times;serif" w:hAnsi="Times New Roman;Times;serif"/>
          <w:color w:val="FF0000"/>
          <w:sz w:val="16"/>
        </w:rPr>
        <w:t>ERSION</w:t>
      </w:r>
      <w:r>
        <w:rPr>
          <w:rFonts w:ascii="Times New Roman;Times;serif" w:hAnsi="Times New Roman;Times;serif"/>
          <w:color w:val="0000FF"/>
          <w:sz w:val="22"/>
          <w:u w:val="single"/>
        </w:rPr>
        <w:t>A</w:t>
      </w:r>
      <w:r>
        <w:rPr>
          <w:rFonts w:ascii="Times New Roman;Times;serif" w:hAnsi="Times New Roman;Times;serif"/>
          <w:color w:val="0000FF"/>
          <w:sz w:val="16"/>
          <w:u w:val="single"/>
        </w:rPr>
        <w:t xml:space="preserve">NNEX </w:t>
      </w:r>
      <w:r>
        <w:rPr>
          <w:rFonts w:ascii="Times New Roman;Times;serif" w:hAnsi="Times New Roman;Times;serif"/>
          <w:color w:val="0000FF"/>
          <w:sz w:val="20"/>
          <w:u w:val="single"/>
        </w:rPr>
        <w:t>III</w:t>
      </w:r>
    </w:p>
    <w:p>
      <w:pPr>
        <w:pStyle w:val="TextBody"/>
        <w:bidi w:val="0"/>
        <w:spacing w:before="0" w:after="66"/>
        <w:ind w:left="0" w:right="0" w:hanging="0"/>
        <w:jc w:val="right"/>
        <w:rPr/>
      </w:pPr>
      <w:r>
        <w:rPr/>
        <w:t>​</w:t>
      </w:r>
    </w:p>
    <w:p>
      <w:pPr>
        <w:pStyle w:val="TextBody"/>
        <w:pBdr>
          <w:top w:val="single" w:sz="8" w:space="1" w:color="000000"/>
          <w:bottom w:val="single" w:sz="24" w:space="1" w:color="000000"/>
        </w:pBdr>
        <w:bidi w:val="0"/>
        <w:spacing w:before="0" w:after="66"/>
        <w:ind w:left="0" w:right="0" w:hanging="0"/>
        <w:jc w:val="right"/>
        <w:rPr/>
      </w:pPr>
      <w:r>
        <w:rPr/>
        <w:t>​</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Published CUSIP Numbers:</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Deal: 053809AN9</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Revolver: 053809AP4</w:t>
      </w:r>
    </w:p>
    <w:p>
      <w:pPr>
        <w:pStyle w:val="TextBody"/>
        <w:bidi w:val="0"/>
        <w:spacing w:before="0" w:after="0"/>
        <w:ind w:left="0" w:right="0" w:hanging="0"/>
        <w:jc w:val="right"/>
        <w:rPr/>
      </w:pPr>
      <w:r>
        <w:rPr/>
        <w:t>​</w:t>
      </w:r>
    </w:p>
    <w:p>
      <w:pPr>
        <w:pStyle w:val="TextBody"/>
        <w:bidi w:val="0"/>
        <w:spacing w:before="0" w:after="117"/>
        <w:ind w:left="0" w:right="0" w:hanging="0"/>
        <w:jc w:val="center"/>
        <w:rPr>
          <w:rFonts w:ascii="Times New Roman;Times;serif" w:hAnsi="Times New Roman;Times;serif"/>
          <w:b/>
          <w:sz w:val="22"/>
        </w:rPr>
      </w:pPr>
      <w:r>
        <w:rPr>
          <w:rFonts w:ascii="Times New Roman;Times;serif" w:hAnsi="Times New Roman;Times;serif"/>
          <w:b/>
          <w:sz w:val="22"/>
        </w:rPr>
        <w:t>THIRD AMENDED AND RESTATED CREDIT AGREEMENT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Dated as of January 17, 2025</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2"/>
        </w:rPr>
        <w:t xml:space="preserve">(as amended through Amendment No. </w:t>
      </w:r>
      <w:r>
        <w:rPr>
          <w:rFonts w:ascii="Times New Roman;Times;serif" w:hAnsi="Times New Roman;Times;serif"/>
          <w:color w:val="FF0000"/>
          <w:sz w:val="22"/>
        </w:rPr>
        <w:t>2</w:t>
      </w:r>
      <w:r>
        <w:rPr>
          <w:rFonts w:ascii="Times New Roman;Times;serif" w:hAnsi="Times New Roman;Times;serif"/>
          <w:color w:val="0000FF"/>
          <w:sz w:val="22"/>
          <w:u w:val="single"/>
        </w:rPr>
        <w:t>3</w:t>
      </w:r>
      <w:r>
        <w:rPr>
          <w:rFonts w:ascii="Times New Roman;Times;serif" w:hAnsi="Times New Roman;Times;serif"/>
          <w:sz w:val="20"/>
        </w:rPr>
        <w:t xml:space="preserve"> </w:t>
      </w:r>
      <w:r>
        <w:rPr>
          <w:rFonts w:ascii="Times New Roman;Times;serif" w:hAnsi="Times New Roman;Times;serif"/>
          <w:sz w:val="22"/>
        </w:rPr>
        <w:t>to Third Amended and Restated Credit Agreement dated as of</w:t>
        <w:br/>
      </w:r>
      <w:r>
        <w:rPr>
          <w:rFonts w:ascii="Times New Roman;Times;serif" w:hAnsi="Times New Roman;Times;serif"/>
          <w:color w:val="FF0000"/>
          <w:sz w:val="22"/>
        </w:rPr>
        <w:t>April</w:t>
      </w:r>
      <w:r>
        <w:rPr>
          <w:rFonts w:ascii="Times New Roman;Times;serif" w:hAnsi="Times New Roman;Times;serif"/>
          <w:color w:val="0000FF"/>
          <w:sz w:val="22"/>
          <w:u w:val="single"/>
        </w:rPr>
        <w:t>October</w:t>
      </w:r>
      <w:r>
        <w:rPr>
          <w:rFonts w:ascii="Times New Roman;Times;serif" w:hAnsi="Times New Roman;Times;serif"/>
          <w:sz w:val="20"/>
        </w:rPr>
        <w:t xml:space="preserve"> </w:t>
      </w:r>
      <w:r>
        <w:rPr>
          <w:rFonts w:ascii="Times New Roman;Times;serif" w:hAnsi="Times New Roman;Times;serif"/>
          <w:sz w:val="22"/>
        </w:rPr>
        <w:t>13, 2026),</w:t>
      </w:r>
    </w:p>
    <w:p>
      <w:pPr>
        <w:pStyle w:val="TextBody"/>
        <w:bidi w:val="0"/>
        <w:spacing w:before="0" w:after="117"/>
        <w:ind w:left="0" w:right="0" w:hanging="0"/>
        <w:jc w:val="center"/>
        <w:rPr>
          <w:rFonts w:ascii="Times New Roman;Times;serif" w:hAnsi="Times New Roman;Times;serif"/>
          <w:sz w:val="22"/>
        </w:rPr>
      </w:pPr>
      <w:r>
        <w:rPr>
          <w:rFonts w:ascii="Times New Roman;Times;serif" w:hAnsi="Times New Roman;Times;serif"/>
          <w:sz w:val="22"/>
        </w:rPr>
        <w:t>among</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AVNET, INC.,</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AVNET HOLDING EUROPE BV</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and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2"/>
        </w:rPr>
        <w:t>CERTAIN OTHER SUBSIDIARIES OF THE COMPANY</w:t>
      </w:r>
      <w:r>
        <w:rPr>
          <w:rFonts w:ascii="Times New Roman;Times;serif" w:hAnsi="Times New Roman;Times;serif"/>
          <w:color w:val="0000FF"/>
          <w:sz w:val="22"/>
        </w:rPr>
        <w:t>,</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as Borrowers,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BANK OF AMERICA, N.A.,</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 xml:space="preserve">as Administrative Agent, Swing Line Lender </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and</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an L/C Issuer,</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xml:space="preserve">BNP PARIBAS, </w:t>
        <w:br/>
        <w:t>JPMORGAN CHASE BANK, N.A.,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2"/>
        </w:rPr>
        <w:t>MUFG BANK, LTD.</w:t>
      </w:r>
      <w:r>
        <w:rPr>
          <w:rFonts w:ascii="Times New Roman;Times;serif" w:hAnsi="Times New Roman;Times;serif"/>
          <w:sz w:val="22"/>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2"/>
        </w:rPr>
        <w:t>THE BANK OF NOVA SCOTIA</w:t>
      </w:r>
      <w:r>
        <w:rPr>
          <w:rFonts w:ascii="Times New Roman;Times;serif" w:hAnsi="Times New Roman;Times;serif"/>
          <w:b/>
          <w:color w:val="FF0000"/>
          <w:sz w:val="22"/>
        </w:rPr>
        <w:t>,</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and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2"/>
        </w:rPr>
        <w:t>TRUIST BANK</w:t>
      </w:r>
      <w:r>
        <w:rPr>
          <w:rFonts w:ascii="Times New Roman;Times;serif" w:hAnsi="Times New Roman;Times;serif"/>
          <w:color w:val="0000FF"/>
          <w:sz w:val="22"/>
        </w:rPr>
        <w:t>,</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 xml:space="preserve">as Co-Syndication Agents, </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and</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The Other Lenders Party Hereto</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2"/>
        </w:rPr>
        <w:t>BofA SECURITIES, INC.</w:t>
      </w:r>
      <w:r>
        <w:rPr>
          <w:rFonts w:ascii="Times New Roman;Times;serif" w:hAnsi="Times New Roman;Times;serif"/>
          <w:sz w:val="22"/>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2"/>
        </w:rPr>
        <w:t>BNP PARIBAS SECURITIES CORP.</w:t>
      </w:r>
      <w:r>
        <w:rPr>
          <w:rFonts w:ascii="Times New Roman;Times;serif" w:hAnsi="Times New Roman;Times;serif"/>
          <w:sz w:val="22"/>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2"/>
        </w:rPr>
        <w:t>THE BANK OF NOVA SCOTIA</w:t>
      </w:r>
      <w:r>
        <w:rPr>
          <w:rFonts w:ascii="Times New Roman;Times;serif" w:hAnsi="Times New Roman;Times;serif"/>
          <w:sz w:val="22"/>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2"/>
        </w:rPr>
        <w:t>MUFG BANK, LTD.</w:t>
      </w:r>
      <w:r>
        <w:rPr>
          <w:rFonts w:ascii="Times New Roman;Times;serif" w:hAnsi="Times New Roman;Times;serif"/>
          <w:color w:val="0000FF"/>
          <w:sz w:val="22"/>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2"/>
        </w:rPr>
        <w:t>TRUIST SECURITIES, INC.</w:t>
      </w:r>
      <w:r>
        <w:rPr>
          <w:rFonts w:ascii="Times New Roman;Times;serif" w:hAnsi="Times New Roman;Times;serif"/>
          <w:color w:val="0000FF"/>
          <w:sz w:val="22"/>
        </w:rPr>
        <w:t xml:space="preserve">, </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JPMORGAN CHASE BANK, N.A.</w:t>
      </w:r>
    </w:p>
    <w:p>
      <w:pPr>
        <w:pStyle w:val="TextBody"/>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and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2"/>
        </w:rPr>
        <w:t>DBS BANK LTD.</w:t>
      </w:r>
      <w:r>
        <w:rPr>
          <w:rFonts w:ascii="Times New Roman;Times;serif" w:hAnsi="Times New Roman;Times;serif"/>
          <w:color w:val="0000FF"/>
          <w:sz w:val="22"/>
        </w:rPr>
        <w:t>,</w:t>
      </w:r>
    </w:p>
    <w:p>
      <w:pPr>
        <w:pStyle w:val="TextBody"/>
        <w:bidi w:val="0"/>
        <w:spacing w:before="0" w:after="40"/>
        <w:ind w:left="0" w:right="0" w:hanging="0"/>
        <w:jc w:val="center"/>
        <w:rPr>
          <w:rFonts w:ascii="Times New Roman;Times;serif" w:hAnsi="Times New Roman;Times;serif"/>
          <w:sz w:val="22"/>
        </w:rPr>
      </w:pPr>
      <w:r>
        <w:rPr>
          <w:rFonts w:ascii="Times New Roman;Times;serif" w:hAnsi="Times New Roman;Times;serif"/>
          <w:sz w:val="22"/>
        </w:rPr>
        <w:t>as Joint Lead Arrangers and Joint Bookrunners</w:t>
      </w:r>
    </w:p>
    <w:p>
      <w:pPr>
        <w:pStyle w:val="TextBody"/>
        <w:bidi w:val="0"/>
        <w:spacing w:before="0" w:after="40"/>
        <w:ind w:left="0" w:right="0" w:hanging="0"/>
        <w:jc w:val="center"/>
        <w:rPr/>
      </w:pPr>
      <w:r>
        <w:rPr/>
        <w:t>​</w:t>
      </w:r>
    </w:p>
    <w:p>
      <w:pPr>
        <w:pStyle w:val="TextBody"/>
        <w:pBdr>
          <w:top w:val="single" w:sz="8" w:space="1" w:color="000000"/>
          <w:bottom w:val="single" w:sz="24" w:space="1" w:color="000000"/>
        </w:pBdr>
        <w:bidi w:val="0"/>
        <w:spacing w:before="0" w:after="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8613" w:type="dxa"/>
        <w:jc w:val="left"/>
        <w:tblInd w:w="0" w:type="dxa"/>
        <w:tblLayout w:type="fixed"/>
        <w:tblCellMar>
          <w:top w:w="0" w:type="dxa"/>
          <w:left w:w="0" w:type="dxa"/>
          <w:bottom w:w="0" w:type="dxa"/>
          <w:right w:w="0" w:type="dxa"/>
        </w:tblCellMar>
      </w:tblPr>
      <w:tblGrid>
        <w:gridCol w:w="541"/>
        <w:gridCol w:w="7441"/>
        <w:gridCol w:w="631"/>
      </w:tblGrid>
      <w:tr>
        <w:trPr/>
        <w:tc>
          <w:tcPr>
            <w:tcW w:w="54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7982" w:type="dxa"/>
            <w:gridSpan w:val="2"/>
            <w:tcBorders/>
            <w:vAlign w:val="center"/>
          </w:tcPr>
          <w:p>
            <w:pPr>
              <w:pStyle w:val="TableContents"/>
              <w:bidi w:val="0"/>
              <w:spacing w:before="0" w:after="0"/>
              <w:ind w:left="0" w:right="0" w:hanging="0"/>
              <w:jc w:val="right"/>
              <w:rPr/>
            </w:pPr>
            <w:r>
              <w:rPr/>
              <w:t>​</w:t>
            </w:r>
          </w:p>
        </w:tc>
        <w:tc>
          <w:tcPr>
            <w:tcW w:w="6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7982" w:type="dxa"/>
            <w:gridSpan w:val="2"/>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ARTICLE I.</w:t>
            </w:r>
          </w:p>
        </w:tc>
        <w:tc>
          <w:tcPr>
            <w:tcW w:w="631" w:type="dxa"/>
            <w:tcBorders>
              <w:top w:val="single" w:sz="2" w:space="0" w:color="000000"/>
            </w:tcBorders>
            <w:tcMar>
              <w:top w:w="28" w:type="dxa"/>
            </w:tcMar>
            <w:vAlign w:val="center"/>
          </w:tcPr>
          <w:p>
            <w:pPr>
              <w:pStyle w:val="TableContents"/>
              <w:bidi w:val="0"/>
              <w:spacing w:before="0" w:after="0"/>
              <w:ind w:left="0" w:right="0" w:hanging="0"/>
              <w:jc w:val="right"/>
              <w:rPr/>
            </w:pPr>
            <w:r>
              <w:rPr/>
              <w:t>​</w:t>
            </w:r>
          </w:p>
        </w:tc>
      </w:tr>
      <w:tr>
        <w:trPr/>
        <w:tc>
          <w:tcPr>
            <w:tcW w:w="7982" w:type="dxa"/>
            <w:gridSpan w:val="2"/>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DEFINITIONS AND ACCOUNTING TERMS</w:t>
            </w:r>
          </w:p>
        </w:tc>
        <w:tc>
          <w:tcPr>
            <w:tcW w:w="631" w:type="dxa"/>
            <w:tcBorders/>
            <w:vAlign w:val="center"/>
          </w:tcPr>
          <w:p>
            <w:pPr>
              <w:pStyle w:val="TableContents"/>
              <w:bidi w:val="0"/>
              <w:spacing w:before="0" w:after="0"/>
              <w:ind w:left="0" w:right="0" w:hanging="0"/>
              <w:jc w:val="right"/>
              <w:rPr/>
            </w:pPr>
            <w:r>
              <w:rPr/>
              <w:t>​</w:t>
            </w:r>
          </w:p>
        </w:tc>
      </w:tr>
      <w:tr>
        <w:trPr/>
        <w:tc>
          <w:tcPr>
            <w:tcW w:w="7982" w:type="dxa"/>
            <w:gridSpan w:val="2"/>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Defined Terms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1.02</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Other Interpretive Provisions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31</w:t>
            </w:r>
            <w:r>
              <w:rPr>
                <w:rFonts w:ascii="Times New Roman;Times;serif" w:hAnsi="Times New Roman;Times;serif"/>
                <w:color w:val="0000FF"/>
                <w:sz w:val="22"/>
                <w:u w:val="single"/>
              </w:rPr>
              <w:t>32</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1.03</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Accounting Terms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32</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1.04</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Exchange Rates; Currency Equivalents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33</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1.05</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Additional Alternative Currencies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33</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1.06</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Change of Currency</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34</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1.07</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Times of Day</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34</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1.08</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Letter of Credit Amounts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34</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1.09</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Rounding</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34</w:t>
            </w:r>
            <w:r>
              <w:rPr>
                <w:rFonts w:ascii="Times New Roman;Times;serif" w:hAnsi="Times New Roman;Times;serif"/>
                <w:color w:val="0000FF"/>
                <w:sz w:val="22"/>
                <w:u w:val="single"/>
              </w:rPr>
              <w:t>35</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1.10</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Interest Rates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35</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1.11</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Belgian Civil Code</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35</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1.12</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Amendment and Restatement; No Novation; Reallocations and Break Funding</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35</w:t>
            </w:r>
          </w:p>
        </w:tc>
      </w:tr>
      <w:tr>
        <w:trPr/>
        <w:tc>
          <w:tcPr>
            <w:tcW w:w="54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7982" w:type="dxa"/>
            <w:gridSpan w:val="2"/>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ARTICLE II.</w:t>
            </w:r>
          </w:p>
        </w:tc>
        <w:tc>
          <w:tcPr>
            <w:tcW w:w="631" w:type="dxa"/>
            <w:tcBorders/>
            <w:vAlign w:val="center"/>
          </w:tcPr>
          <w:p>
            <w:pPr>
              <w:pStyle w:val="TableContents"/>
              <w:bidi w:val="0"/>
              <w:spacing w:before="0" w:after="0"/>
              <w:ind w:left="0" w:right="0" w:hanging="0"/>
              <w:jc w:val="right"/>
              <w:rPr/>
            </w:pPr>
            <w:r>
              <w:rPr/>
              <w:t>​</w:t>
            </w:r>
          </w:p>
        </w:tc>
      </w:tr>
      <w:tr>
        <w:trPr/>
        <w:tc>
          <w:tcPr>
            <w:tcW w:w="7982" w:type="dxa"/>
            <w:gridSpan w:val="2"/>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THE COMMITMENTS AND CREDIT EXTENSIONS</w:t>
            </w:r>
          </w:p>
        </w:tc>
        <w:tc>
          <w:tcPr>
            <w:tcW w:w="631" w:type="dxa"/>
            <w:tcBorders/>
            <w:vAlign w:val="center"/>
          </w:tcPr>
          <w:p>
            <w:pPr>
              <w:pStyle w:val="TableContents"/>
              <w:bidi w:val="0"/>
              <w:spacing w:before="0" w:after="0"/>
              <w:ind w:left="0" w:right="0" w:hanging="0"/>
              <w:jc w:val="right"/>
              <w:rPr/>
            </w:pPr>
            <w:r>
              <w:rPr/>
              <w:t>​</w:t>
            </w:r>
          </w:p>
        </w:tc>
      </w:tr>
      <w:tr>
        <w:trPr/>
        <w:tc>
          <w:tcPr>
            <w:tcW w:w="7982" w:type="dxa"/>
            <w:gridSpan w:val="2"/>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2.01</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Committed Loans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36</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2.02</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Borrowings, Conversions and Continuations of Committed Loans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36</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2.03</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Letters of Credit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38</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2.04</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Swing Line Loans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47</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2.05</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Prepayments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50</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2.06</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Termination or Reduction of Commitments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51</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2.07</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Repayment of Loans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51</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2.08</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Interest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51</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2.09</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Fees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53</w:t>
            </w:r>
            <w:r>
              <w:rPr>
                <w:rFonts w:ascii="Times New Roman;Times;serif" w:hAnsi="Times New Roman;Times;serif"/>
                <w:color w:val="0000FF"/>
                <w:sz w:val="22"/>
                <w:u w:val="single"/>
              </w:rPr>
              <w:t>52</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2.10</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Computation of Interest and Fees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53</w:t>
            </w:r>
            <w:r>
              <w:rPr>
                <w:rFonts w:ascii="Times New Roman;Times;serif" w:hAnsi="Times New Roman;Times;serif"/>
                <w:color w:val="0000FF"/>
                <w:sz w:val="22"/>
                <w:u w:val="single"/>
              </w:rPr>
              <w:t>52</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2.11</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Evidence of Debt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53</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2.12</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Payments Generally; Administrative Agent’s Clawback</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54</w:t>
            </w:r>
            <w:r>
              <w:rPr>
                <w:rFonts w:ascii="Times New Roman;Times;serif" w:hAnsi="Times New Roman;Times;serif"/>
                <w:color w:val="0000FF"/>
                <w:sz w:val="22"/>
                <w:u w:val="single"/>
              </w:rPr>
              <w:t>53</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2.13</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Sharing of Payments by Lenders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56</w:t>
            </w:r>
            <w:r>
              <w:rPr>
                <w:rFonts w:ascii="Times New Roman;Times;serif" w:hAnsi="Times New Roman;Times;serif"/>
                <w:color w:val="0000FF"/>
                <w:sz w:val="22"/>
                <w:u w:val="single"/>
              </w:rPr>
              <w:t>55</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2.14</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Designated Borrowers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56</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2.15</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Optional Increase in Commitments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58</w:t>
            </w:r>
            <w:r>
              <w:rPr>
                <w:rFonts w:ascii="Times New Roman;Times;serif" w:hAnsi="Times New Roman;Times;serif"/>
                <w:color w:val="0000FF"/>
                <w:sz w:val="22"/>
                <w:u w:val="single"/>
              </w:rPr>
              <w:t>57</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2.16</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Cash Collateral</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59</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2.17</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Defaulting Lenders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60</w:t>
            </w:r>
          </w:p>
        </w:tc>
      </w:tr>
      <w:tr>
        <w:trPr/>
        <w:tc>
          <w:tcPr>
            <w:tcW w:w="54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7982" w:type="dxa"/>
            <w:gridSpan w:val="2"/>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ARTICLE III.</w:t>
            </w:r>
          </w:p>
        </w:tc>
        <w:tc>
          <w:tcPr>
            <w:tcW w:w="631" w:type="dxa"/>
            <w:tcBorders/>
            <w:vAlign w:val="center"/>
          </w:tcPr>
          <w:p>
            <w:pPr>
              <w:pStyle w:val="TableContents"/>
              <w:bidi w:val="0"/>
              <w:spacing w:before="0" w:after="0"/>
              <w:ind w:left="0" w:right="0" w:hanging="0"/>
              <w:jc w:val="right"/>
              <w:rPr/>
            </w:pPr>
            <w:r>
              <w:rPr/>
              <w:t>​</w:t>
            </w:r>
          </w:p>
        </w:tc>
      </w:tr>
      <w:tr>
        <w:trPr/>
        <w:tc>
          <w:tcPr>
            <w:tcW w:w="7982" w:type="dxa"/>
            <w:gridSpan w:val="2"/>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TAXES, YIELD PROTECTION AND ILLEGALITY</w:t>
            </w:r>
          </w:p>
        </w:tc>
        <w:tc>
          <w:tcPr>
            <w:tcW w:w="631" w:type="dxa"/>
            <w:tcBorders/>
            <w:vAlign w:val="center"/>
          </w:tcPr>
          <w:p>
            <w:pPr>
              <w:pStyle w:val="TableContents"/>
              <w:bidi w:val="0"/>
              <w:spacing w:before="0" w:after="0"/>
              <w:ind w:left="0" w:right="0" w:hanging="0"/>
              <w:jc w:val="right"/>
              <w:rPr/>
            </w:pPr>
            <w:r>
              <w:rPr/>
              <w:t>​</w:t>
            </w:r>
          </w:p>
        </w:tc>
      </w:tr>
      <w:tr>
        <w:trPr/>
        <w:tc>
          <w:tcPr>
            <w:tcW w:w="7982" w:type="dxa"/>
            <w:gridSpan w:val="2"/>
            <w:tcBorders/>
            <w:vAlign w:val="center"/>
          </w:tcPr>
          <w:p>
            <w:pPr>
              <w:pStyle w:val="TableContents"/>
              <w:bidi w:val="0"/>
              <w:spacing w:before="0" w:after="0"/>
              <w:ind w:left="0" w:right="0" w:hanging="0"/>
              <w:jc w:val="center"/>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3.01</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Taxes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62</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3.02</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Illegality</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67</w:t>
            </w:r>
            <w:r>
              <w:rPr>
                <w:rFonts w:ascii="Times New Roman;Times;serif" w:hAnsi="Times New Roman;Times;serif"/>
                <w:color w:val="0000FF"/>
                <w:sz w:val="22"/>
                <w:u w:val="single"/>
              </w:rPr>
              <w:t>66</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3.03</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Inability to Determine Rates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68</w:t>
            </w:r>
            <w:r>
              <w:rPr>
                <w:rFonts w:ascii="Times New Roman;Times;serif" w:hAnsi="Times New Roman;Times;serif"/>
                <w:color w:val="0000FF"/>
                <w:sz w:val="22"/>
                <w:u w:val="single"/>
              </w:rPr>
              <w:t>67</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3.04</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Increased Costs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71</w:t>
            </w:r>
            <w:r>
              <w:rPr>
                <w:rFonts w:ascii="Times New Roman;Times;serif" w:hAnsi="Times New Roman;Times;serif"/>
                <w:color w:val="0000FF"/>
                <w:sz w:val="22"/>
                <w:u w:val="single"/>
              </w:rPr>
              <w:t>70</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3.05</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Compensation for Losses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72</w:t>
            </w:r>
            <w:r>
              <w:rPr>
                <w:rFonts w:ascii="Times New Roman;Times;serif" w:hAnsi="Times New Roman;Times;serif"/>
                <w:color w:val="0000FF"/>
                <w:sz w:val="22"/>
                <w:u w:val="single"/>
              </w:rPr>
              <w:t>71</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3.06</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Mitigation Obligations; Replacement of Lenders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73</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3.07</w:t>
            </w:r>
          </w:p>
        </w:tc>
        <w:tc>
          <w:tcPr>
            <w:tcW w:w="74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Survival</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73</w:t>
            </w:r>
            <w:r>
              <w:rPr>
                <w:rFonts w:ascii="Times New Roman;Times;serif" w:hAnsi="Times New Roman;Times;serif"/>
                <w:color w:val="0000FF"/>
                <w:sz w:val="22"/>
                <w:u w:val="single"/>
              </w:rPr>
              <w:t>75</w:t>
            </w:r>
          </w:p>
        </w:tc>
      </w:tr>
      <w:tr>
        <w:trPr/>
        <w:tc>
          <w:tcPr>
            <w:tcW w:w="541"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7203" w:type="dxa"/>
        <w:jc w:val="left"/>
        <w:tblInd w:w="0" w:type="dxa"/>
        <w:tblLayout w:type="fixed"/>
        <w:tblCellMar>
          <w:top w:w="0" w:type="dxa"/>
          <w:left w:w="0" w:type="dxa"/>
          <w:bottom w:w="0" w:type="dxa"/>
          <w:right w:w="0" w:type="dxa"/>
        </w:tblCellMar>
      </w:tblPr>
      <w:tblGrid>
        <w:gridCol w:w="541"/>
        <w:gridCol w:w="6031"/>
        <w:gridCol w:w="631"/>
      </w:tblGrid>
      <w:tr>
        <w:trPr/>
        <w:tc>
          <w:tcPr>
            <w:tcW w:w="541" w:type="dxa"/>
            <w:tcBorders/>
            <w:vAlign w:val="center"/>
          </w:tcPr>
          <w:p>
            <w:pPr>
              <w:pStyle w:val="TableContents"/>
              <w:bidi w:val="0"/>
              <w:spacing w:before="0" w:after="0"/>
              <w:ind w:left="0" w:right="0" w:hanging="0"/>
              <w:jc w:val="left"/>
              <w:rPr/>
            </w:pPr>
            <w:r>
              <w:rPr/>
              <w:t>​</w:t>
            </w:r>
          </w:p>
        </w:tc>
        <w:tc>
          <w:tcPr>
            <w:tcW w:w="60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r>
      <w:tr>
        <w:trPr/>
        <w:tc>
          <w:tcPr>
            <w:tcW w:w="6572" w:type="dxa"/>
            <w:gridSpan w:val="2"/>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ARTICLE IV.</w:t>
            </w:r>
          </w:p>
        </w:tc>
        <w:tc>
          <w:tcPr>
            <w:tcW w:w="631" w:type="dxa"/>
            <w:tcBorders/>
            <w:vAlign w:val="center"/>
          </w:tcPr>
          <w:p>
            <w:pPr>
              <w:pStyle w:val="TableContents"/>
              <w:bidi w:val="0"/>
              <w:spacing w:before="0" w:after="0"/>
              <w:ind w:left="0" w:right="0" w:hanging="0"/>
              <w:jc w:val="right"/>
              <w:rPr/>
            </w:pPr>
            <w:r>
              <w:rPr/>
              <w:t>​</w:t>
            </w:r>
          </w:p>
        </w:tc>
      </w:tr>
      <w:tr>
        <w:trPr/>
        <w:tc>
          <w:tcPr>
            <w:tcW w:w="6572" w:type="dxa"/>
            <w:gridSpan w:val="2"/>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CONDITIONS PRECEDENT TO CREDIT EXTENSIONS</w:t>
            </w:r>
          </w:p>
        </w:tc>
        <w:tc>
          <w:tcPr>
            <w:tcW w:w="63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left"/>
              <w:rPr/>
            </w:pPr>
            <w:r>
              <w:rPr/>
              <w:t>​</w:t>
            </w:r>
          </w:p>
        </w:tc>
        <w:tc>
          <w:tcPr>
            <w:tcW w:w="60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4.01</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Conditions of Initial Credit Extension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73</w:t>
            </w:r>
            <w:r>
              <w:rPr>
                <w:rFonts w:ascii="Times New Roman;Times;serif" w:hAnsi="Times New Roman;Times;serif"/>
                <w:color w:val="0000FF"/>
                <w:sz w:val="22"/>
                <w:u w:val="single"/>
              </w:rPr>
              <w:t>75</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4.02</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Conditions to all Credit Extensions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75</w:t>
            </w:r>
            <w:r>
              <w:rPr>
                <w:rFonts w:ascii="Times New Roman;Times;serif" w:hAnsi="Times New Roman;Times;serif"/>
                <w:color w:val="0000FF"/>
                <w:sz w:val="22"/>
                <w:u w:val="single"/>
              </w:rPr>
              <w:t>77</w:t>
            </w:r>
          </w:p>
        </w:tc>
      </w:tr>
      <w:tr>
        <w:trPr/>
        <w:tc>
          <w:tcPr>
            <w:tcW w:w="541" w:type="dxa"/>
            <w:tcBorders/>
            <w:vAlign w:val="center"/>
          </w:tcPr>
          <w:p>
            <w:pPr>
              <w:pStyle w:val="TableContents"/>
              <w:bidi w:val="0"/>
              <w:spacing w:before="0" w:after="0"/>
              <w:ind w:left="0" w:right="0" w:hanging="0"/>
              <w:jc w:val="left"/>
              <w:rPr/>
            </w:pPr>
            <w:r>
              <w:rPr/>
              <w:t>​</w:t>
            </w:r>
          </w:p>
        </w:tc>
        <w:tc>
          <w:tcPr>
            <w:tcW w:w="60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color w:val="FF0000"/>
              </w:rPr>
            </w:pPr>
            <w:r>
              <w:rPr>
                <w:color w:val="FF0000"/>
              </w:rPr>
              <w:t>​</w:t>
            </w:r>
          </w:p>
        </w:tc>
      </w:tr>
      <w:tr>
        <w:trPr/>
        <w:tc>
          <w:tcPr>
            <w:tcW w:w="6572" w:type="dxa"/>
            <w:gridSpan w:val="2"/>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 xml:space="preserve">ARTICLE V. </w:t>
            </w:r>
          </w:p>
        </w:tc>
        <w:tc>
          <w:tcPr>
            <w:tcW w:w="631" w:type="dxa"/>
            <w:tcBorders/>
            <w:vAlign w:val="center"/>
          </w:tcPr>
          <w:p>
            <w:pPr>
              <w:pStyle w:val="TableContents"/>
              <w:bidi w:val="0"/>
              <w:spacing w:before="0" w:after="0"/>
              <w:ind w:left="0" w:right="0" w:hanging="0"/>
              <w:jc w:val="right"/>
              <w:rPr/>
            </w:pPr>
            <w:r>
              <w:rPr/>
              <w:t>​</w:t>
            </w:r>
          </w:p>
        </w:tc>
      </w:tr>
      <w:tr>
        <w:trPr/>
        <w:tc>
          <w:tcPr>
            <w:tcW w:w="6572" w:type="dxa"/>
            <w:gridSpan w:val="2"/>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REPRESENTATIONS AND WARRANTIES</w:t>
            </w:r>
          </w:p>
        </w:tc>
        <w:tc>
          <w:tcPr>
            <w:tcW w:w="63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left"/>
              <w:rPr/>
            </w:pPr>
            <w:r>
              <w:rPr/>
              <w:t>​</w:t>
            </w:r>
          </w:p>
        </w:tc>
        <w:tc>
          <w:tcPr>
            <w:tcW w:w="60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5.01</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Existence, Qualification and Power; Compliance with Laws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76</w:t>
            </w:r>
            <w:r>
              <w:rPr>
                <w:rFonts w:ascii="Times New Roman;Times;serif" w:hAnsi="Times New Roman;Times;serif"/>
                <w:color w:val="0000FF"/>
                <w:sz w:val="22"/>
                <w:u w:val="single"/>
              </w:rPr>
              <w:t>78</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5.02</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Authorization; No Contravention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76</w:t>
            </w:r>
            <w:r>
              <w:rPr>
                <w:rFonts w:ascii="Times New Roman;Times;serif" w:hAnsi="Times New Roman;Times;serif"/>
                <w:color w:val="0000FF"/>
                <w:sz w:val="22"/>
                <w:u w:val="single"/>
              </w:rPr>
              <w:t>78</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5.03</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Governmental Authorization; Other Consents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76</w:t>
            </w:r>
            <w:r>
              <w:rPr>
                <w:rFonts w:ascii="Times New Roman;Times;serif" w:hAnsi="Times New Roman;Times;serif"/>
                <w:color w:val="0000FF"/>
                <w:sz w:val="22"/>
                <w:u w:val="single"/>
              </w:rPr>
              <w:t>78</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5.04</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Binding Effect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77</w:t>
            </w:r>
            <w:r>
              <w:rPr>
                <w:rFonts w:ascii="Times New Roman;Times;serif" w:hAnsi="Times New Roman;Times;serif"/>
                <w:color w:val="0000FF"/>
                <w:sz w:val="22"/>
                <w:u w:val="single"/>
              </w:rPr>
              <w:t>78</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5.05</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Financial Statements; No Material Adverse Effect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77</w:t>
            </w:r>
            <w:r>
              <w:rPr>
                <w:rFonts w:ascii="Times New Roman;Times;serif" w:hAnsi="Times New Roman;Times;serif"/>
                <w:color w:val="0000FF"/>
                <w:sz w:val="22"/>
                <w:u w:val="single"/>
              </w:rPr>
              <w:t>79</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5.06</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Litigation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77</w:t>
            </w:r>
            <w:r>
              <w:rPr>
                <w:rFonts w:ascii="Times New Roman;Times;serif" w:hAnsi="Times New Roman;Times;serif"/>
                <w:color w:val="0000FF"/>
                <w:sz w:val="22"/>
                <w:u w:val="single"/>
              </w:rPr>
              <w:t>79</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5.07</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 Default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77</w:t>
            </w:r>
            <w:r>
              <w:rPr>
                <w:rFonts w:ascii="Times New Roman;Times;serif" w:hAnsi="Times New Roman;Times;serif"/>
                <w:color w:val="0000FF"/>
                <w:sz w:val="22"/>
                <w:u w:val="single"/>
              </w:rPr>
              <w:t>79</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5.08</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Ownership of Property; Liens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77</w:t>
            </w:r>
            <w:r>
              <w:rPr>
                <w:rFonts w:ascii="Times New Roman;Times;serif" w:hAnsi="Times New Roman;Times;serif"/>
                <w:color w:val="0000FF"/>
                <w:sz w:val="22"/>
                <w:u w:val="single"/>
              </w:rPr>
              <w:t>79</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5.09</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Environmental Compliance</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78</w:t>
            </w:r>
            <w:r>
              <w:rPr>
                <w:rFonts w:ascii="Times New Roman;Times;serif" w:hAnsi="Times New Roman;Times;serif"/>
                <w:color w:val="0000FF"/>
                <w:sz w:val="22"/>
                <w:u w:val="single"/>
              </w:rPr>
              <w:t>79</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5.10</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Taxes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78</w:t>
            </w:r>
            <w:r>
              <w:rPr>
                <w:rFonts w:ascii="Times New Roman;Times;serif" w:hAnsi="Times New Roman;Times;serif"/>
                <w:color w:val="0000FF"/>
                <w:sz w:val="22"/>
                <w:u w:val="single"/>
              </w:rPr>
              <w:t>79</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5.11</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ERISA Compliance</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78</w:t>
            </w:r>
            <w:r>
              <w:rPr>
                <w:rFonts w:ascii="Times New Roman;Times;serif" w:hAnsi="Times New Roman;Times;serif"/>
                <w:color w:val="0000FF"/>
                <w:sz w:val="22"/>
                <w:u w:val="single"/>
              </w:rPr>
              <w:t>80</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5.12</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Subsidiaries; Equity Interests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79</w:t>
            </w:r>
            <w:r>
              <w:rPr>
                <w:rFonts w:ascii="Times New Roman;Times;serif" w:hAnsi="Times New Roman;Times;serif"/>
                <w:color w:val="0000FF"/>
                <w:sz w:val="22"/>
                <w:u w:val="single"/>
              </w:rPr>
              <w:t>80</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5.13</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Margin Regulations; Investment Company Act</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79</w:t>
            </w:r>
            <w:r>
              <w:rPr>
                <w:rFonts w:ascii="Times New Roman;Times;serif" w:hAnsi="Times New Roman;Times;serif"/>
                <w:color w:val="0000FF"/>
                <w:sz w:val="22"/>
                <w:u w:val="single"/>
              </w:rPr>
              <w:t>81</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5.14</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Disclosure</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79</w:t>
            </w:r>
            <w:r>
              <w:rPr>
                <w:rFonts w:ascii="Times New Roman;Times;serif" w:hAnsi="Times New Roman;Times;serif"/>
                <w:color w:val="0000FF"/>
                <w:sz w:val="22"/>
                <w:u w:val="single"/>
              </w:rPr>
              <w:t>81</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5.15</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Compliance with Laws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79</w:t>
            </w:r>
            <w:r>
              <w:rPr>
                <w:rFonts w:ascii="Times New Roman;Times;serif" w:hAnsi="Times New Roman;Times;serif"/>
                <w:color w:val="0000FF"/>
                <w:sz w:val="22"/>
                <w:u w:val="single"/>
              </w:rPr>
              <w:t>81</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5.16</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Intellectual Property; Licenses, Etc</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79</w:t>
            </w:r>
            <w:r>
              <w:rPr>
                <w:rFonts w:ascii="Times New Roman;Times;serif" w:hAnsi="Times New Roman;Times;serif"/>
                <w:color w:val="0000FF"/>
                <w:sz w:val="22"/>
                <w:u w:val="single"/>
              </w:rPr>
              <w:t>81</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5.17</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Solvency</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79</w:t>
            </w:r>
            <w:r>
              <w:rPr>
                <w:rFonts w:ascii="Times New Roman;Times;serif" w:hAnsi="Times New Roman;Times;serif"/>
                <w:color w:val="0000FF"/>
                <w:sz w:val="22"/>
                <w:u w:val="single"/>
              </w:rPr>
              <w:t>81</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5.18</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Taxpayer Identification Number; Other Identifying Information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80</w:t>
            </w:r>
            <w:r>
              <w:rPr>
                <w:rFonts w:ascii="Times New Roman;Times;serif" w:hAnsi="Times New Roman;Times;serif"/>
                <w:color w:val="0000FF"/>
                <w:sz w:val="22"/>
                <w:u w:val="single"/>
              </w:rPr>
              <w:t>81</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5.19</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Representations as to Foreign Obligors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80</w:t>
            </w:r>
            <w:r>
              <w:rPr>
                <w:rFonts w:ascii="Times New Roman;Times;serif" w:hAnsi="Times New Roman;Times;serif"/>
                <w:color w:val="0000FF"/>
                <w:sz w:val="22"/>
                <w:u w:val="single"/>
              </w:rPr>
              <w:t>81</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5.20</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OFAC</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80</w:t>
            </w:r>
            <w:r>
              <w:rPr>
                <w:rFonts w:ascii="Times New Roman;Times;serif" w:hAnsi="Times New Roman;Times;serif"/>
                <w:color w:val="0000FF"/>
                <w:sz w:val="22"/>
                <w:u w:val="single"/>
              </w:rPr>
              <w:t>82</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5.21</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Anti-Corruption Laws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81</w:t>
            </w:r>
            <w:r>
              <w:rPr>
                <w:rFonts w:ascii="Times New Roman;Times;serif" w:hAnsi="Times New Roman;Times;serif"/>
                <w:color w:val="0000FF"/>
                <w:sz w:val="22"/>
                <w:u w:val="single"/>
              </w:rPr>
              <w:t>82</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5.22</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Affected Financial Institutions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81</w:t>
            </w:r>
            <w:r>
              <w:rPr>
                <w:rFonts w:ascii="Times New Roman;Times;serif" w:hAnsi="Times New Roman;Times;serif"/>
                <w:color w:val="0000FF"/>
                <w:sz w:val="22"/>
                <w:u w:val="single"/>
              </w:rPr>
              <w:t>83</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5.23</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Certificate of Beneficial Ownership</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81</w:t>
            </w:r>
            <w:r>
              <w:rPr>
                <w:rFonts w:ascii="Times New Roman;Times;serif" w:hAnsi="Times New Roman;Times;serif"/>
                <w:color w:val="0000FF"/>
                <w:sz w:val="22"/>
                <w:u w:val="single"/>
              </w:rPr>
              <w:t>83</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5.24</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Covered Entities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81</w:t>
            </w:r>
            <w:r>
              <w:rPr>
                <w:rFonts w:ascii="Times New Roman;Times;serif" w:hAnsi="Times New Roman;Times;serif"/>
                <w:color w:val="0000FF"/>
                <w:sz w:val="22"/>
                <w:u w:val="single"/>
              </w:rPr>
              <w:t>83</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color w:val="0000FF"/>
                <w:sz w:val="22"/>
              </w:rPr>
            </w:pPr>
            <w:r>
              <w:rPr>
                <w:rFonts w:ascii="Times New Roman;Times;serif" w:hAnsi="Times New Roman;Times;serif"/>
                <w:color w:val="0000FF"/>
                <w:sz w:val="22"/>
              </w:rPr>
              <w:t>5.25</w:t>
            </w:r>
          </w:p>
        </w:tc>
        <w:tc>
          <w:tcPr>
            <w:tcW w:w="6031" w:type="dxa"/>
            <w:tcBorders/>
            <w:vAlign w:val="center"/>
          </w:tcPr>
          <w:p>
            <w:pPr>
              <w:pStyle w:val="TableContents"/>
              <w:bidi w:val="0"/>
              <w:spacing w:before="0" w:after="0"/>
              <w:ind w:left="0" w:right="0" w:hanging="0"/>
              <w:jc w:val="left"/>
              <w:rPr>
                <w:rFonts w:ascii="Times New Roman;Times;serif" w:hAnsi="Times New Roman;Times;serif"/>
                <w:color w:val="0000FF"/>
                <w:sz w:val="22"/>
                <w:u w:val="single"/>
              </w:rPr>
            </w:pPr>
            <w:r>
              <w:rPr>
                <w:rFonts w:ascii="Times New Roman;Times;serif" w:hAnsi="Times New Roman;Times;serif"/>
                <w:color w:val="0000FF"/>
                <w:sz w:val="22"/>
                <w:u w:val="single"/>
              </w:rPr>
              <w:t>CRD VI.</w:t>
            </w:r>
          </w:p>
        </w:tc>
        <w:tc>
          <w:tcPr>
            <w:tcW w:w="631" w:type="dxa"/>
            <w:tcBorders/>
            <w:vAlign w:val="center"/>
          </w:tcPr>
          <w:p>
            <w:pPr>
              <w:pStyle w:val="TableContents"/>
              <w:bidi w:val="0"/>
              <w:spacing w:before="0" w:after="0"/>
              <w:ind w:left="0" w:right="0" w:hanging="0"/>
              <w:jc w:val="right"/>
              <w:rPr>
                <w:rFonts w:ascii="Times New Roman;Times;serif" w:hAnsi="Times New Roman;Times;serif"/>
                <w:color w:val="0000FF"/>
                <w:sz w:val="22"/>
                <w:u w:val="single"/>
              </w:rPr>
            </w:pPr>
            <w:r>
              <w:rPr>
                <w:rFonts w:ascii="Times New Roman;Times;serif" w:hAnsi="Times New Roman;Times;serif"/>
                <w:color w:val="0000FF"/>
                <w:sz w:val="22"/>
                <w:u w:val="single"/>
              </w:rPr>
              <w:t>83</w:t>
            </w:r>
          </w:p>
        </w:tc>
      </w:tr>
      <w:tr>
        <w:trPr/>
        <w:tc>
          <w:tcPr>
            <w:tcW w:w="541" w:type="dxa"/>
            <w:tcBorders/>
            <w:vAlign w:val="center"/>
          </w:tcPr>
          <w:p>
            <w:pPr>
              <w:pStyle w:val="TableContents"/>
              <w:bidi w:val="0"/>
              <w:spacing w:before="0" w:after="0"/>
              <w:ind w:left="0" w:right="0" w:hanging="0"/>
              <w:jc w:val="left"/>
              <w:rPr/>
            </w:pPr>
            <w:r>
              <w:rPr/>
              <w:t>​</w:t>
            </w:r>
          </w:p>
        </w:tc>
        <w:tc>
          <w:tcPr>
            <w:tcW w:w="60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color w:val="0000FF"/>
              </w:rPr>
            </w:pPr>
            <w:r>
              <w:rPr>
                <w:color w:val="0000FF"/>
              </w:rPr>
              <w:t>​</w:t>
            </w:r>
          </w:p>
        </w:tc>
      </w:tr>
      <w:tr>
        <w:trPr/>
        <w:tc>
          <w:tcPr>
            <w:tcW w:w="6572" w:type="dxa"/>
            <w:gridSpan w:val="2"/>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 xml:space="preserve">ARTICLE VI. </w:t>
            </w:r>
          </w:p>
        </w:tc>
        <w:tc>
          <w:tcPr>
            <w:tcW w:w="631" w:type="dxa"/>
            <w:tcBorders/>
            <w:vAlign w:val="center"/>
          </w:tcPr>
          <w:p>
            <w:pPr>
              <w:pStyle w:val="TableContents"/>
              <w:bidi w:val="0"/>
              <w:spacing w:before="0" w:after="0"/>
              <w:ind w:left="0" w:right="0" w:hanging="0"/>
              <w:jc w:val="right"/>
              <w:rPr/>
            </w:pPr>
            <w:r>
              <w:rPr/>
              <w:t>​</w:t>
            </w:r>
          </w:p>
        </w:tc>
      </w:tr>
      <w:tr>
        <w:trPr/>
        <w:tc>
          <w:tcPr>
            <w:tcW w:w="6572" w:type="dxa"/>
            <w:gridSpan w:val="2"/>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AFFIRMATIVE COVENANTS</w:t>
            </w:r>
          </w:p>
        </w:tc>
        <w:tc>
          <w:tcPr>
            <w:tcW w:w="63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left"/>
              <w:rPr/>
            </w:pPr>
            <w:r>
              <w:rPr/>
              <w:t>​</w:t>
            </w:r>
          </w:p>
        </w:tc>
        <w:tc>
          <w:tcPr>
            <w:tcW w:w="603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6.01</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Financial Statements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81</w:t>
            </w:r>
            <w:r>
              <w:rPr>
                <w:rFonts w:ascii="Times New Roman;Times;serif" w:hAnsi="Times New Roman;Times;serif"/>
                <w:color w:val="0000FF"/>
                <w:sz w:val="22"/>
                <w:u w:val="single"/>
              </w:rPr>
              <w:t>83</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6.02</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Certificates; Other Information</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82</w:t>
            </w:r>
            <w:r>
              <w:rPr>
                <w:rFonts w:ascii="Times New Roman;Times;serif" w:hAnsi="Times New Roman;Times;serif"/>
                <w:color w:val="0000FF"/>
                <w:sz w:val="22"/>
                <w:u w:val="single"/>
              </w:rPr>
              <w:t>84</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6.03</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Notices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83</w:t>
            </w:r>
            <w:r>
              <w:rPr>
                <w:rFonts w:ascii="Times New Roman;Times;serif" w:hAnsi="Times New Roman;Times;serif"/>
                <w:color w:val="0000FF"/>
                <w:sz w:val="22"/>
                <w:u w:val="single"/>
              </w:rPr>
              <w:t>85</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6.04</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Payment of Obligations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84</w:t>
            </w:r>
            <w:r>
              <w:rPr>
                <w:rFonts w:ascii="Times New Roman;Times;serif" w:hAnsi="Times New Roman;Times;serif"/>
                <w:color w:val="0000FF"/>
                <w:sz w:val="22"/>
                <w:u w:val="single"/>
              </w:rPr>
              <w:t>86</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6.05</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Preservation of Existence, Etc</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84</w:t>
            </w:r>
            <w:r>
              <w:rPr>
                <w:rFonts w:ascii="Times New Roman;Times;serif" w:hAnsi="Times New Roman;Times;serif"/>
                <w:color w:val="0000FF"/>
                <w:sz w:val="22"/>
                <w:u w:val="single"/>
              </w:rPr>
              <w:t>86</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6.06</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Maintenance of Properties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84</w:t>
            </w:r>
            <w:r>
              <w:rPr>
                <w:rFonts w:ascii="Times New Roman;Times;serif" w:hAnsi="Times New Roman;Times;serif"/>
                <w:color w:val="0000FF"/>
                <w:sz w:val="22"/>
                <w:u w:val="single"/>
              </w:rPr>
              <w:t>86</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6.07</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Maintenance of Insurance</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84</w:t>
            </w:r>
            <w:r>
              <w:rPr>
                <w:rFonts w:ascii="Times New Roman;Times;serif" w:hAnsi="Times New Roman;Times;serif"/>
                <w:color w:val="0000FF"/>
                <w:sz w:val="22"/>
                <w:u w:val="single"/>
              </w:rPr>
              <w:t>86</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6.08</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Compliance with Laws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85</w:t>
            </w:r>
            <w:r>
              <w:rPr>
                <w:rFonts w:ascii="Times New Roman;Times;serif" w:hAnsi="Times New Roman;Times;serif"/>
                <w:color w:val="0000FF"/>
                <w:sz w:val="22"/>
                <w:u w:val="single"/>
              </w:rPr>
              <w:t>86</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6.09</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Books and Records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85</w:t>
            </w:r>
            <w:r>
              <w:rPr>
                <w:rFonts w:ascii="Times New Roman;Times;serif" w:hAnsi="Times New Roman;Times;serif"/>
                <w:color w:val="0000FF"/>
                <w:sz w:val="22"/>
                <w:u w:val="single"/>
              </w:rPr>
              <w:t>87</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6.10</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Inspection Rights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85</w:t>
            </w:r>
            <w:r>
              <w:rPr>
                <w:rFonts w:ascii="Times New Roman;Times;serif" w:hAnsi="Times New Roman;Times;serif"/>
                <w:color w:val="0000FF"/>
                <w:sz w:val="22"/>
                <w:u w:val="single"/>
              </w:rPr>
              <w:t>87</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6.11</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Approvals and Authorizations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85</w:t>
            </w:r>
            <w:r>
              <w:rPr>
                <w:rFonts w:ascii="Times New Roman;Times;serif" w:hAnsi="Times New Roman;Times;serif"/>
                <w:color w:val="0000FF"/>
                <w:sz w:val="22"/>
                <w:u w:val="single"/>
              </w:rPr>
              <w:t>87</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6.12</w:t>
            </w:r>
          </w:p>
        </w:tc>
        <w:tc>
          <w:tcPr>
            <w:tcW w:w="603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Anti-Corruption and Anti-Terrorism Laws</w:t>
            </w:r>
          </w:p>
        </w:tc>
        <w:tc>
          <w:tcPr>
            <w:tcW w:w="6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85</w:t>
            </w:r>
            <w:r>
              <w:rPr>
                <w:rFonts w:ascii="Times New Roman;Times;serif" w:hAnsi="Times New Roman;Times;serif"/>
                <w:color w:val="0000FF"/>
                <w:sz w:val="22"/>
                <w:u w:val="single"/>
              </w:rPr>
              <w:t>87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8493" w:type="dxa"/>
        <w:jc w:val="left"/>
        <w:tblInd w:w="0" w:type="dxa"/>
        <w:tblLayout w:type="fixed"/>
        <w:tblCellMar>
          <w:top w:w="0" w:type="dxa"/>
          <w:left w:w="0" w:type="dxa"/>
          <w:bottom w:w="0" w:type="dxa"/>
          <w:right w:w="0" w:type="dxa"/>
        </w:tblCellMar>
      </w:tblPr>
      <w:tblGrid>
        <w:gridCol w:w="661"/>
        <w:gridCol w:w="6961"/>
        <w:gridCol w:w="871"/>
      </w:tblGrid>
      <w:tr>
        <w:trPr/>
        <w:tc>
          <w:tcPr>
            <w:tcW w:w="661" w:type="dxa"/>
            <w:tcBorders/>
            <w:vAlign w:val="center"/>
          </w:tcPr>
          <w:p>
            <w:pPr>
              <w:pStyle w:val="TableContents"/>
              <w:bidi w:val="0"/>
              <w:spacing w:before="0" w:after="0"/>
              <w:ind w:left="0" w:right="0" w:hanging="0"/>
              <w:jc w:val="left"/>
              <w:rPr/>
            </w:pPr>
            <w:r>
              <w:rPr/>
              <w:t>​</w:t>
            </w:r>
          </w:p>
        </w:tc>
        <w:tc>
          <w:tcPr>
            <w:tcW w:w="696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6.13</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Certificate of Beneficial Ownership and Other Additional Information</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85</w:t>
            </w:r>
            <w:r>
              <w:rPr>
                <w:rFonts w:ascii="Times New Roman;Times;serif" w:hAnsi="Times New Roman;Times;serif"/>
                <w:color w:val="0000FF"/>
                <w:sz w:val="22"/>
                <w:u w:val="single"/>
              </w:rPr>
              <w:t>87</w:t>
            </w:r>
          </w:p>
        </w:tc>
      </w:tr>
      <w:tr>
        <w:trPr/>
        <w:tc>
          <w:tcPr>
            <w:tcW w:w="661" w:type="dxa"/>
            <w:tcBorders/>
            <w:vAlign w:val="center"/>
          </w:tcPr>
          <w:p>
            <w:pPr>
              <w:pStyle w:val="TableContents"/>
              <w:bidi w:val="0"/>
              <w:spacing w:before="0" w:after="0"/>
              <w:ind w:left="0" w:right="0" w:hanging="0"/>
              <w:jc w:val="left"/>
              <w:rPr/>
            </w:pPr>
            <w:r>
              <w:rPr/>
              <w:t>​</w:t>
            </w:r>
          </w:p>
        </w:tc>
        <w:tc>
          <w:tcPr>
            <w:tcW w:w="696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color w:val="FF0000"/>
              </w:rPr>
            </w:pPr>
            <w:r>
              <w:rPr>
                <w:color w:val="FF0000"/>
              </w:rPr>
              <w:t>​</w:t>
            </w:r>
          </w:p>
        </w:tc>
      </w:tr>
      <w:tr>
        <w:trPr/>
        <w:tc>
          <w:tcPr>
            <w:tcW w:w="7622" w:type="dxa"/>
            <w:gridSpan w:val="2"/>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 xml:space="preserve">ARTICLE VII. </w:t>
            </w:r>
          </w:p>
        </w:tc>
        <w:tc>
          <w:tcPr>
            <w:tcW w:w="871" w:type="dxa"/>
            <w:tcBorders/>
            <w:vAlign w:val="center"/>
          </w:tcPr>
          <w:p>
            <w:pPr>
              <w:pStyle w:val="TableContents"/>
              <w:bidi w:val="0"/>
              <w:spacing w:before="0" w:after="0"/>
              <w:ind w:left="0" w:right="0" w:hanging="0"/>
              <w:jc w:val="right"/>
              <w:rPr/>
            </w:pPr>
            <w:r>
              <w:rPr/>
              <w:t>​</w:t>
            </w:r>
          </w:p>
        </w:tc>
      </w:tr>
      <w:tr>
        <w:trPr/>
        <w:tc>
          <w:tcPr>
            <w:tcW w:w="7622" w:type="dxa"/>
            <w:gridSpan w:val="2"/>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NEGATIVE COVENANTS</w:t>
            </w:r>
          </w:p>
        </w:tc>
        <w:tc>
          <w:tcPr>
            <w:tcW w:w="871" w:type="dxa"/>
            <w:tcBorders/>
            <w:vAlign w:val="center"/>
          </w:tcPr>
          <w:p>
            <w:pPr>
              <w:pStyle w:val="TableContents"/>
              <w:bidi w:val="0"/>
              <w:spacing w:before="0" w:after="0"/>
              <w:ind w:left="0" w:right="0" w:hanging="0"/>
              <w:jc w:val="right"/>
              <w:rPr/>
            </w:pPr>
            <w:r>
              <w:rPr/>
              <w:t>​</w:t>
            </w:r>
          </w:p>
        </w:tc>
      </w:tr>
      <w:tr>
        <w:trPr/>
        <w:tc>
          <w:tcPr>
            <w:tcW w:w="661" w:type="dxa"/>
            <w:tcBorders/>
            <w:vAlign w:val="center"/>
          </w:tcPr>
          <w:p>
            <w:pPr>
              <w:pStyle w:val="TableContents"/>
              <w:bidi w:val="0"/>
              <w:spacing w:before="0" w:after="0"/>
              <w:ind w:left="0" w:right="0" w:hanging="0"/>
              <w:jc w:val="left"/>
              <w:rPr/>
            </w:pPr>
            <w:r>
              <w:rPr/>
              <w:t>​</w:t>
            </w:r>
          </w:p>
        </w:tc>
        <w:tc>
          <w:tcPr>
            <w:tcW w:w="696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7.01</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Liens</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85</w:t>
            </w:r>
            <w:r>
              <w:rPr>
                <w:rFonts w:ascii="Times New Roman;Times;serif" w:hAnsi="Times New Roman;Times;serif"/>
                <w:color w:val="0000FF"/>
                <w:sz w:val="22"/>
                <w:u w:val="single"/>
              </w:rPr>
              <w:t>87</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7.02</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[Reserved]</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87</w:t>
            </w:r>
            <w:r>
              <w:rPr>
                <w:rFonts w:ascii="Times New Roman;Times;serif" w:hAnsi="Times New Roman;Times;serif"/>
                <w:color w:val="0000FF"/>
                <w:sz w:val="22"/>
                <w:u w:val="single"/>
              </w:rPr>
              <w:t>89</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7.03</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Indebtedness</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87</w:t>
            </w:r>
            <w:r>
              <w:rPr>
                <w:rFonts w:ascii="Times New Roman;Times;serif" w:hAnsi="Times New Roman;Times;serif"/>
                <w:color w:val="0000FF"/>
                <w:sz w:val="22"/>
                <w:u w:val="single"/>
              </w:rPr>
              <w:t>89</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7.04</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Fundamental Changes</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88</w:t>
            </w:r>
            <w:r>
              <w:rPr>
                <w:rFonts w:ascii="Times New Roman;Times;serif" w:hAnsi="Times New Roman;Times;serif"/>
                <w:color w:val="0000FF"/>
                <w:sz w:val="22"/>
                <w:u w:val="single"/>
              </w:rPr>
              <w:t>90</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7.06</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Change in Nature of Business</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89</w:t>
            </w:r>
            <w:r>
              <w:rPr>
                <w:rFonts w:ascii="Times New Roman;Times;serif" w:hAnsi="Times New Roman;Times;serif"/>
                <w:color w:val="0000FF"/>
                <w:sz w:val="22"/>
                <w:u w:val="single"/>
              </w:rPr>
              <w:t>91</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7.07</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Transactions with Affiliates</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89</w:t>
            </w:r>
            <w:r>
              <w:rPr>
                <w:rFonts w:ascii="Times New Roman;Times;serif" w:hAnsi="Times New Roman;Times;serif"/>
                <w:color w:val="0000FF"/>
                <w:sz w:val="22"/>
                <w:u w:val="single"/>
              </w:rPr>
              <w:t>91</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7.08</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Limitation on Restrictions Affecting the Company or any Subsidiary</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89</w:t>
            </w:r>
            <w:r>
              <w:rPr>
                <w:rFonts w:ascii="Times New Roman;Times;serif" w:hAnsi="Times New Roman;Times;serif"/>
                <w:color w:val="0000FF"/>
                <w:sz w:val="22"/>
                <w:u w:val="single"/>
              </w:rPr>
              <w:t>91</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7.09</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Use of Proceeds</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90</w:t>
            </w:r>
            <w:r>
              <w:rPr>
                <w:rFonts w:ascii="Times New Roman;Times;serif" w:hAnsi="Times New Roman;Times;serif"/>
                <w:color w:val="0000FF"/>
                <w:sz w:val="22"/>
                <w:u w:val="single"/>
              </w:rPr>
              <w:t>92</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7.10</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Financial Covenant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90</w:t>
            </w:r>
            <w:r>
              <w:rPr>
                <w:rFonts w:ascii="Times New Roman;Times;serif" w:hAnsi="Times New Roman;Times;serif"/>
                <w:color w:val="0000FF"/>
                <w:sz w:val="22"/>
                <w:u w:val="single"/>
              </w:rPr>
              <w:t>92</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7.11</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Sanctions</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91</w:t>
            </w:r>
            <w:r>
              <w:rPr>
                <w:rFonts w:ascii="Times New Roman;Times;serif" w:hAnsi="Times New Roman;Times;serif"/>
                <w:color w:val="0000FF"/>
                <w:sz w:val="22"/>
                <w:u w:val="single"/>
              </w:rPr>
              <w:t>93</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7.12</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Anti-Corruption and Anti-Terrorism Laws</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91</w:t>
            </w:r>
            <w:r>
              <w:rPr>
                <w:rFonts w:ascii="Times New Roman;Times;serif" w:hAnsi="Times New Roman;Times;serif"/>
                <w:color w:val="0000FF"/>
                <w:sz w:val="22"/>
                <w:u w:val="single"/>
              </w:rPr>
              <w:t>93</w:t>
            </w:r>
          </w:p>
        </w:tc>
      </w:tr>
      <w:tr>
        <w:trPr/>
        <w:tc>
          <w:tcPr>
            <w:tcW w:w="661" w:type="dxa"/>
            <w:tcBorders/>
            <w:vAlign w:val="center"/>
          </w:tcPr>
          <w:p>
            <w:pPr>
              <w:pStyle w:val="TableContents"/>
              <w:bidi w:val="0"/>
              <w:spacing w:before="0" w:after="0"/>
              <w:ind w:left="0" w:right="0" w:hanging="0"/>
              <w:jc w:val="left"/>
              <w:rPr/>
            </w:pPr>
            <w:r>
              <w:rPr/>
              <w:t>​</w:t>
            </w:r>
          </w:p>
        </w:tc>
        <w:tc>
          <w:tcPr>
            <w:tcW w:w="696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color w:val="FF0000"/>
              </w:rPr>
            </w:pPr>
            <w:r>
              <w:rPr>
                <w:color w:val="FF0000"/>
              </w:rPr>
              <w:t>​</w:t>
            </w:r>
          </w:p>
        </w:tc>
      </w:tr>
      <w:tr>
        <w:trPr/>
        <w:tc>
          <w:tcPr>
            <w:tcW w:w="7622" w:type="dxa"/>
            <w:gridSpan w:val="2"/>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ARTICLE VIII.</w:t>
            </w:r>
          </w:p>
        </w:tc>
        <w:tc>
          <w:tcPr>
            <w:tcW w:w="871" w:type="dxa"/>
            <w:tcBorders/>
            <w:vAlign w:val="center"/>
          </w:tcPr>
          <w:p>
            <w:pPr>
              <w:pStyle w:val="TableContents"/>
              <w:bidi w:val="0"/>
              <w:spacing w:before="0" w:after="0"/>
              <w:ind w:left="0" w:right="0" w:hanging="0"/>
              <w:jc w:val="right"/>
              <w:rPr/>
            </w:pPr>
            <w:r>
              <w:rPr/>
              <w:t>​</w:t>
            </w:r>
          </w:p>
        </w:tc>
      </w:tr>
      <w:tr>
        <w:trPr/>
        <w:tc>
          <w:tcPr>
            <w:tcW w:w="7622" w:type="dxa"/>
            <w:gridSpan w:val="2"/>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EVENTS OF DEFAULT AND REMEDIES</w:t>
            </w:r>
          </w:p>
        </w:tc>
        <w:tc>
          <w:tcPr>
            <w:tcW w:w="871" w:type="dxa"/>
            <w:tcBorders/>
            <w:vAlign w:val="center"/>
          </w:tcPr>
          <w:p>
            <w:pPr>
              <w:pStyle w:val="TableContents"/>
              <w:bidi w:val="0"/>
              <w:spacing w:before="0" w:after="0"/>
              <w:ind w:left="0" w:right="0" w:hanging="0"/>
              <w:jc w:val="right"/>
              <w:rPr/>
            </w:pPr>
            <w:r>
              <w:rPr/>
              <w:t>​</w:t>
            </w:r>
          </w:p>
        </w:tc>
      </w:tr>
      <w:tr>
        <w:trPr/>
        <w:tc>
          <w:tcPr>
            <w:tcW w:w="661" w:type="dxa"/>
            <w:tcBorders/>
            <w:vAlign w:val="center"/>
          </w:tcPr>
          <w:p>
            <w:pPr>
              <w:pStyle w:val="TableContents"/>
              <w:bidi w:val="0"/>
              <w:spacing w:before="0" w:after="0"/>
              <w:ind w:left="0" w:right="0" w:hanging="0"/>
              <w:jc w:val="left"/>
              <w:rPr/>
            </w:pPr>
            <w:r>
              <w:rPr/>
              <w:t>​</w:t>
            </w:r>
          </w:p>
        </w:tc>
        <w:tc>
          <w:tcPr>
            <w:tcW w:w="696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8.01</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Events of Default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91</w:t>
            </w:r>
            <w:r>
              <w:rPr>
                <w:rFonts w:ascii="Times New Roman;Times;serif" w:hAnsi="Times New Roman;Times;serif"/>
                <w:color w:val="0000FF"/>
                <w:sz w:val="22"/>
                <w:u w:val="single"/>
              </w:rPr>
              <w:t>93</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8.02</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Remedies Upon Event of Default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93</w:t>
            </w:r>
            <w:r>
              <w:rPr>
                <w:rFonts w:ascii="Times New Roman;Times;serif" w:hAnsi="Times New Roman;Times;serif"/>
                <w:color w:val="0000FF"/>
                <w:sz w:val="22"/>
                <w:u w:val="single"/>
              </w:rPr>
              <w:t>95</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8.03</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Application of Funds</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94</w:t>
            </w:r>
            <w:r>
              <w:rPr>
                <w:rFonts w:ascii="Times New Roman;Times;serif" w:hAnsi="Times New Roman;Times;serif"/>
                <w:color w:val="0000FF"/>
                <w:sz w:val="22"/>
                <w:u w:val="single"/>
              </w:rPr>
              <w:t>95</w:t>
            </w:r>
          </w:p>
        </w:tc>
      </w:tr>
      <w:tr>
        <w:trPr/>
        <w:tc>
          <w:tcPr>
            <w:tcW w:w="661" w:type="dxa"/>
            <w:tcBorders/>
            <w:vAlign w:val="center"/>
          </w:tcPr>
          <w:p>
            <w:pPr>
              <w:pStyle w:val="TableContents"/>
              <w:bidi w:val="0"/>
              <w:spacing w:before="0" w:after="0"/>
              <w:ind w:left="0" w:right="0" w:hanging="0"/>
              <w:jc w:val="left"/>
              <w:rPr/>
            </w:pPr>
            <w:r>
              <w:rPr/>
              <w:t>​</w:t>
            </w:r>
          </w:p>
        </w:tc>
        <w:tc>
          <w:tcPr>
            <w:tcW w:w="696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color w:val="FF0000"/>
              </w:rPr>
            </w:pPr>
            <w:r>
              <w:rPr>
                <w:color w:val="FF0000"/>
              </w:rPr>
              <w:t>​</w:t>
            </w:r>
          </w:p>
        </w:tc>
      </w:tr>
      <w:tr>
        <w:trPr/>
        <w:tc>
          <w:tcPr>
            <w:tcW w:w="7622" w:type="dxa"/>
            <w:gridSpan w:val="2"/>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ARTICLE IX.</w:t>
            </w:r>
          </w:p>
        </w:tc>
        <w:tc>
          <w:tcPr>
            <w:tcW w:w="871" w:type="dxa"/>
            <w:tcBorders/>
            <w:vAlign w:val="center"/>
          </w:tcPr>
          <w:p>
            <w:pPr>
              <w:pStyle w:val="TableContents"/>
              <w:bidi w:val="0"/>
              <w:spacing w:before="0" w:after="0"/>
              <w:ind w:left="0" w:right="0" w:hanging="0"/>
              <w:jc w:val="right"/>
              <w:rPr/>
            </w:pPr>
            <w:r>
              <w:rPr/>
              <w:t>​</w:t>
            </w:r>
          </w:p>
        </w:tc>
      </w:tr>
      <w:tr>
        <w:trPr/>
        <w:tc>
          <w:tcPr>
            <w:tcW w:w="7622" w:type="dxa"/>
            <w:gridSpan w:val="2"/>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ADMINISTRATIVE AGENT</w:t>
            </w:r>
          </w:p>
        </w:tc>
        <w:tc>
          <w:tcPr>
            <w:tcW w:w="871" w:type="dxa"/>
            <w:tcBorders/>
            <w:vAlign w:val="center"/>
          </w:tcPr>
          <w:p>
            <w:pPr>
              <w:pStyle w:val="TableContents"/>
              <w:bidi w:val="0"/>
              <w:spacing w:before="0" w:after="0"/>
              <w:ind w:left="0" w:right="0" w:hanging="0"/>
              <w:jc w:val="right"/>
              <w:rPr/>
            </w:pPr>
            <w:r>
              <w:rPr/>
              <w:t>​</w:t>
            </w:r>
          </w:p>
        </w:tc>
      </w:tr>
      <w:tr>
        <w:trPr/>
        <w:tc>
          <w:tcPr>
            <w:tcW w:w="7622" w:type="dxa"/>
            <w:gridSpan w:val="2"/>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9.01</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Appointment and Authority</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95</w:t>
            </w:r>
            <w:r>
              <w:rPr>
                <w:rFonts w:ascii="Times New Roman;Times;serif" w:hAnsi="Times New Roman;Times;serif"/>
                <w:color w:val="0000FF"/>
                <w:sz w:val="22"/>
                <w:u w:val="single"/>
              </w:rPr>
              <w:t>96</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9.02</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Rights as a Lender</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95</w:t>
            </w:r>
            <w:r>
              <w:rPr>
                <w:rFonts w:ascii="Times New Roman;Times;serif" w:hAnsi="Times New Roman;Times;serif"/>
                <w:color w:val="0000FF"/>
                <w:sz w:val="22"/>
                <w:u w:val="single"/>
              </w:rPr>
              <w:t>96</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9.03</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Exculpatory Provisions</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95</w:t>
            </w:r>
            <w:r>
              <w:rPr>
                <w:rFonts w:ascii="Times New Roman;Times;serif" w:hAnsi="Times New Roman;Times;serif"/>
                <w:color w:val="0000FF"/>
                <w:sz w:val="22"/>
                <w:u w:val="single"/>
              </w:rPr>
              <w:t>97</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9.04</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Reliance by Administrative Agent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96</w:t>
            </w:r>
            <w:r>
              <w:rPr>
                <w:rFonts w:ascii="Times New Roman;Times;serif" w:hAnsi="Times New Roman;Times;serif"/>
                <w:color w:val="0000FF"/>
                <w:sz w:val="22"/>
                <w:u w:val="single"/>
              </w:rPr>
              <w:t>97</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9.05</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Delegation of Duties</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96</w:t>
            </w:r>
            <w:r>
              <w:rPr>
                <w:rFonts w:ascii="Times New Roman;Times;serif" w:hAnsi="Times New Roman;Times;serif"/>
                <w:color w:val="0000FF"/>
                <w:sz w:val="22"/>
                <w:u w:val="single"/>
              </w:rPr>
              <w:t>98</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9.06</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Resignation of Administrative Agent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96</w:t>
            </w:r>
            <w:r>
              <w:rPr>
                <w:rFonts w:ascii="Times New Roman;Times;serif" w:hAnsi="Times New Roman;Times;serif"/>
                <w:color w:val="0000FF"/>
                <w:sz w:val="22"/>
                <w:u w:val="single"/>
              </w:rPr>
              <w:t>98</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9.07</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Non-Reliance on Administrative Agent, the Arrangers and Other Lenders</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98</w:t>
            </w:r>
            <w:r>
              <w:rPr>
                <w:rFonts w:ascii="Times New Roman;Times;serif" w:hAnsi="Times New Roman;Times;serif"/>
                <w:color w:val="0000FF"/>
                <w:sz w:val="22"/>
                <w:u w:val="single"/>
              </w:rPr>
              <w:t>99</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9.08</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 Other Duties, Etc</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98</w:t>
            </w:r>
            <w:r>
              <w:rPr>
                <w:rFonts w:ascii="Times New Roman;Times;serif" w:hAnsi="Times New Roman;Times;serif"/>
                <w:color w:val="0000FF"/>
                <w:sz w:val="22"/>
                <w:u w:val="single"/>
              </w:rPr>
              <w:t>100</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9.09</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Administrative Agent May File Proofs of Claim</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99</w:t>
            </w:r>
            <w:r>
              <w:rPr>
                <w:rFonts w:ascii="Times New Roman;Times;serif" w:hAnsi="Times New Roman;Times;serif"/>
                <w:color w:val="0000FF"/>
                <w:sz w:val="22"/>
                <w:u w:val="single"/>
              </w:rPr>
              <w:t>100</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9.10</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Certain ERISA Matters</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99</w:t>
            </w:r>
            <w:r>
              <w:rPr>
                <w:rFonts w:ascii="Times New Roman;Times;serif" w:hAnsi="Times New Roman;Times;serif"/>
                <w:color w:val="0000FF"/>
                <w:sz w:val="22"/>
                <w:u w:val="single"/>
              </w:rPr>
              <w:t>101</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9.11</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Recovery of Erroneous Payments</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100</w:t>
            </w:r>
            <w:r>
              <w:rPr>
                <w:rFonts w:ascii="Times New Roman;Times;serif" w:hAnsi="Times New Roman;Times;serif"/>
                <w:color w:val="0000FF"/>
                <w:sz w:val="22"/>
                <w:u w:val="single"/>
              </w:rPr>
              <w:t>102</w:t>
            </w:r>
          </w:p>
        </w:tc>
      </w:tr>
      <w:tr>
        <w:trPr/>
        <w:tc>
          <w:tcPr>
            <w:tcW w:w="661" w:type="dxa"/>
            <w:tcBorders/>
            <w:vAlign w:val="center"/>
          </w:tcPr>
          <w:p>
            <w:pPr>
              <w:pStyle w:val="TableContents"/>
              <w:bidi w:val="0"/>
              <w:spacing w:before="0" w:after="0"/>
              <w:ind w:left="0" w:right="0" w:hanging="0"/>
              <w:jc w:val="left"/>
              <w:rPr/>
            </w:pPr>
            <w:r>
              <w:rPr/>
              <w:t>​</w:t>
            </w:r>
          </w:p>
        </w:tc>
        <w:tc>
          <w:tcPr>
            <w:tcW w:w="696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color w:val="FF0000"/>
              </w:rPr>
            </w:pPr>
            <w:r>
              <w:rPr>
                <w:color w:val="FF0000"/>
              </w:rPr>
              <w:t>​</w:t>
            </w:r>
          </w:p>
        </w:tc>
      </w:tr>
      <w:tr>
        <w:trPr/>
        <w:tc>
          <w:tcPr>
            <w:tcW w:w="7622" w:type="dxa"/>
            <w:gridSpan w:val="2"/>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 xml:space="preserve">ARTICLE X. </w:t>
            </w:r>
          </w:p>
        </w:tc>
        <w:tc>
          <w:tcPr>
            <w:tcW w:w="871" w:type="dxa"/>
            <w:tcBorders/>
            <w:vAlign w:val="center"/>
          </w:tcPr>
          <w:p>
            <w:pPr>
              <w:pStyle w:val="TableContents"/>
              <w:bidi w:val="0"/>
              <w:spacing w:before="0" w:after="0"/>
              <w:ind w:left="0" w:right="0" w:hanging="0"/>
              <w:jc w:val="right"/>
              <w:rPr/>
            </w:pPr>
            <w:r>
              <w:rPr/>
              <w:t>​</w:t>
            </w:r>
          </w:p>
        </w:tc>
      </w:tr>
      <w:tr>
        <w:trPr/>
        <w:tc>
          <w:tcPr>
            <w:tcW w:w="7622" w:type="dxa"/>
            <w:gridSpan w:val="2"/>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MISCELLANEOUS</w:t>
            </w:r>
          </w:p>
        </w:tc>
        <w:tc>
          <w:tcPr>
            <w:tcW w:w="871" w:type="dxa"/>
            <w:tcBorders/>
            <w:vAlign w:val="center"/>
          </w:tcPr>
          <w:p>
            <w:pPr>
              <w:pStyle w:val="TableContents"/>
              <w:bidi w:val="0"/>
              <w:spacing w:before="0" w:after="0"/>
              <w:ind w:left="0" w:right="0" w:hanging="0"/>
              <w:jc w:val="right"/>
              <w:rPr/>
            </w:pPr>
            <w:r>
              <w:rPr/>
              <w:t>​</w:t>
            </w:r>
          </w:p>
        </w:tc>
      </w:tr>
      <w:tr>
        <w:trPr/>
        <w:tc>
          <w:tcPr>
            <w:tcW w:w="661" w:type="dxa"/>
            <w:tcBorders/>
            <w:vAlign w:val="center"/>
          </w:tcPr>
          <w:p>
            <w:pPr>
              <w:pStyle w:val="TableContents"/>
              <w:bidi w:val="0"/>
              <w:spacing w:before="0" w:after="0"/>
              <w:ind w:left="0" w:right="0" w:hanging="0"/>
              <w:jc w:val="left"/>
              <w:rPr/>
            </w:pPr>
            <w:r>
              <w:rPr/>
              <w:t>​</w:t>
            </w:r>
          </w:p>
        </w:tc>
        <w:tc>
          <w:tcPr>
            <w:tcW w:w="696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color w:val="FF0000"/>
              </w:rPr>
            </w:pPr>
            <w:r>
              <w:rPr>
                <w:color w:val="FF0000"/>
              </w:rPr>
              <w:t>​</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10.01</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Amendments, Etc</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101</w:t>
            </w:r>
            <w:r>
              <w:rPr>
                <w:rFonts w:ascii="Times New Roman;Times;serif" w:hAnsi="Times New Roman;Times;serif"/>
                <w:color w:val="0000FF"/>
                <w:sz w:val="22"/>
                <w:u w:val="single"/>
              </w:rPr>
              <w:t>102</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10.02</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Notices; Effectiveness; Electronic Communication</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102</w:t>
            </w:r>
            <w:r>
              <w:rPr>
                <w:rFonts w:ascii="Times New Roman;Times;serif" w:hAnsi="Times New Roman;Times;serif"/>
                <w:color w:val="0000FF"/>
                <w:sz w:val="22"/>
                <w:u w:val="single"/>
              </w:rPr>
              <w:t>104</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10.03</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 Waiver; Cumulative Remedies; Enforcement</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104</w:t>
            </w:r>
            <w:r>
              <w:rPr>
                <w:rFonts w:ascii="Times New Roman;Times;serif" w:hAnsi="Times New Roman;Times;serif"/>
                <w:color w:val="0000FF"/>
                <w:sz w:val="22"/>
                <w:u w:val="single"/>
              </w:rPr>
              <w:t>106</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10.04</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Expenses; Indemnity; Damage Waiver</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104</w:t>
            </w:r>
            <w:r>
              <w:rPr>
                <w:rFonts w:ascii="Times New Roman;Times;serif" w:hAnsi="Times New Roman;Times;serif"/>
                <w:color w:val="0000FF"/>
                <w:sz w:val="22"/>
                <w:u w:val="single"/>
              </w:rPr>
              <w:t>106</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10.05</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Payments Set Aside</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106</w:t>
            </w:r>
            <w:r>
              <w:rPr>
                <w:rFonts w:ascii="Times New Roman;Times;serif" w:hAnsi="Times New Roman;Times;serif"/>
                <w:color w:val="0000FF"/>
                <w:sz w:val="22"/>
                <w:u w:val="single"/>
              </w:rPr>
              <w:t>108</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10.06</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Successors and Assigns</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107</w:t>
            </w:r>
            <w:r>
              <w:rPr>
                <w:rFonts w:ascii="Times New Roman;Times;serif" w:hAnsi="Times New Roman;Times;serif"/>
                <w:color w:val="0000FF"/>
                <w:sz w:val="22"/>
                <w:u w:val="single"/>
              </w:rPr>
              <w:t>108</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10.07</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Treatment of Certain Information; Confidentiality</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111</w:t>
            </w:r>
            <w:r>
              <w:rPr>
                <w:rFonts w:ascii="Times New Roman;Times;serif" w:hAnsi="Times New Roman;Times;serif"/>
                <w:color w:val="0000FF"/>
                <w:sz w:val="22"/>
                <w:u w:val="single"/>
              </w:rPr>
              <w:t>113</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10.08</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Right of Setoff</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112</w:t>
            </w:r>
            <w:r>
              <w:rPr>
                <w:rFonts w:ascii="Times New Roman;Times;serif" w:hAnsi="Times New Roman;Times;serif"/>
                <w:color w:val="0000FF"/>
                <w:sz w:val="22"/>
                <w:u w:val="single"/>
              </w:rPr>
              <w:t>114</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10.09</w:t>
            </w:r>
          </w:p>
        </w:tc>
        <w:tc>
          <w:tcPr>
            <w:tcW w:w="69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Interest Rate Limitation</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113</w:t>
            </w:r>
            <w:r>
              <w:rPr>
                <w:rFonts w:ascii="Times New Roman;Times;serif" w:hAnsi="Times New Roman;Times;serif"/>
                <w:color w:val="0000FF"/>
                <w:sz w:val="22"/>
                <w:u w:val="single"/>
              </w:rPr>
              <w:t>114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iii</w:t>
      </w:r>
    </w:p>
    <w:p>
      <w:pPr>
        <w:pStyle w:val="HorizontalLine"/>
        <w:pBdr>
          <w:bottom w:val="double" w:sz="2" w:space="0" w:color="808080"/>
        </w:pBdr>
        <w:bidi w:val="0"/>
        <w:spacing w:before="0" w:after="283"/>
        <w:jc w:val="left"/>
        <w:rPr/>
      </w:pPr>
      <w:r>
        <w:rPr/>
      </w:r>
    </w:p>
    <w:tbl>
      <w:tblPr>
        <w:tblW w:w="8718" w:type="dxa"/>
        <w:jc w:val="left"/>
        <w:tblInd w:w="0" w:type="dxa"/>
        <w:tblLayout w:type="fixed"/>
        <w:tblCellMar>
          <w:top w:w="0" w:type="dxa"/>
          <w:left w:w="0" w:type="dxa"/>
          <w:bottom w:w="0" w:type="dxa"/>
          <w:right w:w="0" w:type="dxa"/>
        </w:tblCellMar>
      </w:tblPr>
      <w:tblGrid>
        <w:gridCol w:w="661"/>
        <w:gridCol w:w="7186"/>
        <w:gridCol w:w="871"/>
      </w:tblGrid>
      <w:tr>
        <w:trPr/>
        <w:tc>
          <w:tcPr>
            <w:tcW w:w="661" w:type="dxa"/>
            <w:tcBorders/>
            <w:vAlign w:val="center"/>
          </w:tcPr>
          <w:p>
            <w:pPr>
              <w:pStyle w:val="TableContents"/>
              <w:bidi w:val="0"/>
              <w:spacing w:before="0" w:after="0"/>
              <w:ind w:left="0" w:right="0" w:hanging="0"/>
              <w:jc w:val="left"/>
              <w:rPr/>
            </w:pPr>
            <w:r>
              <w:rPr/>
              <w:t>​</w:t>
            </w:r>
          </w:p>
        </w:tc>
        <w:tc>
          <w:tcPr>
            <w:tcW w:w="7186"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left"/>
              <w:rPr/>
            </w:pPr>
            <w:r>
              <w:rPr/>
              <w:t>​</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10.10</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Integration; Effectiveness</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113</w:t>
            </w:r>
            <w:r>
              <w:rPr>
                <w:rFonts w:ascii="Times New Roman;Times;serif" w:hAnsi="Times New Roman;Times;serif"/>
                <w:color w:val="0000FF"/>
                <w:sz w:val="22"/>
                <w:u w:val="single"/>
              </w:rPr>
              <w:t>114</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10.11</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Survival of Representations and Warranties</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113</w:t>
            </w:r>
            <w:r>
              <w:rPr>
                <w:rFonts w:ascii="Times New Roman;Times;serif" w:hAnsi="Times New Roman;Times;serif"/>
                <w:color w:val="0000FF"/>
                <w:sz w:val="22"/>
                <w:u w:val="single"/>
              </w:rPr>
              <w:t>115</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10.12</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Severability</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113</w:t>
            </w:r>
            <w:r>
              <w:rPr>
                <w:rFonts w:ascii="Times New Roman;Times;serif" w:hAnsi="Times New Roman;Times;serif"/>
                <w:color w:val="0000FF"/>
                <w:sz w:val="22"/>
                <w:u w:val="single"/>
              </w:rPr>
              <w:t>115</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10.13</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Replacement of Lenders</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114</w:t>
            </w:r>
            <w:r>
              <w:rPr>
                <w:rFonts w:ascii="Times New Roman;Times;serif" w:hAnsi="Times New Roman;Times;serif"/>
                <w:color w:val="0000FF"/>
                <w:sz w:val="22"/>
                <w:u w:val="single"/>
              </w:rPr>
              <w:t>115</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10.14</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Governing Law; Jurisdiction; Etc</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114</w:t>
            </w:r>
            <w:r>
              <w:rPr>
                <w:rFonts w:ascii="Times New Roman;Times;serif" w:hAnsi="Times New Roman;Times;serif"/>
                <w:color w:val="0000FF"/>
                <w:sz w:val="22"/>
                <w:u w:val="single"/>
              </w:rPr>
              <w:t>116</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10.15</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WAIVER OF JURY TRIAL</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115</w:t>
            </w:r>
            <w:r>
              <w:rPr>
                <w:rFonts w:ascii="Times New Roman;Times;serif" w:hAnsi="Times New Roman;Times;serif"/>
                <w:color w:val="0000FF"/>
                <w:sz w:val="22"/>
                <w:u w:val="single"/>
              </w:rPr>
              <w:t>117</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10.16</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 Advisory or Fiduciary Responsibility</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115</w:t>
            </w:r>
            <w:r>
              <w:rPr>
                <w:rFonts w:ascii="Times New Roman;Times;serif" w:hAnsi="Times New Roman;Times;serif"/>
                <w:color w:val="0000FF"/>
                <w:sz w:val="22"/>
                <w:u w:val="single"/>
              </w:rPr>
              <w:t>117</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10.17</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USA PATRIOT Act Notice</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116</w:t>
            </w:r>
            <w:r>
              <w:rPr>
                <w:rFonts w:ascii="Times New Roman;Times;serif" w:hAnsi="Times New Roman;Times;serif"/>
                <w:color w:val="0000FF"/>
                <w:sz w:val="22"/>
                <w:u w:val="single"/>
              </w:rPr>
              <w:t>117</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10.18</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Judgment Currency</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116</w:t>
            </w:r>
            <w:r>
              <w:rPr>
                <w:rFonts w:ascii="Times New Roman;Times;serif" w:hAnsi="Times New Roman;Times;serif"/>
                <w:color w:val="0000FF"/>
                <w:sz w:val="22"/>
                <w:u w:val="single"/>
              </w:rPr>
              <w:t>118</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10.19</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Electronic Execution; Electronic Records; Counterparts</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116</w:t>
            </w:r>
            <w:r>
              <w:rPr>
                <w:rFonts w:ascii="Times New Roman;Times;serif" w:hAnsi="Times New Roman;Times;serif"/>
                <w:color w:val="0000FF"/>
                <w:sz w:val="22"/>
                <w:u w:val="single"/>
              </w:rPr>
              <w:t>118</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10.20</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Acknowledgement and Consent to Bail-In of Affected Financial Institutions</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118</w:t>
            </w:r>
            <w:r>
              <w:rPr>
                <w:rFonts w:ascii="Times New Roman;Times;serif" w:hAnsi="Times New Roman;Times;serif"/>
                <w:color w:val="0000FF"/>
                <w:sz w:val="22"/>
                <w:u w:val="single"/>
              </w:rPr>
              <w:t>119</w:t>
            </w:r>
          </w:p>
        </w:tc>
      </w:tr>
      <w:tr>
        <w:trPr/>
        <w:tc>
          <w:tcPr>
            <w:tcW w:w="66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10.21</w:t>
            </w:r>
          </w:p>
        </w:tc>
        <w:tc>
          <w:tcPr>
            <w:tcW w:w="718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Acknowledgement Regarding Any Supported QFCs</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color w:val="FF0000"/>
                <w:sz w:val="22"/>
              </w:rPr>
              <w:t>118</w:t>
            </w:r>
            <w:r>
              <w:rPr>
                <w:rFonts w:ascii="Times New Roman;Times;serif" w:hAnsi="Times New Roman;Times;serif"/>
                <w:color w:val="0000FF"/>
                <w:sz w:val="22"/>
                <w:u w:val="single"/>
              </w:rPr>
              <w:t>119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iv</w:t>
      </w:r>
    </w:p>
    <w:p>
      <w:pPr>
        <w:pStyle w:val="HorizontalLine"/>
        <w:pBdr>
          <w:bottom w:val="double" w:sz="2" w:space="0" w:color="808080"/>
        </w:pBdr>
        <w:bidi w:val="0"/>
        <w:spacing w:before="0" w:after="283"/>
        <w:jc w:val="left"/>
        <w:rPr/>
      </w:pPr>
      <w:r>
        <w:rPr/>
      </w:r>
    </w:p>
    <w:tbl>
      <w:tblPr>
        <w:tblW w:w="8376" w:type="dxa"/>
        <w:jc w:val="left"/>
        <w:tblInd w:w="0" w:type="dxa"/>
        <w:tblLayout w:type="fixed"/>
        <w:tblCellMar>
          <w:top w:w="0" w:type="dxa"/>
          <w:left w:w="0" w:type="dxa"/>
          <w:bottom w:w="0" w:type="dxa"/>
          <w:right w:w="0" w:type="dxa"/>
        </w:tblCellMar>
      </w:tblPr>
      <w:tblGrid>
        <w:gridCol w:w="124"/>
        <w:gridCol w:w="796"/>
        <w:gridCol w:w="7456"/>
      </w:tblGrid>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8376" w:type="dxa"/>
            <w:gridSpan w:val="3"/>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SCHEDULES</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1.01(a)</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Existing Letters of Credit</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1.01(b)</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L/C Issuers and Letter of Credit Sublimits</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2.01</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Commitments and Applicable Percentages</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5.06</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Litigation</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5.12</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Subsidiaries and Other Equity Investments</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7.01</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Existing Liens</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7.03</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Existing Indebtedness</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10.02</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Administrative Agent’s Office; Certain Addresses for Notices</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8376" w:type="dxa"/>
            <w:gridSpan w:val="3"/>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EXHIBITS</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rFonts w:ascii="Times New Roman;Times;serif" w:hAnsi="Times New Roman;Times;serif"/>
                <w:b/>
                <w:i/>
                <w:sz w:val="22"/>
              </w:rPr>
            </w:pPr>
            <w:r>
              <w:rPr>
                <w:rFonts w:ascii="Times New Roman;Times;serif" w:hAnsi="Times New Roman;Times;serif"/>
                <w:b/>
                <w:i/>
                <w:sz w:val="22"/>
              </w:rPr>
              <w:t>Form of</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7456"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Committed Loan Notice</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Swing Line Loan Notice</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Note</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Compliance Certificate</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Assignment and Assumption</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Guaranty</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Designated Borrower Request and Assumption Agreement</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H</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Designated Borrower Notice</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I-1</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Form of Opinion of Covington &amp; Burling LLP </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I-2</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Opinion of Argo Law</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I-3</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Opinion of General Counsel and Chief Legal Officer of the Company</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Letter of Credit Report</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K</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 of Foreign Obligor Opinion</w:t>
            </w:r>
          </w:p>
        </w:tc>
      </w:tr>
      <w:tr>
        <w:trPr/>
        <w:tc>
          <w:tcPr>
            <w:tcW w:w="124"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w:t>
            </w:r>
          </w:p>
        </w:tc>
        <w:tc>
          <w:tcPr>
            <w:tcW w:w="745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Forms of U.S. Tax Compliance Certificates</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v</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THIRD AMENDED AND RESTATED CREDIT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This THIRD AMENDED AND RESTATED CREDIT AGREEMENT (“</w:t>
      </w:r>
      <w:r>
        <w:rPr>
          <w:rFonts w:ascii="Times New Roman;Times;serif" w:hAnsi="Times New Roman;Times;serif"/>
          <w:sz w:val="22"/>
          <w:u w:val="single"/>
        </w:rPr>
        <w:t>Agreement</w:t>
      </w:r>
      <w:r>
        <w:rPr>
          <w:rFonts w:ascii="Times New Roman;Times;serif" w:hAnsi="Times New Roman;Times;serif"/>
          <w:sz w:val="20"/>
        </w:rPr>
        <w:t>”</w:t>
      </w:r>
      <w:r>
        <w:rPr>
          <w:rFonts w:ascii="Times New Roman;Times;serif" w:hAnsi="Times New Roman;Times;serif"/>
          <w:sz w:val="22"/>
        </w:rPr>
        <w:t>) is entered into as of January 17, 2025, among AVNET, INC., a New York corporation (the “</w:t>
      </w:r>
      <w:r>
        <w:rPr>
          <w:rFonts w:ascii="Times New Roman;Times;serif" w:hAnsi="Times New Roman;Times;serif"/>
          <w:sz w:val="22"/>
          <w:u w:val="single"/>
        </w:rPr>
        <w:t>Company</w:t>
      </w:r>
      <w:r>
        <w:rPr>
          <w:rFonts w:ascii="Times New Roman;Times;serif" w:hAnsi="Times New Roman;Times;serif"/>
          <w:sz w:val="20"/>
        </w:rPr>
        <w:t>”</w:t>
      </w:r>
      <w:r>
        <w:rPr>
          <w:rFonts w:ascii="Times New Roman;Times;serif" w:hAnsi="Times New Roman;Times;serif"/>
          <w:sz w:val="22"/>
        </w:rPr>
        <w:t>), AVNET HOLDING EUROPE BV, a Belgian privately held limited liability company (“</w:t>
      </w:r>
      <w:r>
        <w:rPr>
          <w:rFonts w:ascii="Times New Roman;Times;serif" w:hAnsi="Times New Roman;Times;serif"/>
          <w:sz w:val="22"/>
          <w:u w:val="single"/>
        </w:rPr>
        <w:t>Avnet Europe</w:t>
      </w:r>
      <w:r>
        <w:rPr>
          <w:rFonts w:ascii="Times New Roman;Times;serif" w:hAnsi="Times New Roman;Times;serif"/>
          <w:sz w:val="20"/>
        </w:rPr>
        <w:t>”</w:t>
      </w:r>
      <w:r>
        <w:rPr>
          <w:rFonts w:ascii="Times New Roman;Times;serif" w:hAnsi="Times New Roman;Times;serif"/>
          <w:sz w:val="22"/>
        </w:rPr>
        <w:t xml:space="preserve">), each Subsidiary of the Company party hereto pursuant to </w:t>
      </w:r>
      <w:r>
        <w:rPr>
          <w:rFonts w:ascii="Times New Roman;Times;serif" w:hAnsi="Times New Roman;Times;serif"/>
          <w:sz w:val="22"/>
          <w:u w:val="single"/>
        </w:rPr>
        <w:t>Section 2.14</w:t>
      </w:r>
      <w:r>
        <w:rPr>
          <w:rFonts w:ascii="Times New Roman;Times;serif" w:hAnsi="Times New Roman;Times;serif"/>
          <w:sz w:val="20"/>
        </w:rPr>
        <w:t xml:space="preserve"> </w:t>
      </w:r>
      <w:r>
        <w:rPr>
          <w:rFonts w:ascii="Times New Roman;Times;serif" w:hAnsi="Times New Roman;Times;serif"/>
          <w:sz w:val="22"/>
        </w:rPr>
        <w:t>(each such Subsidiary, together with the Company and Avnet Europe, the “</w:t>
      </w:r>
      <w:r>
        <w:rPr>
          <w:rFonts w:ascii="Times New Roman;Times;serif" w:hAnsi="Times New Roman;Times;serif"/>
          <w:sz w:val="22"/>
          <w:u w:val="single"/>
        </w:rPr>
        <w:t>Borrowers</w:t>
      </w:r>
      <w:r>
        <w:rPr>
          <w:rFonts w:ascii="Times New Roman;Times;serif" w:hAnsi="Times New Roman;Times;serif"/>
          <w:sz w:val="20"/>
        </w:rPr>
        <w:t xml:space="preserve">” </w:t>
      </w:r>
      <w:r>
        <w:rPr>
          <w:rFonts w:ascii="Times New Roman;Times;serif" w:hAnsi="Times New Roman;Times;serif"/>
          <w:sz w:val="22"/>
        </w:rPr>
        <w:t>and, each a “</w:t>
      </w:r>
      <w:r>
        <w:rPr>
          <w:rFonts w:ascii="Times New Roman;Times;serif" w:hAnsi="Times New Roman;Times;serif"/>
          <w:sz w:val="22"/>
          <w:u w:val="single"/>
        </w:rPr>
        <w:t>Borrower</w:t>
      </w:r>
      <w:r>
        <w:rPr>
          <w:rFonts w:ascii="Times New Roman;Times;serif" w:hAnsi="Times New Roman;Times;serif"/>
          <w:sz w:val="20"/>
        </w:rPr>
        <w:t>”</w:t>
      </w:r>
      <w:r>
        <w:rPr>
          <w:rFonts w:ascii="Times New Roman;Times;serif" w:hAnsi="Times New Roman;Times;serif"/>
          <w:sz w:val="22"/>
        </w:rPr>
        <w:t>), each lender from time to time party hereto (collectively, the “</w:t>
      </w:r>
      <w:r>
        <w:rPr>
          <w:rFonts w:ascii="Times New Roman;Times;serif" w:hAnsi="Times New Roman;Times;serif"/>
          <w:sz w:val="22"/>
          <w:u w:val="single"/>
        </w:rPr>
        <w:t>Lenders</w:t>
      </w:r>
      <w:r>
        <w:rPr>
          <w:rFonts w:ascii="Times New Roman;Times;serif" w:hAnsi="Times New Roman;Times;serif"/>
          <w:sz w:val="20"/>
        </w:rPr>
        <w:t xml:space="preserve">” </w:t>
      </w:r>
      <w:r>
        <w:rPr>
          <w:rFonts w:ascii="Times New Roman;Times;serif" w:hAnsi="Times New Roman;Times;serif"/>
          <w:sz w:val="22"/>
        </w:rPr>
        <w:t>and individually, a “</w:t>
      </w:r>
      <w:r>
        <w:rPr>
          <w:rFonts w:ascii="Times New Roman;Times;serif" w:hAnsi="Times New Roman;Times;serif"/>
          <w:sz w:val="22"/>
          <w:u w:val="single"/>
        </w:rPr>
        <w:t>Lender</w:t>
      </w:r>
      <w:r>
        <w:rPr>
          <w:rFonts w:ascii="Times New Roman;Times;serif" w:hAnsi="Times New Roman;Times;serif"/>
          <w:sz w:val="20"/>
        </w:rPr>
        <w:t>”</w:t>
      </w:r>
      <w:r>
        <w:rPr>
          <w:rFonts w:ascii="Times New Roman;Times;serif" w:hAnsi="Times New Roman;Times;serif"/>
          <w:sz w:val="22"/>
        </w:rPr>
        <w:t>), and BANK OF AMERICA, N.A., as Administrative Agent, Swing Line Lender and an L/C Issuer.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The Borrowers, the lenders party thereto (the “</w:t>
      </w:r>
      <w:r>
        <w:rPr>
          <w:rFonts w:ascii="Times New Roman;Times;serif" w:hAnsi="Times New Roman;Times;serif"/>
          <w:sz w:val="22"/>
          <w:u w:val="single"/>
        </w:rPr>
        <w:t>Existing Lenders</w:t>
      </w:r>
      <w:r>
        <w:rPr>
          <w:rFonts w:ascii="Times New Roman;Times;serif" w:hAnsi="Times New Roman;Times;serif"/>
          <w:sz w:val="20"/>
        </w:rPr>
        <w:t>”</w:t>
      </w:r>
      <w:r>
        <w:rPr>
          <w:rFonts w:ascii="Times New Roman;Times;serif" w:hAnsi="Times New Roman;Times;serif"/>
          <w:sz w:val="22"/>
        </w:rPr>
        <w:t>) and Bank of America, N.A., as administrative agent, entered into that certain Second Amended and Restated Credit Agreement, dated as of August 2, 2022 (as amended, supplemented or otherwise modified prior to the date hereof, the “</w:t>
      </w:r>
      <w:r>
        <w:rPr>
          <w:rFonts w:ascii="Times New Roman;Times;serif" w:hAnsi="Times New Roman;Times;serif"/>
          <w:sz w:val="22"/>
          <w:u w:val="single"/>
        </w:rPr>
        <w:t>Existing Credit Agreement</w:t>
      </w:r>
      <w:r>
        <w:rPr>
          <w:rFonts w:ascii="Times New Roman;Times;serif" w:hAnsi="Times New Roman;Times;serif"/>
          <w:sz w:val="20"/>
        </w:rPr>
        <w:t>”</w:t>
      </w:r>
      <w:r>
        <w:rPr>
          <w:rFonts w:ascii="Times New Roman;Times;serif" w:hAnsi="Times New Roman;Times;serif"/>
          <w:sz w:val="22"/>
        </w:rPr>
        <w:t>), pursuant to which the lenders party thereto have made available to the Borrowers a revolving credit facility, with letter of credit, swingline and multicurrency subfacilities.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The Borrowers have requested that the Lenders agree to an amendment and restatement of the Existing Credit Agreement in the form of this Agreement to provide a revolving credit facility, with swingline, letter of credit and multicurrency subfacilities, and the Lenders are willing to do so on the terms and conditions set forth herein.</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In consideration of the mutual covenants and agreements herein contained, the parties hereto covenant and agree as follows: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DEFINITIONS AND ACCOUNTING TERMS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1.01</w:t>
      </w:r>
      <w:r>
        <w:rPr>
          <w:rFonts w:ascii="Times New Roman;Times;serif" w:hAnsi="Times New Roman;Times;serif"/>
          <w:b/>
          <w:sz w:val="22"/>
        </w:rPr>
        <w:t xml:space="preserve">Defined Terms. </w:t>
      </w:r>
      <w:r>
        <w:rPr>
          <w:rFonts w:ascii="Times New Roman;Times;serif" w:hAnsi="Times New Roman;Times;serif"/>
          <w:sz w:val="22"/>
        </w:rPr>
        <w:t>As used in this Agreement, the following terms shall have the meanings set forth below:</w:t>
      </w:r>
    </w:p>
    <w:p>
      <w:pPr>
        <w:pStyle w:val="TextBody"/>
        <w:bidi w:val="0"/>
        <w:spacing w:before="0" w:after="240"/>
        <w:ind w:left="0" w:right="0" w:firstLine="720"/>
        <w:jc w:val="both"/>
        <w:rPr/>
      </w:pPr>
      <w:r>
        <w:rPr/>
        <w:t>“</w:t>
      </w:r>
      <w:r>
        <w:rPr>
          <w:rFonts w:ascii="Times New Roman;Times;serif" w:hAnsi="Times New Roman;Times;serif"/>
          <w:sz w:val="22"/>
          <w:u w:val="single"/>
        </w:rPr>
        <w:t>Acquisition</w:t>
      </w:r>
      <w:r>
        <w:rPr>
          <w:rFonts w:ascii="Times New Roman;Times;serif" w:hAnsi="Times New Roman;Times;serif"/>
          <w:sz w:val="20"/>
        </w:rPr>
        <w:t xml:space="preserve">” </w:t>
      </w:r>
      <w:r>
        <w:rPr>
          <w:rFonts w:ascii="Times New Roman;Times;serif" w:hAnsi="Times New Roman;Times;serif"/>
          <w:sz w:val="22"/>
        </w:rPr>
        <w:t>means the acquisition of (i) a controlling equity or other ownership interest in another Person (including upon the exercise of an option, warrant or convertible or similar type security to acquire such a controlling interest), whether by purchase of such equity or other ownership interest or upon exercise of an option or warrant for, or conversion of securities into, such equity or other ownership interest, or (ii) assets of another Person (whether by purchase, merger or otherwise) which constitute all or substantially all of the assets of such Person or of a line or lines of business conducted by such Person.</w:t>
      </w:r>
    </w:p>
    <w:p>
      <w:pPr>
        <w:pStyle w:val="TextBody"/>
        <w:bidi w:val="0"/>
        <w:spacing w:before="0" w:after="240"/>
        <w:ind w:left="0" w:right="0" w:firstLine="720"/>
        <w:jc w:val="both"/>
        <w:rPr/>
      </w:pPr>
      <w:r>
        <w:rPr/>
        <w:t>“</w:t>
      </w:r>
      <w:r>
        <w:rPr>
          <w:rFonts w:ascii="Times New Roman;Times;serif" w:hAnsi="Times New Roman;Times;serif"/>
          <w:sz w:val="22"/>
          <w:u w:val="single"/>
        </w:rPr>
        <w:t>Administrative Agent</w:t>
      </w:r>
      <w:r>
        <w:rPr>
          <w:rFonts w:ascii="Times New Roman;Times;serif" w:hAnsi="Times New Roman;Times;serif"/>
          <w:sz w:val="20"/>
        </w:rPr>
        <w:t xml:space="preserve">” </w:t>
      </w:r>
      <w:r>
        <w:rPr>
          <w:rFonts w:ascii="Times New Roman;Times;serif" w:hAnsi="Times New Roman;Times;serif"/>
          <w:sz w:val="22"/>
        </w:rPr>
        <w:t>means Bank of America in its capacity as administrative agent under any of the Loan Documents, or any successor administrative agent.</w:t>
      </w:r>
    </w:p>
    <w:p>
      <w:pPr>
        <w:pStyle w:val="TextBody"/>
        <w:bidi w:val="0"/>
        <w:spacing w:before="0" w:after="240"/>
        <w:ind w:left="0" w:right="0" w:firstLine="720"/>
        <w:jc w:val="both"/>
        <w:rPr/>
      </w:pPr>
      <w:r>
        <w:rPr/>
        <w:t>“</w:t>
      </w:r>
      <w:r>
        <w:rPr>
          <w:rFonts w:ascii="Times New Roman;Times;serif" w:hAnsi="Times New Roman;Times;serif"/>
          <w:sz w:val="22"/>
          <w:u w:val="single"/>
        </w:rPr>
        <w:t>Administrative Agent’s Office</w:t>
      </w:r>
      <w:r>
        <w:rPr>
          <w:rFonts w:ascii="Times New Roman;Times;serif" w:hAnsi="Times New Roman;Times;serif"/>
          <w:sz w:val="20"/>
        </w:rPr>
        <w:t xml:space="preserve">” </w:t>
      </w:r>
      <w:r>
        <w:rPr>
          <w:rFonts w:ascii="Times New Roman;Times;serif" w:hAnsi="Times New Roman;Times;serif"/>
          <w:sz w:val="22"/>
        </w:rPr>
        <w:t>means, with respect to any currency, the Administrative Agent’s address and, as appropriate, account specified in the Credit Agreement with respect to such currency, or such other address or account with respect to such currency as the Administrative Agent may from time to time notify the Borrowers and the Lenders.</w:t>
      </w:r>
    </w:p>
    <w:p>
      <w:pPr>
        <w:pStyle w:val="TextBody"/>
        <w:bidi w:val="0"/>
        <w:spacing w:before="0" w:after="240"/>
        <w:ind w:left="0" w:right="0" w:firstLine="720"/>
        <w:jc w:val="both"/>
        <w:rPr/>
      </w:pPr>
      <w:r>
        <w:rPr/>
        <w:t>“</w:t>
      </w:r>
      <w:r>
        <w:rPr>
          <w:rFonts w:ascii="Times New Roman;Times;serif" w:hAnsi="Times New Roman;Times;serif"/>
          <w:sz w:val="22"/>
          <w:u w:val="single"/>
        </w:rPr>
        <w:t>Administrative Questionnaire</w:t>
      </w:r>
      <w:r>
        <w:rPr>
          <w:rFonts w:ascii="Times New Roman;Times;serif" w:hAnsi="Times New Roman;Times;serif"/>
          <w:sz w:val="20"/>
        </w:rPr>
        <w:t xml:space="preserve">” </w:t>
      </w:r>
      <w:r>
        <w:rPr>
          <w:rFonts w:ascii="Times New Roman;Times;serif" w:hAnsi="Times New Roman;Times;serif"/>
          <w:sz w:val="22"/>
        </w:rPr>
        <w:t>means an Administrative Questionnaire in a form approved by the Administrative Agent.</w:t>
      </w:r>
    </w:p>
    <w:p>
      <w:pPr>
        <w:pStyle w:val="TextBody"/>
        <w:bidi w:val="0"/>
        <w:spacing w:before="0" w:after="240"/>
        <w:ind w:left="0" w:right="0" w:firstLine="720"/>
        <w:jc w:val="both"/>
        <w:rPr/>
      </w:pPr>
      <w:r>
        <w:rPr/>
        <w:t>“</w:t>
      </w:r>
      <w:r>
        <w:rPr>
          <w:rFonts w:ascii="Times New Roman;Times;serif" w:hAnsi="Times New Roman;Times;serif"/>
          <w:sz w:val="22"/>
          <w:u w:val="single"/>
        </w:rPr>
        <w:t>Affected Financial Institution</w:t>
      </w:r>
      <w:r>
        <w:rPr>
          <w:rFonts w:ascii="Times New Roman;Times;serif" w:hAnsi="Times New Roman;Times;serif"/>
          <w:sz w:val="20"/>
        </w:rPr>
        <w:t xml:space="preserve">” </w:t>
      </w:r>
      <w:r>
        <w:rPr>
          <w:rFonts w:ascii="Times New Roman;Times;serif" w:hAnsi="Times New Roman;Times;serif"/>
          <w:sz w:val="22"/>
        </w:rPr>
        <w:t>means (a) any EEA Financial Institution or (b) any UK Financial Institution.</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Affiliate</w:t>
      </w:r>
      <w:r>
        <w:rPr>
          <w:rFonts w:ascii="Times New Roman;Times;serif" w:hAnsi="Times New Roman;Times;serif"/>
          <w:sz w:val="20"/>
        </w:rPr>
        <w:t xml:space="preserve">” </w:t>
      </w:r>
      <w:r>
        <w:rPr>
          <w:rFonts w:ascii="Times New Roman;Times;serif" w:hAnsi="Times New Roman;Times;serif"/>
          <w:sz w:val="22"/>
        </w:rPr>
        <w:t>means, with respect to any Person, another Person that directly, or indirectly through one or more intermediaries, Controls or is Controlled by or is under common Control with the Person specified.</w:t>
      </w:r>
    </w:p>
    <w:p>
      <w:pPr>
        <w:pStyle w:val="TextBody"/>
        <w:bidi w:val="0"/>
        <w:spacing w:before="0" w:after="240"/>
        <w:ind w:left="0" w:right="0" w:firstLine="720"/>
        <w:jc w:val="both"/>
        <w:rPr/>
      </w:pPr>
      <w:r>
        <w:rPr/>
        <w:t>“</w:t>
      </w:r>
      <w:r>
        <w:rPr>
          <w:rFonts w:ascii="Times New Roman;Times;serif" w:hAnsi="Times New Roman;Times;serif"/>
          <w:sz w:val="22"/>
          <w:u w:val="single"/>
        </w:rPr>
        <w:t>Agent Parties</w:t>
      </w:r>
      <w:r>
        <w:rPr>
          <w:rFonts w:ascii="Times New Roman;Times;serif" w:hAnsi="Times New Roman;Times;serif"/>
          <w:sz w:val="20"/>
        </w:rPr>
        <w:t xml:space="preserve">” </w:t>
      </w:r>
      <w:r>
        <w:rPr>
          <w:rFonts w:ascii="Times New Roman;Times;serif" w:hAnsi="Times New Roman;Times;serif"/>
          <w:sz w:val="22"/>
        </w:rPr>
        <w:t xml:space="preserve">has the meaning set forth in </w:t>
      </w:r>
      <w:r>
        <w:rPr>
          <w:rFonts w:ascii="Times New Roman;Times;serif" w:hAnsi="Times New Roman;Times;serif"/>
          <w:sz w:val="22"/>
          <w:u w:val="single"/>
        </w:rPr>
        <w:t>Section 10.02(c)</w:t>
      </w:r>
      <w:r>
        <w:rPr>
          <w:rFonts w:ascii="Times New Roman;Times;serif" w:hAnsi="Times New Roman;Times;serif"/>
          <w:sz w:val="22"/>
        </w:rPr>
        <w:t xml:space="preserve">. </w:t>
      </w:r>
    </w:p>
    <w:p>
      <w:pPr>
        <w:pStyle w:val="TextBody"/>
        <w:bidi w:val="0"/>
        <w:spacing w:before="0" w:after="240"/>
        <w:ind w:left="0" w:right="0" w:firstLine="720"/>
        <w:jc w:val="both"/>
        <w:rPr/>
      </w:pPr>
      <w:r>
        <w:rPr/>
        <w:t>“</w:t>
      </w:r>
      <w:r>
        <w:rPr>
          <w:rFonts w:ascii="Times New Roman;Times;serif" w:hAnsi="Times New Roman;Times;serif"/>
          <w:sz w:val="22"/>
          <w:u w:val="single"/>
        </w:rPr>
        <w:t>Aggregate Commitments</w:t>
      </w:r>
      <w:r>
        <w:rPr>
          <w:rFonts w:ascii="Times New Roman;Times;serif" w:hAnsi="Times New Roman;Times;serif"/>
          <w:sz w:val="20"/>
        </w:rPr>
        <w:t xml:space="preserve">” </w:t>
      </w:r>
      <w:r>
        <w:rPr>
          <w:rFonts w:ascii="Times New Roman;Times;serif" w:hAnsi="Times New Roman;Times;serif"/>
          <w:sz w:val="22"/>
        </w:rPr>
        <w:t xml:space="preserve">means the Commitments of all the Lenders. </w:t>
      </w:r>
    </w:p>
    <w:p>
      <w:pPr>
        <w:pStyle w:val="TextBody"/>
        <w:bidi w:val="0"/>
        <w:spacing w:before="0" w:after="240"/>
        <w:ind w:left="0" w:right="0" w:firstLine="720"/>
        <w:jc w:val="both"/>
        <w:rPr/>
      </w:pPr>
      <w:r>
        <w:rPr/>
        <w:t>“</w:t>
      </w:r>
      <w:r>
        <w:rPr>
          <w:rFonts w:ascii="Times New Roman;Times;serif" w:hAnsi="Times New Roman;Times;serif"/>
          <w:sz w:val="22"/>
          <w:u w:val="single"/>
        </w:rPr>
        <w:t>Agreement</w:t>
      </w:r>
      <w:r>
        <w:rPr>
          <w:rFonts w:ascii="Times New Roman;Times;serif" w:hAnsi="Times New Roman;Times;serif"/>
          <w:sz w:val="20"/>
        </w:rPr>
        <w:t xml:space="preserve">” </w:t>
      </w:r>
      <w:r>
        <w:rPr>
          <w:rFonts w:ascii="Times New Roman;Times;serif" w:hAnsi="Times New Roman;Times;serif"/>
          <w:sz w:val="22"/>
        </w:rPr>
        <w:t xml:space="preserve">has the meaning specified in the introductory paragraph. </w:t>
      </w:r>
    </w:p>
    <w:p>
      <w:pPr>
        <w:pStyle w:val="TextBody"/>
        <w:bidi w:val="0"/>
        <w:spacing w:before="0" w:after="240"/>
        <w:ind w:left="0" w:right="0" w:firstLine="720"/>
        <w:jc w:val="both"/>
        <w:rPr/>
      </w:pPr>
      <w:r>
        <w:rPr/>
        <w:t>“</w:t>
      </w:r>
      <w:r>
        <w:rPr>
          <w:rFonts w:ascii="Times New Roman;Times;serif" w:hAnsi="Times New Roman;Times;serif"/>
          <w:sz w:val="22"/>
          <w:u w:val="single"/>
        </w:rPr>
        <w:t>Agreement Currency</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10.18</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Alternative Currency</w:t>
      </w:r>
      <w:r>
        <w:rPr>
          <w:rFonts w:ascii="Times New Roman;Times;serif" w:hAnsi="Times New Roman;Times;serif"/>
          <w:sz w:val="20"/>
        </w:rPr>
        <w:t xml:space="preserve">” </w:t>
      </w:r>
      <w:r>
        <w:rPr>
          <w:rFonts w:ascii="Times New Roman;Times;serif" w:hAnsi="Times New Roman;Times;serif"/>
          <w:sz w:val="22"/>
        </w:rPr>
        <w:t xml:space="preserve">means each of Euro, Sterling, Australian Dollars, Hong Kong Dollars, Japanese Yen, and each other currency (other than Dollars) that is approved in accordance with </w:t>
      </w:r>
      <w:r>
        <w:rPr>
          <w:rFonts w:ascii="Times New Roman;Times;serif" w:hAnsi="Times New Roman;Times;serif"/>
          <w:sz w:val="22"/>
          <w:u w:val="single"/>
        </w:rPr>
        <w:t>Section 1.05</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for each Alternative Currency, such requested currency is an Eligible Currency.</w:t>
      </w:r>
    </w:p>
    <w:p>
      <w:pPr>
        <w:pStyle w:val="TextBody"/>
        <w:bidi w:val="0"/>
        <w:spacing w:before="0" w:after="240"/>
        <w:ind w:left="0" w:right="0" w:firstLine="720"/>
        <w:jc w:val="both"/>
        <w:rPr/>
      </w:pPr>
      <w:r>
        <w:rPr/>
        <w:t>“</w:t>
      </w:r>
      <w:r>
        <w:rPr>
          <w:rFonts w:ascii="Times New Roman;Times;serif" w:hAnsi="Times New Roman;Times;serif"/>
          <w:sz w:val="22"/>
          <w:u w:val="single"/>
        </w:rPr>
        <w:t>Alternative Currency Daily Rate</w:t>
      </w:r>
      <w:r>
        <w:rPr>
          <w:rFonts w:ascii="Times New Roman;Times;serif" w:hAnsi="Times New Roman;Times;serif"/>
          <w:sz w:val="20"/>
        </w:rPr>
        <w:t xml:space="preserve">” </w:t>
      </w:r>
      <w:r>
        <w:rPr>
          <w:rFonts w:ascii="Times New Roman;Times;serif" w:hAnsi="Times New Roman;Times;serif"/>
          <w:sz w:val="22"/>
        </w:rPr>
        <w:t>means, for any day, with respect to any Credit Extension: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denominated in Sterling, the rate per annum equal to SONIA determined pursuant to the definition thereof;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pursuant to </w:t>
      </w:r>
      <w:r>
        <w:rPr>
          <w:rFonts w:ascii="Times New Roman;Times;serif" w:hAnsi="Times New Roman;Times;serif"/>
          <w:sz w:val="22"/>
          <w:u w:val="single"/>
        </w:rPr>
        <w:t>Section 1.05 plus</w:t>
      </w:r>
      <w:r>
        <w:rPr>
          <w:rFonts w:ascii="Times New Roman;Times;serif" w:hAnsi="Times New Roman;Times;serif"/>
          <w:sz w:val="20"/>
        </w:rPr>
        <w:t xml:space="preserve"> </w:t>
      </w:r>
      <w:r>
        <w:rPr>
          <w:rFonts w:ascii="Times New Roman;Times;serif" w:hAnsi="Times New Roman;Times;serif"/>
          <w:sz w:val="22"/>
        </w:rPr>
        <w:t xml:space="preserve">the adjustment (if any) determined by the Administrative Agent and the relevant Lenders pursuant to </w:t>
      </w:r>
      <w:r>
        <w:rPr>
          <w:rFonts w:ascii="Times New Roman;Times;serif" w:hAnsi="Times New Roman;Times;serif"/>
          <w:sz w:val="22"/>
          <w:u w:val="single"/>
        </w:rPr>
        <w:t>Section 1.05</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that</w:t>
      </w:r>
      <w:r>
        <w:rPr>
          <w:rFonts w:ascii="Times New Roman;Times;serif" w:hAnsi="Times New Roman;Times;serif"/>
          <w:sz w:val="22"/>
        </w:rPr>
        <w:t>, if any Alternative Currency Daily Rate shall be less than zero, such rate shall be deemed zero for purposes of this Agreement. Any change in an Alternative Currency Daily Rate shall be effective from and including the date of such change without further notice.</w:t>
      </w:r>
    </w:p>
    <w:p>
      <w:pPr>
        <w:pStyle w:val="TextBody"/>
        <w:bidi w:val="0"/>
        <w:spacing w:before="0" w:after="240"/>
        <w:ind w:left="0" w:right="0" w:firstLine="720"/>
        <w:jc w:val="both"/>
        <w:rPr/>
      </w:pPr>
      <w:r>
        <w:rPr/>
        <w:t>“</w:t>
      </w:r>
      <w:r>
        <w:rPr>
          <w:rFonts w:ascii="Times New Roman;Times;serif" w:hAnsi="Times New Roman;Times;serif"/>
          <w:sz w:val="22"/>
          <w:u w:val="single"/>
        </w:rPr>
        <w:t>Alternative Currency Daily Rate Loan</w:t>
      </w:r>
      <w:r>
        <w:rPr>
          <w:rFonts w:ascii="Times New Roman;Times;serif" w:hAnsi="Times New Roman;Times;serif"/>
          <w:sz w:val="20"/>
        </w:rPr>
        <w:t xml:space="preserve">” </w:t>
      </w:r>
      <w:r>
        <w:rPr>
          <w:rFonts w:ascii="Times New Roman;Times;serif" w:hAnsi="Times New Roman;Times;serif"/>
          <w:sz w:val="22"/>
        </w:rPr>
        <w:t>means a Committed Loan that bears interest at a rate based on the definition of “Alternative Currency Daily Rate.” All Alternative Currency Daily Rate Loans must be denominated in an Alternative Currency.</w:t>
      </w:r>
    </w:p>
    <w:p>
      <w:pPr>
        <w:pStyle w:val="TextBody"/>
        <w:bidi w:val="0"/>
        <w:spacing w:before="0" w:after="240"/>
        <w:ind w:left="0" w:right="0" w:firstLine="720"/>
        <w:jc w:val="both"/>
        <w:rPr/>
      </w:pPr>
      <w:r>
        <w:rPr/>
        <w:t>“</w:t>
      </w:r>
      <w:r>
        <w:rPr>
          <w:rFonts w:ascii="Times New Roman;Times;serif" w:hAnsi="Times New Roman;Times;serif"/>
          <w:sz w:val="22"/>
          <w:u w:val="single"/>
        </w:rPr>
        <w:t>Alternative Currency Equivalent</w:t>
      </w:r>
      <w:r>
        <w:rPr>
          <w:rFonts w:ascii="Times New Roman;Times;serif" w:hAnsi="Times New Roman;Times;serif"/>
          <w:sz w:val="20"/>
        </w:rPr>
        <w:t xml:space="preserve">” </w:t>
      </w:r>
      <w:r>
        <w:rPr>
          <w:rFonts w:ascii="Times New Roman;Times;serif" w:hAnsi="Times New Roman;Times;serif"/>
          <w:sz w:val="22"/>
        </w:rPr>
        <w:t>means, at any time, with respect to any amount denominated in Dollars, the equivalent amount thereof in the applicable Alternative Currency as determined by the Administrative Agent at such time on the basis of the Spot Rate (determined in respect of the most recent Revaluation Date) for the purchase of such Alternative Currency with Dollars.</w:t>
      </w:r>
    </w:p>
    <w:p>
      <w:pPr>
        <w:pStyle w:val="TextBody"/>
        <w:bidi w:val="0"/>
        <w:spacing w:before="0" w:after="240"/>
        <w:ind w:left="0" w:right="0" w:firstLine="720"/>
        <w:jc w:val="both"/>
        <w:rPr/>
      </w:pPr>
      <w:r>
        <w:rPr/>
        <w:t>“</w:t>
      </w:r>
      <w:r>
        <w:rPr>
          <w:rFonts w:ascii="Times New Roman;Times;serif" w:hAnsi="Times New Roman;Times;serif"/>
          <w:sz w:val="22"/>
          <w:u w:val="single"/>
        </w:rPr>
        <w:t>Alternative Currency Loan</w:t>
      </w:r>
      <w:r>
        <w:rPr>
          <w:rFonts w:ascii="Times New Roman;Times;serif" w:hAnsi="Times New Roman;Times;serif"/>
          <w:sz w:val="20"/>
        </w:rPr>
        <w:t xml:space="preserve">” </w:t>
      </w:r>
      <w:r>
        <w:rPr>
          <w:rFonts w:ascii="Times New Roman;Times;serif" w:hAnsi="Times New Roman;Times;serif"/>
          <w:sz w:val="22"/>
        </w:rPr>
        <w:t>means an Alternative Currency Daily Rate Loan or an Alternative Currency Term Rate Loan, as applicable.</w:t>
      </w:r>
    </w:p>
    <w:p>
      <w:pPr>
        <w:pStyle w:val="TextBody"/>
        <w:bidi w:val="0"/>
        <w:spacing w:before="0" w:after="240"/>
        <w:ind w:left="0" w:right="0" w:firstLine="720"/>
        <w:jc w:val="both"/>
        <w:rPr/>
      </w:pPr>
      <w:r>
        <w:rPr/>
        <w:t>“</w:t>
      </w:r>
      <w:r>
        <w:rPr>
          <w:rFonts w:ascii="Times New Roman;Times;serif" w:hAnsi="Times New Roman;Times;serif"/>
          <w:sz w:val="22"/>
          <w:u w:val="single"/>
        </w:rPr>
        <w:t>Alternative Currency Sublimit</w:t>
      </w:r>
      <w:r>
        <w:rPr>
          <w:rFonts w:ascii="Times New Roman;Times;serif" w:hAnsi="Times New Roman;Times;serif"/>
          <w:sz w:val="20"/>
        </w:rPr>
        <w:t xml:space="preserve">” </w:t>
      </w:r>
      <w:r>
        <w:rPr>
          <w:rFonts w:ascii="Times New Roman;Times;serif" w:hAnsi="Times New Roman;Times;serif"/>
          <w:sz w:val="22"/>
        </w:rPr>
        <w:t>means an amount equal to the lesser of the Aggregate Commitments and $300,000,000. The Alternative Currency Sublimit is part of, and not in addition to, the Aggregate Commitments.</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Alternative Currency Term Rate</w:t>
      </w:r>
      <w:r>
        <w:rPr>
          <w:rFonts w:ascii="Times New Roman;Times;serif" w:hAnsi="Times New Roman;Times;serif"/>
          <w:sz w:val="20"/>
        </w:rPr>
        <w:t xml:space="preserve">” </w:t>
      </w:r>
      <w:r>
        <w:rPr>
          <w:rFonts w:ascii="Times New Roman;Times;serif" w:hAnsi="Times New Roman;Times;serif"/>
          <w:sz w:val="22"/>
        </w:rPr>
        <w:t>means, for any Interest Period, with respect to any Credit Extension: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denominated in Euros, the rate per annum equal to the Euro Interbank Offered Rate (“</w:t>
      </w:r>
      <w:r>
        <w:rPr>
          <w:rFonts w:ascii="Times New Roman;Times;serif" w:hAnsi="Times New Roman;Times;serif"/>
          <w:sz w:val="22"/>
          <w:u w:val="single"/>
        </w:rPr>
        <w:t>EURIBOR</w:t>
      </w:r>
      <w:r>
        <w:rPr>
          <w:rFonts w:ascii="Times New Roman;Times;serif" w:hAnsi="Times New Roman;Times;serif"/>
          <w:sz w:val="20"/>
        </w:rPr>
        <w:t>”</w:t>
      </w:r>
      <w:r>
        <w:rPr>
          <w:rFonts w:ascii="Times New Roman;Times;serif" w:hAnsi="Times New Roman;Times;serif"/>
          <w:sz w:val="22"/>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denominated in Japanese Yen, the rate per annum equal to the Tokyo Interbank Offer Rate (“</w:t>
      </w:r>
      <w:r>
        <w:rPr>
          <w:rFonts w:ascii="Times New Roman;Times;serif" w:hAnsi="Times New Roman;Times;serif"/>
          <w:sz w:val="22"/>
          <w:u w:val="single"/>
        </w:rPr>
        <w:t>TIBOR</w:t>
      </w:r>
      <w:r>
        <w:rPr>
          <w:rFonts w:ascii="Times New Roman;Times;serif" w:hAnsi="Times New Roman;Times;serif"/>
          <w:sz w:val="20"/>
        </w:rPr>
        <w:t>”</w:t>
      </w:r>
      <w:r>
        <w:rPr>
          <w:rFonts w:ascii="Times New Roman;Times;serif" w:hAnsi="Times New Roman;Times;serif"/>
          <w:sz w:val="22"/>
        </w:rPr>
        <w:t>), as published on the applicable Reuters screen page (or such other commercially available source providing such quotations as may be designated by the Administrative Agent from time to time) on the Rate Determination Date with a term equivalent to such Interest Period;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denominated in Australian dollars, the rate per annum equal to the Bank Bill Swap Reference Bid Rate (“</w:t>
      </w:r>
      <w:r>
        <w:rPr>
          <w:rFonts w:ascii="Times New Roman;Times;serif" w:hAnsi="Times New Roman;Times;serif"/>
          <w:sz w:val="22"/>
          <w:u w:val="single"/>
        </w:rPr>
        <w:t>BBSY</w:t>
      </w:r>
      <w:r>
        <w:rPr>
          <w:rFonts w:ascii="Times New Roman;Times;serif" w:hAnsi="Times New Roman;Times;serif"/>
          <w:sz w:val="20"/>
        </w:rPr>
        <w:t>”</w:t>
      </w:r>
      <w:r>
        <w:rPr>
          <w:rFonts w:ascii="Times New Roman;Times;serif" w:hAnsi="Times New Roman;Times;serif"/>
          <w:sz w:val="22"/>
        </w:rPr>
        <w:t>), as published on the applicable Reuters screen page (or such other commercially available source providing such quotations as may be designated by the Administrative Agent from time to time) on the Rate Determination Date with a term equivalent to such Interest Period;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denominated in Hong Kong Dollars, the rate per annum equal to the Hong Kong Interbank Offered Rate (“</w:t>
      </w:r>
      <w:r>
        <w:rPr>
          <w:rFonts w:ascii="Times New Roman;Times;serif" w:hAnsi="Times New Roman;Times;serif"/>
          <w:sz w:val="22"/>
          <w:u w:val="single"/>
        </w:rPr>
        <w:t>HIBOR</w:t>
      </w:r>
      <w:r>
        <w:rPr>
          <w:rFonts w:ascii="Times New Roman;Times;serif" w:hAnsi="Times New Roman;Times;serif"/>
          <w:sz w:val="20"/>
        </w:rPr>
        <w:t>”</w:t>
      </w:r>
      <w:r>
        <w:rPr>
          <w:rFonts w:ascii="Times New Roman;Times;serif" w:hAnsi="Times New Roman;Times;serif"/>
          <w:sz w:val="22"/>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at or about 11:00 a.m. (Hong Kong time) on the Rate Determination Date with a term equivalent to such Interest Period;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 xml:space="preserve">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pursuant to </w:t>
      </w:r>
      <w:r>
        <w:rPr>
          <w:rFonts w:ascii="Times New Roman;Times;serif" w:hAnsi="Times New Roman;Times;serif"/>
          <w:sz w:val="22"/>
          <w:u w:val="single"/>
        </w:rPr>
        <w:t>Section 1.05 plus</w:t>
      </w:r>
      <w:r>
        <w:rPr>
          <w:rFonts w:ascii="Times New Roman;Times;serif" w:hAnsi="Times New Roman;Times;serif"/>
          <w:sz w:val="20"/>
        </w:rPr>
        <w:t xml:space="preserve"> </w:t>
      </w:r>
      <w:r>
        <w:rPr>
          <w:rFonts w:ascii="Times New Roman;Times;serif" w:hAnsi="Times New Roman;Times;serif"/>
          <w:sz w:val="22"/>
        </w:rPr>
        <w:t xml:space="preserve">the adjustment (if any) determined by the Administrative Agent and the relevant Lenders pursuant to </w:t>
      </w:r>
      <w:r>
        <w:rPr>
          <w:rFonts w:ascii="Times New Roman;Times;serif" w:hAnsi="Times New Roman;Times;serif"/>
          <w:sz w:val="22"/>
          <w:u w:val="single"/>
        </w:rPr>
        <w:t>Section 1.05</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that</w:t>
      </w:r>
      <w:r>
        <w:rPr>
          <w:rFonts w:ascii="Times New Roman;Times;serif" w:hAnsi="Times New Roman;Times;serif"/>
          <w:sz w:val="22"/>
        </w:rPr>
        <w:t>, if any Alternative Currency Term Rate shall be less than zero, such rate shall be deemed zero for purposes 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Alternative Currency Term Rate Loan</w:t>
      </w:r>
      <w:r>
        <w:rPr>
          <w:rFonts w:ascii="Times New Roman;Times;serif" w:hAnsi="Times New Roman;Times;serif"/>
          <w:sz w:val="20"/>
        </w:rPr>
        <w:t xml:space="preserve">” </w:t>
      </w:r>
      <w:r>
        <w:rPr>
          <w:rFonts w:ascii="Times New Roman;Times;serif" w:hAnsi="Times New Roman;Times;serif"/>
          <w:sz w:val="22"/>
        </w:rPr>
        <w:t>means a Committed Loan that bears interest at a rate based on the definition of “Alternative Currency Term Rate.” All Alternative Currency Term Rate Loans must be denominated in an Alternative Currency.</w:t>
      </w:r>
    </w:p>
    <w:p>
      <w:pPr>
        <w:pStyle w:val="TextBody"/>
        <w:bidi w:val="0"/>
        <w:spacing w:before="0" w:after="240"/>
        <w:ind w:left="0" w:right="0" w:firstLine="720"/>
        <w:jc w:val="both"/>
        <w:rPr/>
      </w:pPr>
      <w:r>
        <w:rPr/>
        <w:t>“</w:t>
      </w:r>
      <w:r>
        <w:rPr>
          <w:rFonts w:ascii="Times New Roman;Times;serif" w:hAnsi="Times New Roman;Times;serif"/>
          <w:sz w:val="22"/>
          <w:u w:val="single"/>
        </w:rPr>
        <w:t>Amendment No. 1 Effective Date</w:t>
      </w:r>
      <w:r>
        <w:rPr>
          <w:rFonts w:ascii="Times New Roman;Times;serif" w:hAnsi="Times New Roman;Times;serif"/>
          <w:sz w:val="20"/>
        </w:rPr>
        <w:t xml:space="preserve">” </w:t>
      </w:r>
      <w:r>
        <w:rPr>
          <w:rFonts w:ascii="Times New Roman;Times;serif" w:hAnsi="Times New Roman;Times;serif"/>
          <w:sz w:val="22"/>
        </w:rPr>
        <w:t>means August 28, 2025.</w:t>
      </w:r>
    </w:p>
    <w:p>
      <w:pPr>
        <w:pStyle w:val="TextBody"/>
        <w:bidi w:val="0"/>
        <w:spacing w:before="0" w:after="240"/>
        <w:ind w:left="0" w:right="0" w:firstLine="720"/>
        <w:jc w:val="both"/>
        <w:rPr>
          <w:color w:val="0000FF"/>
          <w:u w:val="single"/>
        </w:rPr>
      </w:pPr>
      <w:r>
        <w:rPr>
          <w:color w:val="0000FF"/>
          <w:u w:val="single"/>
        </w:rPr>
        <w:t>“</w:t>
      </w:r>
      <w:r>
        <w:rPr>
          <w:rFonts w:ascii="Times New Roman;Times;serif" w:hAnsi="Times New Roman;Times;serif"/>
          <w:color w:val="0000FF"/>
          <w:sz w:val="22"/>
          <w:u w:val="single"/>
        </w:rPr>
        <w:t>Amendment No. 3” means that certain Amendment No. 3 to Third Amended and Restated Credit Agreement, dated as of the Amendment No. 3 Effective Date, by and among the Company, the Designated Borrowers party thereto, the Lenders party thereto and the Administrative Agent.</w:t>
      </w:r>
    </w:p>
    <w:p>
      <w:pPr>
        <w:pStyle w:val="TextBody"/>
        <w:bidi w:val="0"/>
        <w:spacing w:before="0" w:after="240"/>
        <w:ind w:left="0" w:right="0" w:firstLine="720"/>
        <w:jc w:val="both"/>
        <w:rPr>
          <w:color w:val="0000FF"/>
          <w:u w:val="single"/>
        </w:rPr>
      </w:pPr>
      <w:r>
        <w:rPr>
          <w:color w:val="0000FF"/>
          <w:u w:val="single"/>
        </w:rPr>
        <w:t>“</w:t>
      </w:r>
      <w:r>
        <w:rPr>
          <w:rFonts w:ascii="Times New Roman;Times;serif" w:hAnsi="Times New Roman;Times;serif"/>
          <w:color w:val="0000FF"/>
          <w:sz w:val="22"/>
          <w:u w:val="single"/>
        </w:rPr>
        <w:t>Amendment No. 3 Effective Date” means October 13, 2026.</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Applicable Authority</w:t>
      </w:r>
      <w:r>
        <w:rPr>
          <w:rFonts w:ascii="Times New Roman;Times;serif" w:hAnsi="Times New Roman;Times;serif"/>
          <w:sz w:val="20"/>
        </w:rPr>
        <w:t xml:space="preserve">” </w:t>
      </w:r>
      <w:r>
        <w:rPr>
          <w:rFonts w:ascii="Times New Roman;Times;serif" w:hAnsi="Times New Roman;Times;serif"/>
          <w:sz w:val="22"/>
        </w:rPr>
        <w:t>means (a) with respect to SOFR, the SOFR Administrator or any Governmental Authority having jurisdiction over the Administrative Agent or the SOFR Administrator with respect to its publication of SOFR, in each case acting in such capacity and (b) with respect to any Alternative Currency, the applicable administrator for the Relevant Rate for such Alternative Currency or any Governmental Authority having jurisdiction over the Administrative Agent or such administrator with respect to its publication of the applicable Relevant Rate, in each case acting in such capacity.</w:t>
      </w:r>
    </w:p>
    <w:p>
      <w:pPr>
        <w:pStyle w:val="TextBody"/>
        <w:bidi w:val="0"/>
        <w:spacing w:before="0" w:after="240"/>
        <w:ind w:left="0" w:right="0" w:firstLine="720"/>
        <w:jc w:val="both"/>
        <w:rPr/>
      </w:pPr>
      <w:r>
        <w:rPr/>
        <w:t>“</w:t>
      </w:r>
      <w:r>
        <w:rPr>
          <w:rFonts w:ascii="Times New Roman;Times;serif" w:hAnsi="Times New Roman;Times;serif"/>
          <w:sz w:val="22"/>
          <w:u w:val="single"/>
        </w:rPr>
        <w:t>Applicable Foreign Obligor Documents</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5.19(a)</w:t>
      </w:r>
      <w:r>
        <w:rPr>
          <w:rFonts w:ascii="Times New Roman;Times;serif" w:hAnsi="Times New Roman;Times;serif"/>
          <w:sz w:val="22"/>
        </w:rPr>
        <w:t xml:space="preserve">. </w:t>
      </w:r>
    </w:p>
    <w:p>
      <w:pPr>
        <w:pStyle w:val="TextBody"/>
        <w:bidi w:val="0"/>
        <w:spacing w:before="0" w:after="240"/>
        <w:ind w:left="0" w:right="0" w:firstLine="720"/>
        <w:jc w:val="both"/>
        <w:rPr/>
      </w:pPr>
      <w:r>
        <w:rPr/>
        <w:t>“</w:t>
      </w:r>
      <w:r>
        <w:rPr>
          <w:rFonts w:ascii="Times New Roman;Times;serif" w:hAnsi="Times New Roman;Times;serif"/>
          <w:sz w:val="22"/>
          <w:u w:val="single"/>
        </w:rPr>
        <w:t>Applicable Percentage</w:t>
      </w:r>
      <w:r>
        <w:rPr>
          <w:rFonts w:ascii="Times New Roman;Times;serif" w:hAnsi="Times New Roman;Times;serif"/>
          <w:sz w:val="20"/>
        </w:rPr>
        <w:t xml:space="preserve">” </w:t>
      </w:r>
      <w:r>
        <w:rPr>
          <w:rFonts w:ascii="Times New Roman;Times;serif" w:hAnsi="Times New Roman;Times;serif"/>
          <w:sz w:val="22"/>
        </w:rPr>
        <w:t xml:space="preserve">means with respect to any Lender at any time, the percentage (carried out to the ninth decimal place) of the Aggregate Commitments represented by such Lender’s Commitment at such time, subject to adjustment as provided in this Agreement. If the commitment of each Lender to make Loans and the obligation of each L/C Issuer to make L/C Credit Extensions have been terminated pursuant to </w:t>
      </w:r>
      <w:r>
        <w:rPr>
          <w:rFonts w:ascii="Times New Roman;Times;serif" w:hAnsi="Times New Roman;Times;serif"/>
          <w:sz w:val="22"/>
          <w:u w:val="single"/>
        </w:rPr>
        <w:t>Section 8.02</w:t>
      </w:r>
      <w:r>
        <w:rPr>
          <w:rFonts w:ascii="Times New Roman;Times;serif" w:hAnsi="Times New Roman;Times;serif"/>
          <w:sz w:val="20"/>
        </w:rPr>
        <w:t xml:space="preserve"> </w:t>
      </w:r>
      <w:r>
        <w:rPr>
          <w:rFonts w:ascii="Times New Roman;Times;serif" w:hAnsi="Times New Roman;Times;serif"/>
          <w:sz w:val="22"/>
        </w:rPr>
        <w:t xml:space="preserve">or if the Aggregate Commitments have expired, then the Applicable Percentage of each Lender shall be determined based on the Applicable Percentage of such Lender most recently in effect, giving effect to any subsequent assignments. The initial Applicable Percentage of each Lender is set forth opposite the name of such Lender on </w:t>
      </w:r>
      <w:r>
        <w:rPr>
          <w:rFonts w:ascii="Times New Roman;Times;serif" w:hAnsi="Times New Roman;Times;serif"/>
          <w:sz w:val="22"/>
          <w:u w:val="single"/>
        </w:rPr>
        <w:t>Schedule 2.01</w:t>
      </w:r>
      <w:r>
        <w:rPr>
          <w:rFonts w:ascii="Times New Roman;Times;serif" w:hAnsi="Times New Roman;Times;serif"/>
          <w:sz w:val="20"/>
        </w:rPr>
        <w:t xml:space="preserve"> </w:t>
      </w:r>
      <w:r>
        <w:rPr>
          <w:rFonts w:ascii="Times New Roman;Times;serif" w:hAnsi="Times New Roman;Times;serif"/>
          <w:sz w:val="22"/>
        </w:rPr>
        <w:t>or in the Assignment and Assumption pursuant to which such Lender becomes a party hereto, as applicable.</w:t>
      </w:r>
    </w:p>
    <w:p>
      <w:pPr>
        <w:pStyle w:val="TextBody"/>
        <w:bidi w:val="0"/>
        <w:spacing w:before="0" w:after="240"/>
        <w:ind w:left="0" w:right="0" w:firstLine="784"/>
        <w:jc w:val="both"/>
        <w:rPr/>
      </w:pPr>
      <w:r>
        <w:rPr/>
        <w:t>“</w:t>
      </w:r>
      <w:r>
        <w:rPr>
          <w:rFonts w:ascii="Times New Roman;Times;serif" w:hAnsi="Times New Roman;Times;serif"/>
          <w:sz w:val="22"/>
          <w:u w:val="single"/>
        </w:rPr>
        <w:t>Applicable Rate</w:t>
      </w:r>
      <w:r>
        <w:rPr>
          <w:rFonts w:ascii="Times New Roman;Times;serif" w:hAnsi="Times New Roman;Times;serif"/>
          <w:sz w:val="20"/>
        </w:rPr>
        <w:t xml:space="preserve">” </w:t>
      </w:r>
      <w:r>
        <w:rPr>
          <w:rFonts w:ascii="Times New Roman;Times;serif" w:hAnsi="Times New Roman;Times;serif"/>
          <w:sz w:val="22"/>
        </w:rPr>
        <w:t>means, from time to time, the following percentages per annum, based upon the Debt Rating as set forth below:</w:t>
      </w:r>
    </w:p>
    <w:tbl>
      <w:tblPr>
        <w:tblW w:w="6920" w:type="dxa"/>
        <w:jc w:val="left"/>
        <w:tblInd w:w="0" w:type="dxa"/>
        <w:tblLayout w:type="fixed"/>
        <w:tblCellMar>
          <w:top w:w="0" w:type="dxa"/>
          <w:left w:w="0" w:type="dxa"/>
          <w:bottom w:w="0" w:type="dxa"/>
          <w:right w:w="28" w:type="dxa"/>
        </w:tblCellMar>
      </w:tblPr>
      <w:tblGrid>
        <w:gridCol w:w="826"/>
        <w:gridCol w:w="2071"/>
        <w:gridCol w:w="841"/>
        <w:gridCol w:w="2311"/>
        <w:gridCol w:w="871"/>
      </w:tblGrid>
      <w:tr>
        <w:trPr/>
        <w:tc>
          <w:tcPr>
            <w:tcW w:w="826" w:type="dxa"/>
            <w:tcBorders>
              <w:right w:val="single" w:sz="2" w:space="0" w:color="010101"/>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Pricing</w:t>
              <w:br/>
              <w:t>Level</w:t>
            </w:r>
          </w:p>
        </w:tc>
        <w:tc>
          <w:tcPr>
            <w:tcW w:w="2071" w:type="dxa"/>
            <w:tcBorders>
              <w:left w:val="single" w:sz="2" w:space="0" w:color="010101"/>
              <w:right w:val="single" w:sz="2" w:space="0" w:color="010101"/>
            </w:tcBorders>
            <w:tcMar>
              <w:left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Debt Ratings S&amp;P</w:t>
              <w:br/>
              <w:t>/Moody’s/Fitch</w:t>
            </w:r>
          </w:p>
        </w:tc>
        <w:tc>
          <w:tcPr>
            <w:tcW w:w="841" w:type="dxa"/>
            <w:tcBorders>
              <w:left w:val="single" w:sz="2" w:space="0" w:color="010101"/>
              <w:right w:val="single" w:sz="2" w:space="0" w:color="010101"/>
            </w:tcBorders>
            <w:tcMar>
              <w:left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Facility</w:t>
              <w:br/>
              <w:t>Fee</w:t>
            </w:r>
          </w:p>
        </w:tc>
        <w:tc>
          <w:tcPr>
            <w:tcW w:w="2311" w:type="dxa"/>
            <w:tcBorders>
              <w:left w:val="single" w:sz="2" w:space="0" w:color="010101"/>
              <w:right w:val="single" w:sz="2" w:space="0" w:color="010101"/>
            </w:tcBorders>
            <w:tcMar>
              <w:left w:w="28"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 xml:space="preserve">Alternative Currency </w:t>
              <w:br/>
              <w:t xml:space="preserve">Term Rate + </w:t>
              <w:br/>
              <w:t xml:space="preserve">Alternative Currency </w:t>
              <w:br/>
              <w:t xml:space="preserve">Daily Rate + Term </w:t>
              <w:br/>
              <w:t>SOFR + SOFR Daily</w:t>
              <w:br/>
              <w:t>Floating Rate + Letter</w:t>
            </w:r>
          </w:p>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of</w:t>
              <w:br/>
              <w:t>Credit Fee + Euro</w:t>
              <w:br/>
              <w:t>Swing Line Rate</w:t>
            </w:r>
          </w:p>
        </w:tc>
        <w:tc>
          <w:tcPr>
            <w:tcW w:w="871" w:type="dxa"/>
            <w:tcBorders>
              <w:left w:val="single" w:sz="2" w:space="0" w:color="010101"/>
            </w:tcBorders>
            <w:tcMar>
              <w:left w:w="28" w:type="dxa"/>
              <w:right w:w="0" w:type="dxa"/>
            </w:tcMar>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Base</w:t>
              <w:br/>
              <w:t>Rate</w:t>
            </w:r>
          </w:p>
        </w:tc>
      </w:tr>
      <w:tr>
        <w:trPr/>
        <w:tc>
          <w:tcPr>
            <w:tcW w:w="826" w:type="dxa"/>
            <w:tcBorders>
              <w:top w:val="single" w:sz="2" w:space="0" w:color="010101"/>
              <w:right w:val="single" w:sz="2" w:space="0" w:color="010101"/>
            </w:tcBorders>
            <w:tcMar>
              <w:top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w:t>
            </w:r>
          </w:p>
        </w:tc>
        <w:tc>
          <w:tcPr>
            <w:tcW w:w="2071" w:type="dxa"/>
            <w:tcBorders>
              <w:top w:val="single" w:sz="2" w:space="0" w:color="010101"/>
              <w:left w:val="single" w:sz="2" w:space="0" w:color="010101"/>
              <w:right w:val="single" w:sz="2" w:space="0" w:color="010101"/>
            </w:tcBorders>
            <w:tcMar>
              <w:top w:w="28" w:type="dxa"/>
              <w:lef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BBB+/Baa1/BBB+</w:t>
            </w:r>
          </w:p>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or better</w:t>
            </w:r>
          </w:p>
        </w:tc>
        <w:tc>
          <w:tcPr>
            <w:tcW w:w="841" w:type="dxa"/>
            <w:tcBorders>
              <w:top w:val="single" w:sz="2" w:space="0" w:color="010101"/>
              <w:left w:val="single" w:sz="2" w:space="0" w:color="010101"/>
              <w:right w:val="single" w:sz="2" w:space="0" w:color="010101"/>
            </w:tcBorders>
            <w:tcMar>
              <w:top w:w="28" w:type="dxa"/>
              <w:lef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0.100%</w:t>
            </w:r>
          </w:p>
        </w:tc>
        <w:tc>
          <w:tcPr>
            <w:tcW w:w="2311" w:type="dxa"/>
            <w:tcBorders>
              <w:top w:val="single" w:sz="2" w:space="0" w:color="010101"/>
              <w:left w:val="single" w:sz="2" w:space="0" w:color="010101"/>
              <w:right w:val="single" w:sz="2" w:space="0" w:color="010101"/>
            </w:tcBorders>
            <w:tcMar>
              <w:top w:w="28" w:type="dxa"/>
              <w:lef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0.900%</w:t>
            </w:r>
          </w:p>
        </w:tc>
        <w:tc>
          <w:tcPr>
            <w:tcW w:w="871" w:type="dxa"/>
            <w:tcBorders>
              <w:top w:val="single" w:sz="2" w:space="0" w:color="010101"/>
              <w:left w:val="single" w:sz="2" w:space="0" w:color="010101"/>
            </w:tcBorders>
            <w:tcMar>
              <w:top w:w="28" w:type="dxa"/>
              <w:left w:w="28" w:type="dxa"/>
              <w:right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0.000%</w:t>
            </w:r>
          </w:p>
        </w:tc>
      </w:tr>
      <w:tr>
        <w:trPr/>
        <w:tc>
          <w:tcPr>
            <w:tcW w:w="826" w:type="dxa"/>
            <w:tcBorders>
              <w:right w:val="single" w:sz="2" w:space="0" w:color="010101"/>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w:t>
            </w:r>
          </w:p>
        </w:tc>
        <w:tc>
          <w:tcPr>
            <w:tcW w:w="2071" w:type="dxa"/>
            <w:tcBorders>
              <w:left w:val="single" w:sz="2" w:space="0" w:color="010101"/>
              <w:right w:val="single" w:sz="2" w:space="0" w:color="010101"/>
            </w:tcBorders>
            <w:tcMar>
              <w:lef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BBB/Baa2/BBB</w:t>
            </w:r>
          </w:p>
        </w:tc>
        <w:tc>
          <w:tcPr>
            <w:tcW w:w="841" w:type="dxa"/>
            <w:tcBorders>
              <w:left w:val="single" w:sz="2" w:space="0" w:color="010101"/>
              <w:right w:val="single" w:sz="2" w:space="0" w:color="010101"/>
            </w:tcBorders>
            <w:tcMar>
              <w:lef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0.125%</w:t>
            </w:r>
          </w:p>
        </w:tc>
        <w:tc>
          <w:tcPr>
            <w:tcW w:w="2311" w:type="dxa"/>
            <w:tcBorders>
              <w:left w:val="single" w:sz="2" w:space="0" w:color="010101"/>
              <w:right w:val="single" w:sz="2" w:space="0" w:color="010101"/>
            </w:tcBorders>
            <w:tcMar>
              <w:lef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1.000%</w:t>
            </w:r>
          </w:p>
        </w:tc>
        <w:tc>
          <w:tcPr>
            <w:tcW w:w="871" w:type="dxa"/>
            <w:tcBorders>
              <w:left w:val="single" w:sz="2" w:space="0" w:color="010101"/>
            </w:tcBorders>
            <w:tcMar>
              <w:left w:w="28" w:type="dxa"/>
              <w:right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0.000%</w:t>
            </w:r>
          </w:p>
        </w:tc>
      </w:tr>
      <w:tr>
        <w:trPr/>
        <w:tc>
          <w:tcPr>
            <w:tcW w:w="826" w:type="dxa"/>
            <w:tcBorders>
              <w:right w:val="single" w:sz="2" w:space="0" w:color="010101"/>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w:t>
            </w:r>
          </w:p>
        </w:tc>
        <w:tc>
          <w:tcPr>
            <w:tcW w:w="2071" w:type="dxa"/>
            <w:tcBorders>
              <w:left w:val="single" w:sz="2" w:space="0" w:color="010101"/>
              <w:right w:val="single" w:sz="2" w:space="0" w:color="010101"/>
            </w:tcBorders>
            <w:tcMar>
              <w:lef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BBB-/Baa3/BBB-</w:t>
            </w:r>
          </w:p>
        </w:tc>
        <w:tc>
          <w:tcPr>
            <w:tcW w:w="841" w:type="dxa"/>
            <w:tcBorders>
              <w:left w:val="single" w:sz="2" w:space="0" w:color="010101"/>
              <w:right w:val="single" w:sz="2" w:space="0" w:color="010101"/>
            </w:tcBorders>
            <w:tcMar>
              <w:lef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0.175%</w:t>
            </w:r>
          </w:p>
        </w:tc>
        <w:tc>
          <w:tcPr>
            <w:tcW w:w="2311" w:type="dxa"/>
            <w:tcBorders>
              <w:left w:val="single" w:sz="2" w:space="0" w:color="010101"/>
              <w:right w:val="single" w:sz="2" w:space="0" w:color="010101"/>
            </w:tcBorders>
            <w:tcMar>
              <w:lef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1.075%</w:t>
            </w:r>
          </w:p>
        </w:tc>
        <w:tc>
          <w:tcPr>
            <w:tcW w:w="871" w:type="dxa"/>
            <w:tcBorders>
              <w:left w:val="single" w:sz="2" w:space="0" w:color="010101"/>
            </w:tcBorders>
            <w:tcMar>
              <w:left w:w="28" w:type="dxa"/>
              <w:right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0.075%</w:t>
            </w:r>
          </w:p>
        </w:tc>
      </w:tr>
      <w:tr>
        <w:trPr/>
        <w:tc>
          <w:tcPr>
            <w:tcW w:w="826" w:type="dxa"/>
            <w:tcBorders>
              <w:right w:val="single" w:sz="2" w:space="0" w:color="010101"/>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w:t>
            </w:r>
          </w:p>
        </w:tc>
        <w:tc>
          <w:tcPr>
            <w:tcW w:w="2071" w:type="dxa"/>
            <w:tcBorders>
              <w:left w:val="single" w:sz="2" w:space="0" w:color="010101"/>
              <w:right w:val="single" w:sz="2" w:space="0" w:color="010101"/>
            </w:tcBorders>
            <w:tcMar>
              <w:lef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BB+/Ba1/BB+</w:t>
            </w:r>
          </w:p>
        </w:tc>
        <w:tc>
          <w:tcPr>
            <w:tcW w:w="841" w:type="dxa"/>
            <w:tcBorders>
              <w:left w:val="single" w:sz="2" w:space="0" w:color="010101"/>
              <w:right w:val="single" w:sz="2" w:space="0" w:color="010101"/>
            </w:tcBorders>
            <w:tcMar>
              <w:lef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0.225%</w:t>
            </w:r>
          </w:p>
        </w:tc>
        <w:tc>
          <w:tcPr>
            <w:tcW w:w="2311" w:type="dxa"/>
            <w:tcBorders>
              <w:left w:val="single" w:sz="2" w:space="0" w:color="010101"/>
              <w:right w:val="single" w:sz="2" w:space="0" w:color="010101"/>
            </w:tcBorders>
            <w:tcMar>
              <w:lef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1.275%</w:t>
            </w:r>
          </w:p>
        </w:tc>
        <w:tc>
          <w:tcPr>
            <w:tcW w:w="871" w:type="dxa"/>
            <w:tcBorders>
              <w:left w:val="single" w:sz="2" w:space="0" w:color="010101"/>
            </w:tcBorders>
            <w:tcMar>
              <w:left w:w="28" w:type="dxa"/>
              <w:right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0.275%</w:t>
            </w:r>
          </w:p>
        </w:tc>
      </w:tr>
      <w:tr>
        <w:trPr/>
        <w:tc>
          <w:tcPr>
            <w:tcW w:w="826" w:type="dxa"/>
            <w:tcBorders>
              <w:right w:val="single" w:sz="2" w:space="0" w:color="010101"/>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w:t>
            </w:r>
          </w:p>
        </w:tc>
        <w:tc>
          <w:tcPr>
            <w:tcW w:w="2071" w:type="dxa"/>
            <w:tcBorders>
              <w:left w:val="single" w:sz="2" w:space="0" w:color="010101"/>
              <w:right w:val="single" w:sz="2" w:space="0" w:color="010101"/>
            </w:tcBorders>
            <w:tcMar>
              <w:lef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BB/Ba2/BB or worse</w:t>
            </w:r>
          </w:p>
        </w:tc>
        <w:tc>
          <w:tcPr>
            <w:tcW w:w="841" w:type="dxa"/>
            <w:tcBorders>
              <w:left w:val="single" w:sz="2" w:space="0" w:color="010101"/>
              <w:right w:val="single" w:sz="2" w:space="0" w:color="010101"/>
            </w:tcBorders>
            <w:tcMar>
              <w:lef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0.275%</w:t>
            </w:r>
          </w:p>
        </w:tc>
        <w:tc>
          <w:tcPr>
            <w:tcW w:w="2311" w:type="dxa"/>
            <w:tcBorders>
              <w:left w:val="single" w:sz="2" w:space="0" w:color="010101"/>
              <w:right w:val="single" w:sz="2" w:space="0" w:color="010101"/>
            </w:tcBorders>
            <w:tcMar>
              <w:left w:w="28"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1.475%</w:t>
            </w:r>
          </w:p>
        </w:tc>
        <w:tc>
          <w:tcPr>
            <w:tcW w:w="871" w:type="dxa"/>
            <w:tcBorders>
              <w:left w:val="single" w:sz="2" w:space="0" w:color="010101"/>
            </w:tcBorders>
            <w:tcMar>
              <w:left w:w="28" w:type="dxa"/>
              <w:right w:w="0" w:type="dxa"/>
            </w:tcMar>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0.475%</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sz w:val="22"/>
          <w:u w:val="single"/>
        </w:rPr>
        <w:t>Debt Rating</w:t>
      </w:r>
      <w:r>
        <w:rPr>
          <w:rFonts w:ascii="Times New Roman;Times;serif" w:hAnsi="Times New Roman;Times;serif"/>
          <w:sz w:val="20"/>
        </w:rPr>
        <w:t xml:space="preserve">” </w:t>
      </w:r>
      <w:r>
        <w:rPr>
          <w:rFonts w:ascii="Times New Roman;Times;serif" w:hAnsi="Times New Roman;Times;serif"/>
          <w:sz w:val="22"/>
        </w:rPr>
        <w:t>means, as of any date of determination, the rating as determined by any of S&amp;P, Moody’s or Fitch (collectively, the “</w:t>
      </w:r>
      <w:r>
        <w:rPr>
          <w:rFonts w:ascii="Times New Roman;Times;serif" w:hAnsi="Times New Roman;Times;serif"/>
          <w:sz w:val="22"/>
          <w:u w:val="single"/>
        </w:rPr>
        <w:t>Rating Agencies</w:t>
      </w:r>
      <w:r>
        <w:rPr>
          <w:rFonts w:ascii="Times New Roman;Times;serif" w:hAnsi="Times New Roman;Times;serif"/>
          <w:sz w:val="20"/>
        </w:rPr>
        <w:t xml:space="preserve">” </w:t>
      </w:r>
      <w:r>
        <w:rPr>
          <w:rFonts w:ascii="Times New Roman;Times;serif" w:hAnsi="Times New Roman;Times;serif"/>
          <w:sz w:val="22"/>
        </w:rPr>
        <w:t>and each a “</w:t>
      </w:r>
      <w:r>
        <w:rPr>
          <w:rFonts w:ascii="Times New Roman;Times;serif" w:hAnsi="Times New Roman;Times;serif"/>
          <w:sz w:val="22"/>
          <w:u w:val="single"/>
        </w:rPr>
        <w:t>Rating Agency</w:t>
      </w:r>
      <w:r>
        <w:rPr>
          <w:rFonts w:ascii="Times New Roman;Times;serif" w:hAnsi="Times New Roman;Times;serif"/>
          <w:sz w:val="20"/>
        </w:rPr>
        <w:t>”</w:t>
      </w:r>
      <w:r>
        <w:rPr>
          <w:rFonts w:ascii="Times New Roman;Times;serif" w:hAnsi="Times New Roman;Times;serif"/>
          <w:sz w:val="22"/>
        </w:rPr>
        <w:t>) (collectively, the “</w:t>
      </w:r>
      <w:r>
        <w:rPr>
          <w:rFonts w:ascii="Times New Roman;Times;serif" w:hAnsi="Times New Roman;Times;serif"/>
          <w:sz w:val="22"/>
          <w:u w:val="single"/>
        </w:rPr>
        <w:t>Debt Ratings</w:t>
      </w:r>
      <w:r>
        <w:rPr>
          <w:rFonts w:ascii="Times New Roman;Times;serif" w:hAnsi="Times New Roman;Times;serif"/>
          <w:sz w:val="20"/>
        </w:rPr>
        <w:t>”</w:t>
      </w:r>
      <w:r>
        <w:rPr>
          <w:rFonts w:ascii="Times New Roman;Times;serif" w:hAnsi="Times New Roman;Times;serif"/>
          <w:sz w:val="22"/>
        </w:rPr>
        <w:t xml:space="preserve">) of the Company’s non-credit-enhanced, senior unsecured long-term debt;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if the Debt Ratings from the Rating Agencies fall within different Pricing Levels, (a) if only two Rating Agencies provide a Debt Rating, then (i) if the ratings differ by one Pricing Level, then the Pricing Level for the higher of such Debt Ratings shall apply (with the Debt Rating for Pricing Level 1 being the highest and the Debt Rating for Pricing Level 5 being the lowest), and (ii) if there is a split in Debt Ratings of more than one level, then the Pricing Level that is one level lower than the Pricing Level of the higher Debt Rating shall apply, (b) if all three Rating Agencies provide a Debt Rating, then (i) if two of the Debt Ratings are at the same Pricing Level, then such Pricing Level shall apply and (ii) if each of the Debt Ratings fall within different levels, then the Pricing Level of such Debt Rating between the</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highest Debt Rating and the lowest Debt Rating shall apply, and (c) if the Company does not have any Debt Rating, Pricing Level 5 shall apply; </w:t>
      </w:r>
      <w:r>
        <w:rPr>
          <w:rFonts w:ascii="Times New Roman;Times;serif" w:hAnsi="Times New Roman;Times;serif"/>
          <w:sz w:val="22"/>
          <w:u w:val="single"/>
        </w:rPr>
        <w:t>provided</w:t>
      </w:r>
      <w:r>
        <w:rPr>
          <w:rFonts w:ascii="Times New Roman;Times;serif" w:hAnsi="Times New Roman;Times;serif"/>
          <w:sz w:val="22"/>
        </w:rPr>
        <w:t>, further, that if only one Rating Agency provides a Debt Rating, such Debt Rating shall apply.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2"/>
        </w:rPr>
        <w:t xml:space="preserve">Initially, the Applicable Rate shall be determined based upon the Debt Ratings in effect on the Closing Date, each of which shall be specified in the certificate delivered pursuant to </w:t>
      </w:r>
      <w:r>
        <w:rPr>
          <w:rFonts w:ascii="Times New Roman;Times;serif" w:hAnsi="Times New Roman;Times;serif"/>
          <w:sz w:val="22"/>
          <w:u w:val="single"/>
        </w:rPr>
        <w:t>Section 4.01(a)(vii)</w:t>
      </w:r>
      <w:r>
        <w:rPr>
          <w:rFonts w:ascii="Times New Roman;Times;serif" w:hAnsi="Times New Roman;Times;serif"/>
          <w:sz w:val="22"/>
        </w:rPr>
        <w:t>. Thereafter, each change in the Applicable Rate resulting from a publicly announced change in any Debt Rating shall be effective during the period commencing on the opening of business on the date of the public announcement thereof and ending on the date immediately preceding the effective date of the next such change.</w:t>
      </w:r>
    </w:p>
    <w:p>
      <w:pPr>
        <w:pStyle w:val="TextBody"/>
        <w:bidi w:val="0"/>
        <w:spacing w:before="0" w:after="240"/>
        <w:ind w:left="0" w:right="0" w:firstLine="720"/>
        <w:jc w:val="both"/>
        <w:rPr/>
      </w:pPr>
      <w:r>
        <w:rPr/>
        <w:t>“</w:t>
      </w:r>
      <w:r>
        <w:rPr>
          <w:rFonts w:ascii="Times New Roman;Times;serif" w:hAnsi="Times New Roman;Times;serif"/>
          <w:sz w:val="22"/>
          <w:u w:val="single"/>
        </w:rPr>
        <w:t>Applicable Time</w:t>
      </w:r>
      <w:r>
        <w:rPr>
          <w:rFonts w:ascii="Times New Roman;Times;serif" w:hAnsi="Times New Roman;Times;serif"/>
          <w:sz w:val="20"/>
        </w:rPr>
        <w:t xml:space="preserve">” </w:t>
      </w:r>
      <w:r>
        <w:rPr>
          <w:rFonts w:ascii="Times New Roman;Times;serif" w:hAnsi="Times New Roman;Times;serif"/>
          <w:sz w:val="22"/>
        </w:rPr>
        <w:t>means, with respect to any borrowings and payments in any Alternative Currency, the local time in the place of settlement for such Alternative Currency as may be determined by the Administrative Agent to be necessary for timely settlement on the relevant date in accordance with normal banking procedures in the place of payment.</w:t>
      </w:r>
    </w:p>
    <w:p>
      <w:pPr>
        <w:pStyle w:val="TextBody"/>
        <w:bidi w:val="0"/>
        <w:spacing w:before="0" w:after="240"/>
        <w:ind w:left="0" w:right="0" w:firstLine="720"/>
        <w:jc w:val="both"/>
        <w:rPr/>
      </w:pPr>
      <w:r>
        <w:rPr/>
        <w:t>“</w:t>
      </w:r>
      <w:r>
        <w:rPr>
          <w:rFonts w:ascii="Times New Roman;Times;serif" w:hAnsi="Times New Roman;Times;serif"/>
          <w:sz w:val="22"/>
          <w:u w:val="single"/>
        </w:rPr>
        <w:t>Applicant Borrower</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2.14</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Approved Fund</w:t>
      </w:r>
      <w:r>
        <w:rPr>
          <w:rFonts w:ascii="Times New Roman;Times;serif" w:hAnsi="Times New Roman;Times;serif"/>
          <w:sz w:val="20"/>
        </w:rPr>
        <w:t xml:space="preserve">” </w:t>
      </w:r>
      <w:r>
        <w:rPr>
          <w:rFonts w:ascii="Times New Roman;Times;serif" w:hAnsi="Times New Roman;Times;serif"/>
          <w:sz w:val="22"/>
        </w:rPr>
        <w:t>means any Fund that is administered or managed by (a) a Lender, (b) an Affiliate of a Lender or (c) an entity or an Affiliate of an entity that administers or manages a Lender.</w:t>
      </w:r>
    </w:p>
    <w:p>
      <w:pPr>
        <w:pStyle w:val="TextBody"/>
        <w:bidi w:val="0"/>
        <w:spacing w:before="0" w:after="240"/>
        <w:ind w:left="0" w:right="0" w:firstLine="720"/>
        <w:jc w:val="both"/>
        <w:rPr/>
      </w:pPr>
      <w:r>
        <w:rPr/>
        <w:t>“</w:t>
      </w:r>
      <w:r>
        <w:rPr>
          <w:rFonts w:ascii="Times New Roman;Times;serif" w:hAnsi="Times New Roman;Times;serif"/>
          <w:sz w:val="22"/>
          <w:u w:val="single"/>
        </w:rPr>
        <w:t>Arrangers</w:t>
      </w:r>
      <w:r>
        <w:rPr>
          <w:rFonts w:ascii="Times New Roman;Times;serif" w:hAnsi="Times New Roman;Times;serif"/>
          <w:sz w:val="20"/>
        </w:rPr>
        <w:t xml:space="preserve">” </w:t>
      </w:r>
      <w:r>
        <w:rPr>
          <w:rFonts w:ascii="Times New Roman;Times;serif" w:hAnsi="Times New Roman;Times;serif"/>
          <w:sz w:val="22"/>
        </w:rPr>
        <w:t>means, collectively, BofA Securities, Inc., BNP Paribas Securities Corp., JPMorgan Chase Bank, N.A., MUFG, The Bank of Nova Scotia, Truist Securities, Inc. and DBS Bank Ltd., in their capacities as joint lead arrangers and joint bookrunners.</w:t>
      </w:r>
    </w:p>
    <w:p>
      <w:pPr>
        <w:pStyle w:val="TextBody"/>
        <w:bidi w:val="0"/>
        <w:spacing w:before="0" w:after="240"/>
        <w:ind w:left="0" w:right="0" w:firstLine="720"/>
        <w:jc w:val="both"/>
        <w:rPr/>
      </w:pPr>
      <w:r>
        <w:rPr/>
        <w:t>“</w:t>
      </w:r>
      <w:r>
        <w:rPr>
          <w:rFonts w:ascii="Times New Roman;Times;serif" w:hAnsi="Times New Roman;Times;serif"/>
          <w:sz w:val="22"/>
          <w:u w:val="single"/>
        </w:rPr>
        <w:t>Assignee Group</w:t>
      </w:r>
      <w:r>
        <w:rPr>
          <w:rFonts w:ascii="Times New Roman;Times;serif" w:hAnsi="Times New Roman;Times;serif"/>
          <w:sz w:val="20"/>
        </w:rPr>
        <w:t xml:space="preserve">” </w:t>
      </w:r>
      <w:r>
        <w:rPr>
          <w:rFonts w:ascii="Times New Roman;Times;serif" w:hAnsi="Times New Roman;Times;serif"/>
          <w:sz w:val="22"/>
        </w:rPr>
        <w:t>means two or more Eligible Assignees that are Affiliates of one another or two or more Approved Funds managed by the same investment advisor.</w:t>
      </w:r>
    </w:p>
    <w:p>
      <w:pPr>
        <w:pStyle w:val="TextBody"/>
        <w:bidi w:val="0"/>
        <w:spacing w:before="0" w:after="240"/>
        <w:ind w:left="0" w:right="0" w:firstLine="720"/>
        <w:jc w:val="both"/>
        <w:rPr/>
      </w:pPr>
      <w:r>
        <w:rPr/>
        <w:t>“</w:t>
      </w:r>
      <w:r>
        <w:rPr>
          <w:rFonts w:ascii="Times New Roman;Times;serif" w:hAnsi="Times New Roman;Times;serif"/>
          <w:sz w:val="22"/>
          <w:u w:val="single"/>
        </w:rPr>
        <w:t>Assignment and Assumption</w:t>
      </w:r>
      <w:r>
        <w:rPr>
          <w:rFonts w:ascii="Times New Roman;Times;serif" w:hAnsi="Times New Roman;Times;serif"/>
          <w:sz w:val="20"/>
        </w:rPr>
        <w:t xml:space="preserve">” </w:t>
      </w:r>
      <w:r>
        <w:rPr>
          <w:rFonts w:ascii="Times New Roman;Times;serif" w:hAnsi="Times New Roman;Times;serif"/>
          <w:sz w:val="22"/>
        </w:rPr>
        <w:t xml:space="preserve">means an assignment and assumption entered into by a Lender and an Eligible Assignee (with the consent of any party whose consent is required by </w:t>
      </w:r>
      <w:r>
        <w:rPr>
          <w:rFonts w:ascii="Times New Roman;Times;serif" w:hAnsi="Times New Roman;Times;serif"/>
          <w:sz w:val="22"/>
          <w:u w:val="single"/>
        </w:rPr>
        <w:t>Section 10.06(b)</w:t>
      </w:r>
      <w:r>
        <w:rPr>
          <w:rFonts w:ascii="Times New Roman;Times;serif" w:hAnsi="Times New Roman;Times;serif"/>
          <w:sz w:val="22"/>
        </w:rPr>
        <w:t xml:space="preserve">), and accepted by the Administrative Agent, in substantially the form of </w:t>
      </w:r>
      <w:r>
        <w:rPr>
          <w:rFonts w:ascii="Times New Roman;Times;serif" w:hAnsi="Times New Roman;Times;serif"/>
          <w:sz w:val="22"/>
          <w:u w:val="single"/>
        </w:rPr>
        <w:t>Exhibit E</w:t>
      </w:r>
      <w:r>
        <w:rPr>
          <w:rFonts w:ascii="Times New Roman;Times;serif" w:hAnsi="Times New Roman;Times;serif"/>
          <w:sz w:val="20"/>
        </w:rPr>
        <w:t xml:space="preserve"> </w:t>
      </w:r>
      <w:r>
        <w:rPr>
          <w:rFonts w:ascii="Times New Roman;Times;serif" w:hAnsi="Times New Roman;Times;serif"/>
          <w:sz w:val="22"/>
        </w:rPr>
        <w:t>or any other form (including electronic documentation generated by use of an electronic platform) approved by the Administrative Agent.</w:t>
      </w:r>
    </w:p>
    <w:p>
      <w:pPr>
        <w:pStyle w:val="TextBody"/>
        <w:bidi w:val="0"/>
        <w:spacing w:before="0" w:after="240"/>
        <w:ind w:left="0" w:right="0" w:firstLine="720"/>
        <w:jc w:val="both"/>
        <w:rPr/>
      </w:pPr>
      <w:r>
        <w:rPr/>
        <w:t>“</w:t>
      </w:r>
      <w:r>
        <w:rPr>
          <w:rFonts w:ascii="Times New Roman;Times;serif" w:hAnsi="Times New Roman;Times;serif"/>
          <w:sz w:val="22"/>
          <w:u w:val="single"/>
        </w:rPr>
        <w:t>Attributable Indebtedness</w:t>
      </w:r>
      <w:r>
        <w:rPr>
          <w:rFonts w:ascii="Times New Roman;Times;serif" w:hAnsi="Times New Roman;Times;serif"/>
          <w:sz w:val="20"/>
        </w:rPr>
        <w:t xml:space="preserve">” </w:t>
      </w:r>
      <w:r>
        <w:rPr>
          <w:rFonts w:ascii="Times New Roman;Times;serif" w:hAnsi="Times New Roman;Times;serif"/>
          <w:sz w:val="22"/>
        </w:rPr>
        <w:t>means, on any date: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in respect of any capital lease of any Person, the capitalized amount thereof that would appear on a balance sheet of such Person prepared as of such date in accordance with GAAP;</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in respect of any Synthetic Lease Obligation, the capitalized amount of the remaining lease payments under the relevant lease that would appear on a balance sheet of such Person prepared as of such date in accordance with GAAP if such lease were accounted for as a capital lease;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in respect of any asset securitization transaction of any Person, (i) the actual amount of any unrecovered investment of purchasers or transferees of assets so transferred, </w:t>
      </w:r>
      <w:r>
        <w:rPr>
          <w:rFonts w:ascii="Times New Roman;Times;serif" w:hAnsi="Times New Roman;Times;serif"/>
          <w:sz w:val="22"/>
          <w:u w:val="single"/>
        </w:rPr>
        <w:t xml:space="preserve">plus </w:t>
      </w:r>
      <w:r>
        <w:rPr>
          <w:rFonts w:ascii="Times New Roman;Times;serif" w:hAnsi="Times New Roman;Times;serif"/>
          <w:sz w:val="22"/>
        </w:rPr>
        <w:t xml:space="preserve">(ii)in the case of any other recourse, repurchase, or debt obligation described in </w:t>
      </w:r>
      <w:r>
        <w:rPr>
          <w:rFonts w:ascii="Times New Roman;Times;serif" w:hAnsi="Times New Roman;Times;serif"/>
          <w:sz w:val="22"/>
          <w:u w:val="single"/>
        </w:rPr>
        <w:t>clause (a)</w:t>
      </w:r>
      <w:r>
        <w:rPr>
          <w:rFonts w:ascii="Times New Roman;Times;serif" w:hAnsi="Times New Roman;Times;serif"/>
          <w:sz w:val="20"/>
        </w:rPr>
        <w:t xml:space="preserve"> </w:t>
      </w:r>
      <w:r>
        <w:rPr>
          <w:rFonts w:ascii="Times New Roman;Times;serif" w:hAnsi="Times New Roman;Times;serif"/>
          <w:sz w:val="22"/>
        </w:rPr>
        <w:t>of the definition of “Off-Balance Sheet Liabilities,” the capitalized amount of such obligation that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sz w:val="22"/>
        </w:rPr>
        <w:t>would appear on a balance sheet of such Person prepared on such date in accordance with GAAP if such sale or transfer or assets were accounted for as a secured loan.</w:t>
      </w:r>
    </w:p>
    <w:p>
      <w:pPr>
        <w:pStyle w:val="TextBody"/>
        <w:bidi w:val="0"/>
        <w:spacing w:before="0" w:after="240"/>
        <w:ind w:left="0" w:right="0" w:firstLine="720"/>
        <w:jc w:val="both"/>
        <w:rPr/>
      </w:pPr>
      <w:r>
        <w:rPr/>
        <w:t>“</w:t>
      </w:r>
      <w:r>
        <w:rPr>
          <w:rFonts w:ascii="Times New Roman;Times;serif" w:hAnsi="Times New Roman;Times;serif"/>
          <w:sz w:val="22"/>
          <w:u w:val="single"/>
        </w:rPr>
        <w:t>Audited Financial Statements</w:t>
      </w:r>
      <w:r>
        <w:rPr>
          <w:rFonts w:ascii="Times New Roman;Times;serif" w:hAnsi="Times New Roman;Times;serif"/>
          <w:sz w:val="20"/>
        </w:rPr>
        <w:t xml:space="preserve">” </w:t>
      </w:r>
      <w:r>
        <w:rPr>
          <w:rFonts w:ascii="Times New Roman;Times;serif" w:hAnsi="Times New Roman;Times;serif"/>
          <w:sz w:val="22"/>
        </w:rPr>
        <w:t>means the audited consolidated balance sheet of the Company and its Subsidiaries for the fiscal year ended June 29, 2024, and the related consolidated statements of income or operations, shareholders’ equity and cash flows for such fiscal year of the Company and its Subsidiaries, including the notes thereto.</w:t>
      </w:r>
    </w:p>
    <w:p>
      <w:pPr>
        <w:pStyle w:val="TextBody"/>
        <w:bidi w:val="0"/>
        <w:spacing w:before="0" w:after="240"/>
        <w:ind w:left="0" w:right="0" w:firstLine="720"/>
        <w:jc w:val="both"/>
        <w:rPr/>
      </w:pPr>
      <w:r>
        <w:rPr/>
        <w:t>“</w:t>
      </w:r>
      <w:r>
        <w:rPr>
          <w:rFonts w:ascii="Times New Roman;Times;serif" w:hAnsi="Times New Roman;Times;serif"/>
          <w:sz w:val="22"/>
          <w:u w:val="single"/>
        </w:rPr>
        <w:t>Australian Dollars</w:t>
      </w:r>
      <w:r>
        <w:rPr>
          <w:rFonts w:ascii="Times New Roman;Times;serif" w:hAnsi="Times New Roman;Times;serif"/>
          <w:sz w:val="20"/>
        </w:rPr>
        <w:t xml:space="preserve">” </w:t>
      </w:r>
      <w:r>
        <w:rPr>
          <w:rFonts w:ascii="Times New Roman;Times;serif" w:hAnsi="Times New Roman;Times;serif"/>
          <w:sz w:val="22"/>
        </w:rPr>
        <w:t>mean the lawful currency of Australia.</w:t>
      </w:r>
    </w:p>
    <w:p>
      <w:pPr>
        <w:pStyle w:val="TextBody"/>
        <w:bidi w:val="0"/>
        <w:spacing w:before="0" w:after="240"/>
        <w:ind w:left="0" w:right="0" w:firstLine="720"/>
        <w:jc w:val="both"/>
        <w:rPr/>
      </w:pPr>
      <w:r>
        <w:rPr/>
        <w:t>“</w:t>
      </w:r>
      <w:r>
        <w:rPr>
          <w:rFonts w:ascii="Times New Roman;Times;serif" w:hAnsi="Times New Roman;Times;serif"/>
          <w:sz w:val="22"/>
          <w:u w:val="single"/>
        </w:rPr>
        <w:t>Authorized Signatory</w:t>
      </w:r>
      <w:r>
        <w:rPr>
          <w:rFonts w:ascii="Times New Roman;Times;serif" w:hAnsi="Times New Roman;Times;serif"/>
          <w:sz w:val="20"/>
        </w:rPr>
        <w:t xml:space="preserve">” </w:t>
      </w:r>
      <w:r>
        <w:rPr>
          <w:rFonts w:ascii="Times New Roman;Times;serif" w:hAnsi="Times New Roman;Times;serif"/>
          <w:sz w:val="22"/>
        </w:rPr>
        <w:t>has the meaning specified in the definition of “Responsible Officer.” “</w:t>
      </w:r>
      <w:r>
        <w:rPr>
          <w:rFonts w:ascii="Times New Roman;Times;serif" w:hAnsi="Times New Roman;Times;serif"/>
          <w:sz w:val="22"/>
          <w:u w:val="single"/>
        </w:rPr>
        <w:t>Auto-Extension Letter of Credit</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2.03(b)(iii)</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Auto-Reinstatement Letter of Credit</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2.03(a)(iii)(D)</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Availability Period</w:t>
      </w:r>
      <w:r>
        <w:rPr>
          <w:rFonts w:ascii="Times New Roman;Times;serif" w:hAnsi="Times New Roman;Times;serif"/>
          <w:sz w:val="20"/>
        </w:rPr>
        <w:t xml:space="preserve">” </w:t>
      </w:r>
      <w:r>
        <w:rPr>
          <w:rFonts w:ascii="Times New Roman;Times;serif" w:hAnsi="Times New Roman;Times;serif"/>
          <w:sz w:val="22"/>
        </w:rPr>
        <w:t xml:space="preserve">means the period from and including the Closing Date to the earliest of (a) the Maturity Date, (b) the date of termination of the Aggregate Commitments pursuant to </w:t>
      </w:r>
      <w:r>
        <w:rPr>
          <w:rFonts w:ascii="Times New Roman;Times;serif" w:hAnsi="Times New Roman;Times;serif"/>
          <w:sz w:val="22"/>
          <w:u w:val="single"/>
        </w:rPr>
        <w:t>Section 2.06</w:t>
      </w:r>
      <w:r>
        <w:rPr>
          <w:rFonts w:ascii="Times New Roman;Times;serif" w:hAnsi="Times New Roman;Times;serif"/>
          <w:sz w:val="22"/>
        </w:rPr>
        <w:t xml:space="preserve">, and (c) the date of termination of the commitment of each Lender to make Loans and of the obligation of the L/C Issuers to make L/C Credit Extensions pursuant to </w:t>
      </w:r>
      <w:r>
        <w:rPr>
          <w:rFonts w:ascii="Times New Roman;Times;serif" w:hAnsi="Times New Roman;Times;serif"/>
          <w:sz w:val="22"/>
          <w:u w:val="single"/>
        </w:rPr>
        <w:t>Section 8.02</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Bail-In Action</w:t>
      </w:r>
      <w:r>
        <w:rPr>
          <w:rFonts w:ascii="Times New Roman;Times;serif" w:hAnsi="Times New Roman;Times;serif"/>
          <w:sz w:val="20"/>
        </w:rPr>
        <w:t xml:space="preserve">” </w:t>
      </w:r>
      <w:r>
        <w:rPr>
          <w:rFonts w:ascii="Times New Roman;Times;serif" w:hAnsi="Times New Roman;Times;serif"/>
          <w:sz w:val="22"/>
        </w:rPr>
        <w:t>means the exercise of any Write-Down and Conversion Powers by the applicable Resolution Authority in respect of any liability of an Affected Financial Institution.</w:t>
      </w:r>
    </w:p>
    <w:p>
      <w:pPr>
        <w:pStyle w:val="TextBody"/>
        <w:bidi w:val="0"/>
        <w:spacing w:before="0" w:after="240"/>
        <w:ind w:left="0" w:right="0" w:firstLine="720"/>
        <w:jc w:val="both"/>
        <w:rPr/>
      </w:pPr>
      <w:r>
        <w:rPr/>
        <w:t>“</w:t>
      </w:r>
      <w:r>
        <w:rPr>
          <w:rFonts w:ascii="Times New Roman;Times;serif" w:hAnsi="Times New Roman;Times;serif"/>
          <w:sz w:val="22"/>
          <w:u w:val="single"/>
        </w:rPr>
        <w:t>Bail-In Legislation</w:t>
      </w:r>
      <w:r>
        <w:rPr>
          <w:rFonts w:ascii="Times New Roman;Times;serif" w:hAnsi="Times New Roman;Times;serif"/>
          <w:sz w:val="20"/>
        </w:rPr>
        <w:t xml:space="preserve">” </w:t>
      </w:r>
      <w:r>
        <w:rPr>
          <w:rFonts w:ascii="Times New Roman;Times;serif" w:hAnsi="Times New Roman;Times;serif"/>
          <w:sz w:val="22"/>
        </w:rPr>
        <w:t>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ind w:left="0" w:right="0" w:firstLine="720"/>
        <w:jc w:val="both"/>
        <w:rPr/>
      </w:pPr>
      <w:r>
        <w:rPr/>
        <w:t>“</w:t>
      </w:r>
      <w:r>
        <w:rPr>
          <w:rFonts w:ascii="Times New Roman;Times;serif" w:hAnsi="Times New Roman;Times;serif"/>
          <w:sz w:val="22"/>
          <w:u w:val="single"/>
        </w:rPr>
        <w:t>Bank of America</w:t>
      </w:r>
      <w:r>
        <w:rPr>
          <w:rFonts w:ascii="Times New Roman;Times;serif" w:hAnsi="Times New Roman;Times;serif"/>
          <w:sz w:val="20"/>
        </w:rPr>
        <w:t xml:space="preserve">” </w:t>
      </w:r>
      <w:r>
        <w:rPr>
          <w:rFonts w:ascii="Times New Roman;Times;serif" w:hAnsi="Times New Roman;Times;serif"/>
          <w:sz w:val="22"/>
        </w:rPr>
        <w:t>means Bank of America, N.A. and its successors.</w:t>
      </w:r>
    </w:p>
    <w:p>
      <w:pPr>
        <w:pStyle w:val="TextBody"/>
        <w:bidi w:val="0"/>
        <w:spacing w:before="0" w:after="240"/>
        <w:ind w:left="0" w:right="0" w:firstLine="720"/>
        <w:jc w:val="both"/>
        <w:rPr/>
      </w:pPr>
      <w:r>
        <w:rPr/>
        <w:t>“</w:t>
      </w:r>
      <w:r>
        <w:rPr>
          <w:rFonts w:ascii="Times New Roman;Times;serif" w:hAnsi="Times New Roman;Times;serif"/>
          <w:sz w:val="22"/>
          <w:u w:val="single"/>
        </w:rPr>
        <w:t>Base Rate</w:t>
      </w:r>
      <w:r>
        <w:rPr>
          <w:rFonts w:ascii="Times New Roman;Times;serif" w:hAnsi="Times New Roman;Times;serif"/>
          <w:sz w:val="20"/>
        </w:rPr>
        <w:t xml:space="preserve">” </w:t>
      </w:r>
      <w:r>
        <w:rPr>
          <w:rFonts w:ascii="Times New Roman;Times;serif" w:hAnsi="Times New Roman;Times;serif"/>
          <w:sz w:val="22"/>
        </w:rPr>
        <w:t xml:space="preserve">means for any day a fluctuating rate of interest per annum equal to the highest of (a) the Federal Funds Rate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0.50%, (b) the rate of interest in effect for such day as publicly announced from time to time by Bank of America as its “prime rate,” (c) Term SOFR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1.00% and (d) 1.00%.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Times New Roman;Times;serif" w:hAnsi="Times New Roman;Times;serif"/>
          <w:sz w:val="22"/>
          <w:u w:val="single"/>
        </w:rPr>
        <w:t>Section 3.03</w:t>
      </w:r>
      <w:r>
        <w:rPr>
          <w:rFonts w:ascii="Times New Roman;Times;serif" w:hAnsi="Times New Roman;Times;serif"/>
          <w:sz w:val="20"/>
        </w:rPr>
        <w:t xml:space="preserve"> </w:t>
      </w:r>
      <w:r>
        <w:rPr>
          <w:rFonts w:ascii="Times New Roman;Times;serif" w:hAnsi="Times New Roman;Times;serif"/>
          <w:sz w:val="22"/>
        </w:rPr>
        <w:t>hereof, then the Base Rate shall be the greater of clauses (a), (b) and (d) above and shall be determined without reference to clause (c) above.</w:t>
      </w:r>
    </w:p>
    <w:p>
      <w:pPr>
        <w:pStyle w:val="TextBody"/>
        <w:bidi w:val="0"/>
        <w:spacing w:before="0" w:after="240"/>
        <w:ind w:left="0" w:right="0" w:firstLine="720"/>
        <w:jc w:val="both"/>
        <w:rPr/>
      </w:pPr>
      <w:r>
        <w:rPr/>
        <w:t>“</w:t>
      </w:r>
      <w:r>
        <w:rPr>
          <w:rFonts w:ascii="Times New Roman;Times;serif" w:hAnsi="Times New Roman;Times;serif"/>
          <w:sz w:val="22"/>
          <w:u w:val="single"/>
        </w:rPr>
        <w:t>Base Rate Committed Loan</w:t>
      </w:r>
      <w:r>
        <w:rPr>
          <w:rFonts w:ascii="Times New Roman;Times;serif" w:hAnsi="Times New Roman;Times;serif"/>
          <w:sz w:val="20"/>
        </w:rPr>
        <w:t xml:space="preserve">” </w:t>
      </w:r>
      <w:r>
        <w:rPr>
          <w:rFonts w:ascii="Times New Roman;Times;serif" w:hAnsi="Times New Roman;Times;serif"/>
          <w:sz w:val="22"/>
        </w:rPr>
        <w:t>means a Committed Loan that is a Base Rate Loan.</w:t>
      </w:r>
    </w:p>
    <w:p>
      <w:pPr>
        <w:pStyle w:val="TextBody"/>
        <w:bidi w:val="0"/>
        <w:spacing w:before="0" w:after="240"/>
        <w:ind w:left="0" w:right="0" w:firstLine="720"/>
        <w:jc w:val="both"/>
        <w:rPr/>
      </w:pPr>
      <w:r>
        <w:rPr/>
        <w:t>“</w:t>
      </w:r>
      <w:r>
        <w:rPr>
          <w:rFonts w:ascii="Times New Roman;Times;serif" w:hAnsi="Times New Roman;Times;serif"/>
          <w:sz w:val="22"/>
          <w:u w:val="single"/>
        </w:rPr>
        <w:t>Base Rate Loan</w:t>
      </w:r>
      <w:r>
        <w:rPr>
          <w:rFonts w:ascii="Times New Roman;Times;serif" w:hAnsi="Times New Roman;Times;serif"/>
          <w:sz w:val="20"/>
        </w:rPr>
        <w:t xml:space="preserve">” </w:t>
      </w:r>
      <w:r>
        <w:rPr>
          <w:rFonts w:ascii="Times New Roman;Times;serif" w:hAnsi="Times New Roman;Times;serif"/>
          <w:sz w:val="22"/>
        </w:rPr>
        <w:t>means a Loan that bears interest based on the Base Rate. All Base Rate Loans shall be denominated in Dollars.</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Beneficial Ownership Certification</w:t>
      </w:r>
      <w:r>
        <w:rPr>
          <w:rFonts w:ascii="Times New Roman;Times;serif" w:hAnsi="Times New Roman;Times;serif"/>
          <w:sz w:val="20"/>
        </w:rPr>
        <w:t xml:space="preserve">” </w:t>
      </w:r>
      <w:r>
        <w:rPr>
          <w:rFonts w:ascii="Times New Roman;Times;serif" w:hAnsi="Times New Roman;Times;serif"/>
          <w:sz w:val="22"/>
        </w:rPr>
        <w:t>means a certification regarding beneficial ownership required by the Beneficial Ownership Regulation.</w:t>
      </w:r>
    </w:p>
    <w:p>
      <w:pPr>
        <w:pStyle w:val="TextBody"/>
        <w:bidi w:val="0"/>
        <w:spacing w:before="0" w:after="240"/>
        <w:ind w:left="0" w:right="0" w:firstLine="720"/>
        <w:jc w:val="both"/>
        <w:rPr/>
      </w:pPr>
      <w:r>
        <w:rPr/>
        <w:t>“</w:t>
      </w:r>
      <w:r>
        <w:rPr>
          <w:rFonts w:ascii="Times New Roman;Times;serif" w:hAnsi="Times New Roman;Times;serif"/>
          <w:sz w:val="22"/>
          <w:u w:val="single"/>
        </w:rPr>
        <w:t>Beneficial Ownership Regulation</w:t>
      </w:r>
      <w:r>
        <w:rPr>
          <w:rFonts w:ascii="Times New Roman;Times;serif" w:hAnsi="Times New Roman;Times;serif"/>
          <w:sz w:val="20"/>
        </w:rPr>
        <w:t xml:space="preserve">” </w:t>
      </w:r>
      <w:r>
        <w:rPr>
          <w:rFonts w:ascii="Times New Roman;Times;serif" w:hAnsi="Times New Roman;Times;serif"/>
          <w:sz w:val="22"/>
        </w:rPr>
        <w:t>means 31 C.F.R. § 1010.230.</w:t>
      </w:r>
    </w:p>
    <w:p>
      <w:pPr>
        <w:pStyle w:val="TextBody"/>
        <w:bidi w:val="0"/>
        <w:spacing w:before="0" w:after="240"/>
        <w:ind w:left="0" w:right="0" w:firstLine="720"/>
        <w:jc w:val="both"/>
        <w:rPr/>
      </w:pPr>
      <w:r>
        <w:rPr/>
        <w:t>“</w:t>
      </w:r>
      <w:r>
        <w:rPr>
          <w:rFonts w:ascii="Times New Roman;Times;serif" w:hAnsi="Times New Roman;Times;serif"/>
          <w:sz w:val="22"/>
          <w:u w:val="single"/>
        </w:rPr>
        <w:t>Benefit Plan</w:t>
      </w:r>
      <w:r>
        <w:rPr>
          <w:rFonts w:ascii="Times New Roman;Times;serif" w:hAnsi="Times New Roman;Times;serif"/>
          <w:sz w:val="20"/>
        </w:rPr>
        <w:t xml:space="preserve">” </w:t>
      </w:r>
      <w:r>
        <w:rPr>
          <w:rFonts w:ascii="Times New Roman;Times;serif" w:hAnsi="Times New Roman;Times;serif"/>
          <w:sz w:val="22"/>
        </w:rPr>
        <w:t>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240"/>
        <w:ind w:left="0" w:right="0" w:firstLine="720"/>
        <w:jc w:val="both"/>
        <w:rPr/>
      </w:pPr>
      <w:r>
        <w:rPr/>
        <w:t>“</w:t>
      </w:r>
      <w:r>
        <w:rPr>
          <w:rFonts w:ascii="Times New Roman;Times;serif" w:hAnsi="Times New Roman;Times;serif"/>
          <w:sz w:val="22"/>
          <w:u w:val="single"/>
        </w:rPr>
        <w:t>Borrower</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sz w:val="22"/>
          <w:u w:val="single"/>
        </w:rPr>
        <w:t>Borrowers</w:t>
      </w:r>
      <w:r>
        <w:rPr>
          <w:rFonts w:ascii="Times New Roman;Times;serif" w:hAnsi="Times New Roman;Times;serif"/>
          <w:sz w:val="20"/>
        </w:rPr>
        <w:t xml:space="preserve">” </w:t>
      </w:r>
      <w:r>
        <w:rPr>
          <w:rFonts w:ascii="Times New Roman;Times;serif" w:hAnsi="Times New Roman;Times;serif"/>
          <w:sz w:val="22"/>
        </w:rPr>
        <w:t>each has the meaning specified in the introductory paragraph hereto.</w:t>
      </w:r>
    </w:p>
    <w:p>
      <w:pPr>
        <w:pStyle w:val="TextBody"/>
        <w:bidi w:val="0"/>
        <w:spacing w:before="0" w:after="240"/>
        <w:ind w:left="0" w:right="0" w:firstLine="720"/>
        <w:jc w:val="both"/>
        <w:rPr/>
      </w:pPr>
      <w:r>
        <w:rPr/>
        <w:t>“</w:t>
      </w:r>
      <w:r>
        <w:rPr>
          <w:rFonts w:ascii="Times New Roman;Times;serif" w:hAnsi="Times New Roman;Times;serif"/>
          <w:sz w:val="22"/>
          <w:u w:val="single"/>
        </w:rPr>
        <w:t>Borrower Materials</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6.02</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Borrowing</w:t>
      </w:r>
      <w:r>
        <w:rPr>
          <w:rFonts w:ascii="Times New Roman;Times;serif" w:hAnsi="Times New Roman;Times;serif"/>
          <w:sz w:val="20"/>
        </w:rPr>
        <w:t xml:space="preserve">” </w:t>
      </w:r>
      <w:r>
        <w:rPr>
          <w:rFonts w:ascii="Times New Roman;Times;serif" w:hAnsi="Times New Roman;Times;serif"/>
          <w:sz w:val="22"/>
        </w:rPr>
        <w:t>means a Committed Borrowing or a Swing Line Borrowing, as the context may require.</w:t>
      </w:r>
    </w:p>
    <w:p>
      <w:pPr>
        <w:pStyle w:val="TextBody"/>
        <w:bidi w:val="0"/>
        <w:spacing w:before="0" w:after="240"/>
        <w:ind w:left="0" w:right="0" w:firstLine="720"/>
        <w:jc w:val="both"/>
        <w:rPr/>
      </w:pPr>
      <w:r>
        <w:rPr/>
        <w:t>“</w:t>
      </w:r>
      <w:r>
        <w:rPr>
          <w:rFonts w:ascii="Times New Roman;Times;serif" w:hAnsi="Times New Roman;Times;serif"/>
          <w:sz w:val="22"/>
          <w:u w:val="single"/>
        </w:rPr>
        <w:t>Business Day</w:t>
      </w:r>
      <w:r>
        <w:rPr>
          <w:rFonts w:ascii="Times New Roman;Times;serif" w:hAnsi="Times New Roman;Times;serif"/>
          <w:sz w:val="20"/>
        </w:rPr>
        <w:t xml:space="preserve">” </w:t>
      </w:r>
      <w:r>
        <w:rPr>
          <w:rFonts w:ascii="Times New Roman;Times;serif" w:hAnsi="Times New Roman;Times;serif"/>
          <w:sz w:val="22"/>
        </w:rPr>
        <w:t xml:space="preserve">means any day other than a Saturday, Sunday or other day on which commercial banks are authorized to close under the Laws of, or are in fact closed in, the state where the Administrative Agent’s Office is located;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if such day relates to any interest rate settings as to an Alternative Currency Loan denominated in Euro or Euro Swing Line Loan, any fundings, disbursements, settlements and payments in Euro in respect of any such Alternative Currency Loan or Euro Swing Line Loan, or any other dealings in Euro to be carried out pursuant to this Agreement in respect of any such Alternative Currency Loan or Euro Swing Line Loan, means a Business Day that is also a TARGET Day;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if such day relates to any interest rate settings as to an Alternative Currency Loan denominated in (i) Sterling, means a day other than a day banks are closed for general business in London because such day is a Saturday, Sunday or a legal holiday under the laws of the United Kingdom; and (ii) Japanese Yen, means a day other than when banks are closed for general business in Japan;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if such day relates to any interest rate settings as to an Alternative Currency Loan denominated in a currency other than, Euro, Sterling or Japanese Yen, means any such day on which dealings in deposits in the relevant currency are conducted by and between banks in the applicable offshore interbank market for such currency;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pStyle w:val="TextBody"/>
        <w:bidi w:val="0"/>
        <w:spacing w:before="0" w:after="240"/>
        <w:ind w:left="0" w:right="0" w:firstLine="720"/>
        <w:jc w:val="both"/>
        <w:rPr/>
      </w:pPr>
      <w:r>
        <w:rPr/>
        <w:t>“</w:t>
      </w:r>
      <w:r>
        <w:rPr>
          <w:rFonts w:ascii="Times New Roman;Times;serif" w:hAnsi="Times New Roman;Times;serif"/>
          <w:sz w:val="22"/>
          <w:u w:val="single"/>
        </w:rPr>
        <w:t>Cash Collateralize</w:t>
      </w:r>
      <w:r>
        <w:rPr>
          <w:rFonts w:ascii="Times New Roman;Times;serif" w:hAnsi="Times New Roman;Times;serif"/>
          <w:sz w:val="20"/>
        </w:rPr>
        <w:t xml:space="preserve">” </w:t>
      </w:r>
      <w:r>
        <w:rPr>
          <w:rFonts w:ascii="Times New Roman;Times;serif" w:hAnsi="Times New Roman;Times;serif"/>
          <w:sz w:val="22"/>
        </w:rPr>
        <w:t>means to pledge and deposit with or deliver to the Administrative Agent, for the benefit of the Administrative Agent, one or more of the L/C Issuers or the Swing Line Lender (as applicable) and the Lenders, as collateral for L/C Obligations, Obligations in respect of Swing Line Loans, or obligations of Lenders to fund participations in respect of either thereof (as the context may</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require), cash or deposit account balances or, if such L/C Issuer or the Swing Line Lender benefitting from such collateral shall agree in its sole discretion, other credit support, in each case pursuant to documentation in form and substance reasonably satisfactory to (a) the Administrative Agent and (b) such L/C Issuer or the Swing Line Lender (as applicable). “Cash Collateral” shall have a meaning correlative to the foregoing and shall include the proceeds of such cash collateral and other credit support.</w:t>
      </w:r>
    </w:p>
    <w:p>
      <w:pPr>
        <w:pStyle w:val="TextBody"/>
        <w:bidi w:val="0"/>
        <w:spacing w:before="0" w:after="240"/>
        <w:ind w:left="0" w:right="0" w:firstLine="720"/>
        <w:jc w:val="both"/>
        <w:rPr/>
      </w:pPr>
      <w:r>
        <w:rPr/>
        <w:t>“</w:t>
      </w:r>
      <w:r>
        <w:rPr>
          <w:rFonts w:ascii="Times New Roman;Times;serif" w:hAnsi="Times New Roman;Times;serif"/>
          <w:sz w:val="22"/>
          <w:u w:val="single"/>
        </w:rPr>
        <w:t>Change in Law</w:t>
      </w:r>
      <w:r>
        <w:rPr>
          <w:rFonts w:ascii="Times New Roman;Times;serif" w:hAnsi="Times New Roman;Times;serif"/>
          <w:sz w:val="20"/>
        </w:rPr>
        <w:t xml:space="preserve">” </w:t>
      </w:r>
      <w:r>
        <w:rPr>
          <w:rFonts w:ascii="Times New Roman;Times;serif" w:hAnsi="Times New Roman;Times;serif"/>
          <w:sz w:val="22"/>
        </w:rPr>
        <w:t xml:space="preserve">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240"/>
        <w:ind w:left="0" w:right="0" w:firstLine="720"/>
        <w:jc w:val="both"/>
        <w:rPr/>
      </w:pPr>
      <w:r>
        <w:rPr/>
        <w:t>“</w:t>
      </w:r>
      <w:r>
        <w:rPr>
          <w:rFonts w:ascii="Times New Roman;Times;serif" w:hAnsi="Times New Roman;Times;serif"/>
          <w:sz w:val="22"/>
          <w:u w:val="single"/>
        </w:rPr>
        <w:t>Change of Control</w:t>
      </w:r>
      <w:r>
        <w:rPr>
          <w:rFonts w:ascii="Times New Roman;Times;serif" w:hAnsi="Times New Roman;Times;serif"/>
          <w:sz w:val="20"/>
        </w:rPr>
        <w:t xml:space="preserve">” </w:t>
      </w:r>
      <w:r>
        <w:rPr>
          <w:rFonts w:ascii="Times New Roman;Times;serif" w:hAnsi="Times New Roman;Times;serif"/>
          <w:sz w:val="22"/>
        </w:rPr>
        <w:t>means an event or series of events by which:</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any “person” or “group” (as such terms are used in Sections 13(d) and 14(d) of the Securities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except that a person or group shall be deemed to have “beneficial ownership” of all securities that such person or group has the right to acquire (such right, an “</w:t>
      </w:r>
      <w:r>
        <w:rPr>
          <w:rFonts w:ascii="Times New Roman;Times;serif" w:hAnsi="Times New Roman;Times;serif"/>
          <w:sz w:val="22"/>
          <w:u w:val="single"/>
        </w:rPr>
        <w:t>option right</w:t>
      </w:r>
      <w:r>
        <w:rPr>
          <w:rFonts w:ascii="Times New Roman;Times;serif" w:hAnsi="Times New Roman;Times;serif"/>
          <w:sz w:val="20"/>
        </w:rPr>
        <w:t>”</w:t>
      </w:r>
      <w:r>
        <w:rPr>
          <w:rFonts w:ascii="Times New Roman;Times;serif" w:hAnsi="Times New Roman;Times;serif"/>
          <w:sz w:val="22"/>
        </w:rPr>
        <w:t>), whether such right is exercisable immediately or only after the passage of time), directly or indirectly, of 35% or more of the equity securities of the Company entitled to vote for members of the board of directors or equivalent governing body of the Company on a fully-diluted basis (and taking into account all such securities that such person or group has the right to acquire pursuant to any option right);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during any period of 12 consecutive months, a majority of the members of the board of directors or other equivalent governing body of the Company cease to be composed of individuals (i) who were members of that board or equivalent governing body on the first day of such period, (ii) whose election or nomination to that board or equivalent governing body was approved by individuals referred to in </w:t>
      </w:r>
      <w:r>
        <w:rPr>
          <w:rFonts w:ascii="Times New Roman;Times;serif" w:hAnsi="Times New Roman;Times;serif"/>
          <w:sz w:val="22"/>
          <w:u w:val="single"/>
        </w:rPr>
        <w:t>clause (i)</w:t>
      </w:r>
      <w:r>
        <w:rPr>
          <w:rFonts w:ascii="Times New Roman;Times;serif" w:hAnsi="Times New Roman;Times;serif"/>
          <w:sz w:val="20"/>
        </w:rPr>
        <w:t xml:space="preserve"> </w:t>
      </w:r>
      <w:r>
        <w:rPr>
          <w:rFonts w:ascii="Times New Roman;Times;serif" w:hAnsi="Times New Roman;Times;serif"/>
          <w:sz w:val="22"/>
        </w:rPr>
        <w:t xml:space="preserve">above constituting at the time of such election or nomination at least a majority of that board or equivalent governing body or (iii) whose election or nomination to that board or other equivalent governing body was approved by individuals referred to in </w:t>
      </w:r>
      <w:r>
        <w:rPr>
          <w:rFonts w:ascii="Times New Roman;Times;serif" w:hAnsi="Times New Roman;Times;serif"/>
          <w:sz w:val="22"/>
          <w:u w:val="single"/>
        </w:rPr>
        <w:t>clauses (i)</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(ii)</w:t>
      </w:r>
      <w:r>
        <w:rPr>
          <w:rFonts w:ascii="Times New Roman;Times;serif" w:hAnsi="Times New Roman;Times;serif"/>
          <w:sz w:val="20"/>
        </w:rPr>
        <w:t xml:space="preserve"> </w:t>
      </w:r>
      <w:r>
        <w:rPr>
          <w:rFonts w:ascii="Times New Roman;Times;serif" w:hAnsi="Times New Roman;Times;serif"/>
          <w:sz w:val="22"/>
        </w:rPr>
        <w:t>above constituting at the time of such election or nomination at least a majority of that board or equivalent governing body.</w:t>
      </w:r>
    </w:p>
    <w:p>
      <w:pPr>
        <w:pStyle w:val="TextBody"/>
        <w:bidi w:val="0"/>
        <w:spacing w:before="0" w:after="240"/>
        <w:ind w:left="0" w:right="0" w:firstLine="720"/>
        <w:jc w:val="both"/>
        <w:rPr/>
      </w:pPr>
      <w:r>
        <w:rPr/>
        <w:t>“</w:t>
      </w:r>
      <w:r>
        <w:rPr>
          <w:rFonts w:ascii="Times New Roman;Times;serif" w:hAnsi="Times New Roman;Times;serif"/>
          <w:sz w:val="22"/>
          <w:u w:val="single"/>
        </w:rPr>
        <w:t>Closing Date</w:t>
      </w:r>
      <w:r>
        <w:rPr>
          <w:rFonts w:ascii="Times New Roman;Times;serif" w:hAnsi="Times New Roman;Times;serif"/>
          <w:sz w:val="20"/>
        </w:rPr>
        <w:t xml:space="preserve">” </w:t>
      </w:r>
      <w:r>
        <w:rPr>
          <w:rFonts w:ascii="Times New Roman;Times;serif" w:hAnsi="Times New Roman;Times;serif"/>
          <w:sz w:val="22"/>
        </w:rPr>
        <w:t xml:space="preserve">means the first date all the conditions precedent in </w:t>
      </w:r>
      <w:r>
        <w:rPr>
          <w:rFonts w:ascii="Times New Roman;Times;serif" w:hAnsi="Times New Roman;Times;serif"/>
          <w:sz w:val="22"/>
          <w:u w:val="single"/>
        </w:rPr>
        <w:t>Section 4.01</w:t>
      </w:r>
      <w:r>
        <w:rPr>
          <w:rFonts w:ascii="Times New Roman;Times;serif" w:hAnsi="Times New Roman;Times;serif"/>
          <w:sz w:val="20"/>
        </w:rPr>
        <w:t xml:space="preserve"> </w:t>
      </w:r>
      <w:r>
        <w:rPr>
          <w:rFonts w:ascii="Times New Roman;Times;serif" w:hAnsi="Times New Roman;Times;serif"/>
          <w:sz w:val="22"/>
        </w:rPr>
        <w:t xml:space="preserve">are satisfied or waived in accordance with </w:t>
      </w:r>
      <w:r>
        <w:rPr>
          <w:rFonts w:ascii="Times New Roman;Times;serif" w:hAnsi="Times New Roman;Times;serif"/>
          <w:sz w:val="22"/>
          <w:u w:val="single"/>
        </w:rPr>
        <w:t>Section 10.01</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CME</w:t>
      </w:r>
      <w:r>
        <w:rPr>
          <w:rFonts w:ascii="Times New Roman;Times;serif" w:hAnsi="Times New Roman;Times;serif"/>
          <w:sz w:val="20"/>
        </w:rPr>
        <w:t xml:space="preserve">” </w:t>
      </w:r>
      <w:r>
        <w:rPr>
          <w:rFonts w:ascii="Times New Roman;Times;serif" w:hAnsi="Times New Roman;Times;serif"/>
          <w:sz w:val="22"/>
        </w:rPr>
        <w:t xml:space="preserve">means CME Group Benchmark Administration Limited. </w:t>
      </w:r>
    </w:p>
    <w:p>
      <w:pPr>
        <w:pStyle w:val="TextBody"/>
        <w:bidi w:val="0"/>
        <w:spacing w:before="0" w:after="240"/>
        <w:ind w:left="0" w:right="0" w:firstLine="720"/>
        <w:jc w:val="both"/>
        <w:rPr/>
      </w:pPr>
      <w:r>
        <w:rPr/>
        <w:t>“</w:t>
      </w:r>
      <w:r>
        <w:rPr>
          <w:rFonts w:ascii="Times New Roman;Times;serif" w:hAnsi="Times New Roman;Times;serif"/>
          <w:sz w:val="22"/>
          <w:u w:val="single"/>
        </w:rPr>
        <w:t>Code</w:t>
      </w:r>
      <w:r>
        <w:rPr>
          <w:rFonts w:ascii="Times New Roman;Times;serif" w:hAnsi="Times New Roman;Times;serif"/>
          <w:sz w:val="20"/>
        </w:rPr>
        <w:t xml:space="preserve">” </w:t>
      </w:r>
      <w:r>
        <w:rPr>
          <w:rFonts w:ascii="Times New Roman;Times;serif" w:hAnsi="Times New Roman;Times;serif"/>
          <w:sz w:val="22"/>
        </w:rPr>
        <w:t>means the Internal Revenue Code of 1986.</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Commitment</w:t>
      </w:r>
      <w:r>
        <w:rPr>
          <w:rFonts w:ascii="Times New Roman;Times;serif" w:hAnsi="Times New Roman;Times;serif"/>
          <w:sz w:val="20"/>
        </w:rPr>
        <w:t xml:space="preserve">” </w:t>
      </w:r>
      <w:r>
        <w:rPr>
          <w:rFonts w:ascii="Times New Roman;Times;serif" w:hAnsi="Times New Roman;Times;serif"/>
          <w:sz w:val="22"/>
        </w:rPr>
        <w:t xml:space="preserve">means, as to each Lender, its obligation to (a) make Committed Loans to the Borrowers pursuant to </w:t>
      </w:r>
      <w:r>
        <w:rPr>
          <w:rFonts w:ascii="Times New Roman;Times;serif" w:hAnsi="Times New Roman;Times;serif"/>
          <w:sz w:val="22"/>
          <w:u w:val="single"/>
        </w:rPr>
        <w:t>Section 2.01</w:t>
      </w:r>
      <w:r>
        <w:rPr>
          <w:rFonts w:ascii="Times New Roman;Times;serif" w:hAnsi="Times New Roman;Times;serif"/>
          <w:sz w:val="22"/>
        </w:rPr>
        <w:t xml:space="preserve">, (b) purchase participations in L/C Obligations, and (c) purchase participations in Swing Line Loans, in an aggregate principal amount at any one time outstanding not to exceed the Dollar amount set forth opposite such Lender’s name on </w:t>
      </w:r>
      <w:r>
        <w:rPr>
          <w:rFonts w:ascii="Times New Roman;Times;serif" w:hAnsi="Times New Roman;Times;serif"/>
          <w:sz w:val="22"/>
          <w:u w:val="single"/>
        </w:rPr>
        <w:t>Schedule 2.01</w:t>
      </w:r>
      <w:r>
        <w:rPr>
          <w:rFonts w:ascii="Times New Roman;Times;serif" w:hAnsi="Times New Roman;Times;serif"/>
          <w:sz w:val="20"/>
        </w:rPr>
        <w:t xml:space="preserve"> </w:t>
      </w:r>
      <w:r>
        <w:rPr>
          <w:rFonts w:ascii="Times New Roman;Times;serif" w:hAnsi="Times New Roman;Times;serif"/>
          <w:sz w:val="22"/>
        </w:rPr>
        <w:t>or in the Assignment and Assumption pursuant to which such Lender becomes a party hereto, as applicable, as such amount may be adjusted from time to time in accordance with this Agreement.</w:t>
      </w:r>
    </w:p>
    <w:p>
      <w:pPr>
        <w:pStyle w:val="TextBody"/>
        <w:bidi w:val="0"/>
        <w:spacing w:before="0" w:after="240"/>
        <w:ind w:left="0" w:right="0" w:firstLine="720"/>
        <w:jc w:val="both"/>
        <w:rPr/>
      </w:pPr>
      <w:r>
        <w:rPr/>
        <w:t>“</w:t>
      </w:r>
      <w:r>
        <w:rPr>
          <w:rFonts w:ascii="Times New Roman;Times;serif" w:hAnsi="Times New Roman;Times;serif"/>
          <w:sz w:val="22"/>
          <w:u w:val="single"/>
        </w:rPr>
        <w:t>Commitment Letter</w:t>
      </w:r>
      <w:r>
        <w:rPr>
          <w:rFonts w:ascii="Times New Roman;Times;serif" w:hAnsi="Times New Roman;Times;serif"/>
          <w:sz w:val="20"/>
        </w:rPr>
        <w:t xml:space="preserve">” </w:t>
      </w:r>
      <w:r>
        <w:rPr>
          <w:rFonts w:ascii="Times New Roman;Times;serif" w:hAnsi="Times New Roman;Times;serif"/>
          <w:sz w:val="22"/>
        </w:rPr>
        <w:t>means that certain commitment letter dated as of December 6, 2024, by and among the Administrative Agent, BofA Securities, Inc., BNP Paribas Securities Corp., BNP Paribas, JPMorgan Chase Bank, N.A., MUFG, The Bank of Nova Scotia, Truist Bank and Truist Securities, Inc. and the Company.</w:t>
      </w:r>
    </w:p>
    <w:p>
      <w:pPr>
        <w:pStyle w:val="TextBody"/>
        <w:bidi w:val="0"/>
        <w:spacing w:before="0" w:after="240"/>
        <w:ind w:left="0" w:right="0" w:firstLine="720"/>
        <w:jc w:val="both"/>
        <w:rPr/>
      </w:pPr>
      <w:r>
        <w:rPr/>
        <w:t>“</w:t>
      </w:r>
      <w:r>
        <w:rPr>
          <w:rFonts w:ascii="Times New Roman;Times;serif" w:hAnsi="Times New Roman;Times;serif"/>
          <w:sz w:val="22"/>
          <w:u w:val="single"/>
        </w:rPr>
        <w:t>Committed Borrowing</w:t>
      </w:r>
      <w:r>
        <w:rPr>
          <w:rFonts w:ascii="Times New Roman;Times;serif" w:hAnsi="Times New Roman;Times;serif"/>
          <w:sz w:val="20"/>
        </w:rPr>
        <w:t xml:space="preserve">” </w:t>
      </w:r>
      <w:r>
        <w:rPr>
          <w:rFonts w:ascii="Times New Roman;Times;serif" w:hAnsi="Times New Roman;Times;serif"/>
          <w:sz w:val="22"/>
        </w:rPr>
        <w:t xml:space="preserve">means a borrowing consisting of simultaneous Committed Loans of the same Type, in the same currency and, in the case of Term SOFR Loans and Alternative Currency Term Rate Loans, having the same Interest Period made by each of the Lenders pursuant to </w:t>
      </w:r>
      <w:r>
        <w:rPr>
          <w:rFonts w:ascii="Times New Roman;Times;serif" w:hAnsi="Times New Roman;Times;serif"/>
          <w:sz w:val="22"/>
          <w:u w:val="single"/>
        </w:rPr>
        <w:t>Section 2.01</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Committed Loan</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2.01</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Committed Loan Notice</w:t>
      </w:r>
      <w:r>
        <w:rPr>
          <w:rFonts w:ascii="Times New Roman;Times;serif" w:hAnsi="Times New Roman;Times;serif"/>
          <w:sz w:val="20"/>
        </w:rPr>
        <w:t xml:space="preserve">” </w:t>
      </w:r>
      <w:r>
        <w:rPr>
          <w:rFonts w:ascii="Times New Roman;Times;serif" w:hAnsi="Times New Roman;Times;serif"/>
          <w:sz w:val="22"/>
        </w:rPr>
        <w:t xml:space="preserve">means a notice of (a) a Committed Borrowing, (b) a conversion of Committed Loans from one Type to the other, or (c) a continuation of Term SOFR Loans or Alternative Currency Term Rate Loans, pursuant to </w:t>
      </w:r>
      <w:r>
        <w:rPr>
          <w:rFonts w:ascii="Times New Roman;Times;serif" w:hAnsi="Times New Roman;Times;serif"/>
          <w:sz w:val="22"/>
          <w:u w:val="single"/>
        </w:rPr>
        <w:t>Section 2.02(a)</w:t>
      </w:r>
      <w:r>
        <w:rPr>
          <w:rFonts w:ascii="Times New Roman;Times;serif" w:hAnsi="Times New Roman;Times;serif"/>
          <w:sz w:val="22"/>
        </w:rPr>
        <w:t xml:space="preserve">, which shall be substantially in the form of </w:t>
      </w:r>
      <w:r>
        <w:rPr>
          <w:rFonts w:ascii="Times New Roman;Times;serif" w:hAnsi="Times New Roman;Times;serif"/>
          <w:sz w:val="22"/>
          <w:u w:val="single"/>
        </w:rPr>
        <w:t>Exhibit A</w:t>
      </w:r>
      <w:r>
        <w:rPr>
          <w:rFonts w:ascii="Times New Roman;Times;serif" w:hAnsi="Times New Roman;Times;serif"/>
          <w:sz w:val="20"/>
        </w:rPr>
        <w:t xml:space="preserve"> </w:t>
      </w:r>
      <w:r>
        <w:rPr>
          <w:rFonts w:ascii="Times New Roman;Times;serif" w:hAnsi="Times New Roman;Times;serif"/>
          <w:sz w:val="22"/>
        </w:rPr>
        <w:t>or such other form as may be approved by the Administrative Agent (including any form on an electronic platform or electronic transmission system as shall be approved by the Administrative Agent), appropriately completed and signed by a Responsible Officer of the applicable Borrower.</w:t>
      </w:r>
    </w:p>
    <w:p>
      <w:pPr>
        <w:pStyle w:val="TextBody"/>
        <w:bidi w:val="0"/>
        <w:spacing w:before="0" w:after="240"/>
        <w:ind w:left="0" w:right="0" w:firstLine="720"/>
        <w:jc w:val="both"/>
        <w:rPr/>
      </w:pPr>
      <w:r>
        <w:rPr/>
        <w:t>“</w:t>
      </w:r>
      <w:r>
        <w:rPr>
          <w:rFonts w:ascii="Times New Roman;Times;serif" w:hAnsi="Times New Roman;Times;serif"/>
          <w:sz w:val="22"/>
          <w:u w:val="single"/>
        </w:rPr>
        <w:t>Communication</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10.19</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Company</w:t>
      </w:r>
      <w:r>
        <w:rPr>
          <w:rFonts w:ascii="Times New Roman;Times;serif" w:hAnsi="Times New Roman;Times;serif"/>
          <w:sz w:val="20"/>
        </w:rPr>
        <w:t xml:space="preserve">” </w:t>
      </w:r>
      <w:r>
        <w:rPr>
          <w:rFonts w:ascii="Times New Roman;Times;serif" w:hAnsi="Times New Roman;Times;serif"/>
          <w:sz w:val="22"/>
        </w:rPr>
        <w:t xml:space="preserve">has the meaning specified in the introductory paragraph hereto. </w:t>
      </w:r>
    </w:p>
    <w:p>
      <w:pPr>
        <w:pStyle w:val="TextBody"/>
        <w:bidi w:val="0"/>
        <w:spacing w:before="0" w:after="240"/>
        <w:ind w:left="0" w:right="0" w:firstLine="720"/>
        <w:jc w:val="both"/>
        <w:rPr/>
      </w:pPr>
      <w:r>
        <w:rPr/>
        <w:t>“</w:t>
      </w:r>
      <w:r>
        <w:rPr>
          <w:rFonts w:ascii="Times New Roman;Times;serif" w:hAnsi="Times New Roman;Times;serif"/>
          <w:sz w:val="22"/>
          <w:u w:val="single"/>
        </w:rPr>
        <w:t>Compliance Certificate</w:t>
      </w:r>
      <w:r>
        <w:rPr>
          <w:rFonts w:ascii="Times New Roman;Times;serif" w:hAnsi="Times New Roman;Times;serif"/>
          <w:sz w:val="20"/>
        </w:rPr>
        <w:t xml:space="preserve">” </w:t>
      </w:r>
      <w:r>
        <w:rPr>
          <w:rFonts w:ascii="Times New Roman;Times;serif" w:hAnsi="Times New Roman;Times;serif"/>
          <w:sz w:val="22"/>
        </w:rPr>
        <w:t xml:space="preserve">means a certificate substantially in the form of </w:t>
      </w:r>
      <w:r>
        <w:rPr>
          <w:rFonts w:ascii="Times New Roman;Times;serif" w:hAnsi="Times New Roman;Times;serif"/>
          <w:sz w:val="22"/>
          <w:u w:val="single"/>
        </w:rPr>
        <w:t>Exhibit D</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Conforming Changes</w:t>
      </w:r>
      <w:r>
        <w:rPr>
          <w:rFonts w:ascii="Times New Roman;Times;serif" w:hAnsi="Times New Roman;Times;serif"/>
          <w:sz w:val="20"/>
        </w:rPr>
        <w:t xml:space="preserve">” </w:t>
      </w:r>
      <w:r>
        <w:rPr>
          <w:rFonts w:ascii="Times New Roman;Times;serif" w:hAnsi="Times New Roman;Times;serif"/>
          <w:sz w:val="22"/>
        </w:rPr>
        <w:t xml:space="preserve">means, with respect to the use, administration of or any conventions associated with SOFR, Term SOFR, SOFR Daily Floating Rate, SONIA, EURIBOR, TIBOR, ESTR or any proposed successor rate for any currency, any conforming changes to the definitions of “Base Rate”, “SOFR”, “Term SOFR”, “SOFR Daily Floating Rate”, “SONIA”, “EURIBOR”, “TIBOR”, “ESTR”, “Interest Period”, timing and frequency of determining rates and making payments of interest and other technical or administrative matters (including, for the avoidance of doubt, the </w:t>
      </w:r>
      <w:r>
        <w:rPr>
          <w:rFonts w:ascii="Times New Roman;Times;serif" w:hAnsi="Times New Roman;Times;serif"/>
          <w:color w:val="FF0000"/>
          <w:sz w:val="22"/>
        </w:rPr>
        <w:t>definition of “</w:t>
      </w:r>
      <w:r>
        <w:rPr>
          <w:rFonts w:ascii="Times New Roman;Times;serif" w:hAnsi="Times New Roman;Times;serif"/>
          <w:color w:val="0000FF"/>
          <w:sz w:val="22"/>
          <w:u w:val="single"/>
        </w:rPr>
        <w:t>definitions of “Business Day” and “U.S. Government Securities</w:t>
      </w:r>
      <w:r>
        <w:rPr>
          <w:rFonts w:ascii="Times New Roman;Times;serif" w:hAnsi="Times New Roman;Times;serif"/>
          <w:sz w:val="20"/>
        </w:rPr>
        <w:t xml:space="preserve"> </w:t>
      </w:r>
      <w:r>
        <w:rPr>
          <w:rFonts w:ascii="Times New Roman;Times;serif" w:hAnsi="Times New Roman;Times;serif"/>
          <w:sz w:val="22"/>
        </w:rPr>
        <w:t>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for such currency (or, if the Administrative Agent determines that adoption of any portion of such market practice is not administratively feasible or that no market practice for the administration of such rate for such currency exists, in such other manner of administration as the Administrative Agent determines in consultation with the Company is reasonably necessary in connection with the administration of this Agreement and any other Loan Document).</w:t>
      </w:r>
    </w:p>
    <w:p>
      <w:pPr>
        <w:pStyle w:val="TextBody"/>
        <w:bidi w:val="0"/>
        <w:spacing w:before="0" w:after="240"/>
        <w:ind w:left="0" w:right="0" w:firstLine="720"/>
        <w:jc w:val="both"/>
        <w:rPr/>
      </w:pPr>
      <w:r>
        <w:rPr/>
        <w:t>“</w:t>
      </w:r>
      <w:r>
        <w:rPr>
          <w:rFonts w:ascii="Times New Roman;Times;serif" w:hAnsi="Times New Roman;Times;serif"/>
          <w:sz w:val="22"/>
          <w:u w:val="single"/>
        </w:rPr>
        <w:t>Connection Income Taxes</w:t>
      </w:r>
      <w:r>
        <w:rPr>
          <w:rFonts w:ascii="Times New Roman;Times;serif" w:hAnsi="Times New Roman;Times;serif"/>
          <w:sz w:val="20"/>
        </w:rPr>
        <w:t xml:space="preserve">” </w:t>
      </w:r>
      <w:r>
        <w:rPr>
          <w:rFonts w:ascii="Times New Roman;Times;serif" w:hAnsi="Times New Roman;Times;serif"/>
          <w:sz w:val="22"/>
        </w:rPr>
        <w:t>means Other Connection Taxes that are imposed on or measured by net income (however denominated) or that are franchise Taxes or branch profits Taxes.</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Consolidated EBITDA</w:t>
      </w:r>
      <w:r>
        <w:rPr>
          <w:rFonts w:ascii="Times New Roman;Times;serif" w:hAnsi="Times New Roman;Times;serif"/>
          <w:sz w:val="20"/>
        </w:rPr>
        <w:t xml:space="preserve">” </w:t>
      </w:r>
      <w:r>
        <w:rPr>
          <w:rFonts w:ascii="Times New Roman;Times;serif" w:hAnsi="Times New Roman;Times;serif"/>
          <w:sz w:val="22"/>
        </w:rPr>
        <w:t xml:space="preserve">means, for any period, for the Company and its Subsidiaries on a consolidated basis, an amount equal to Consolidated Net Income for such period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(a) the following (to the extent deducted in calculating such Consolidated Net Income, without duplication): (i) Consolidated Interest Charges for such period, (ii) the provision for Federal, state, local and foreign income taxes payable by the Company and its Subsidiaries for such period, (iii) depreciation and amortization expense, (iv) gains or losses related to the early extinguishment of notes, bonds or other fixed income obligations, (v) other non-cash or non-recurring expenses of the Company and its Subsidiaries (including non-cash expenses consisting of compensation paid in the form of Equity Interests of the Company or its Subsidiaries and non-cash charges due to impairments recorded in such period in accordance with Financial Accounting Standards Board’s Accounting Standards Codification 350), reducing such Consolidated Net Income and (vi) the amount of any restructuring charge, accrual, reserve or integration cost or expense incurred or accrued on or after the Amendment No. 1 Effective Date and prior to the Relief Period Termination Date, in connection with the planning, undertaking and implementation of any restructuring, closure, reallocation, relocation, decommissioning, reconfiguration, cost rationalization, reduction in force, exit or disposal plan, or operating expense reduction, including severance pay, other employee termination costs, rent termination costs, moving costs and legal costs, in each case to the extent such transaction is permitted under the Loan Documents, in an aggregate amount for all adjustments under this </w:t>
      </w:r>
      <w:r>
        <w:rPr>
          <w:rFonts w:ascii="Times New Roman;Times;serif" w:hAnsi="Times New Roman;Times;serif"/>
          <w:sz w:val="22"/>
          <w:u w:val="single"/>
        </w:rPr>
        <w:t>clause (vi)</w:t>
      </w:r>
      <w:r>
        <w:rPr>
          <w:rFonts w:ascii="Times New Roman;Times;serif" w:hAnsi="Times New Roman;Times;serif"/>
          <w:sz w:val="22"/>
        </w:rPr>
        <w:t>, not to exceed $100,000,000 and which amounts may only be included in a fiscal period ending during the Relief Period, and minus (b) all non-cash items increasing Consolidated Net Income for such period.</w:t>
      </w:r>
    </w:p>
    <w:p>
      <w:pPr>
        <w:pStyle w:val="TextBody"/>
        <w:bidi w:val="0"/>
        <w:spacing w:before="0" w:after="240"/>
        <w:ind w:left="0" w:right="0" w:firstLine="720"/>
        <w:jc w:val="both"/>
        <w:rPr/>
      </w:pPr>
      <w:r>
        <w:rPr/>
        <w:t>“</w:t>
      </w:r>
      <w:r>
        <w:rPr>
          <w:rFonts w:ascii="Times New Roman;Times;serif" w:hAnsi="Times New Roman;Times;serif"/>
          <w:sz w:val="22"/>
          <w:u w:val="single"/>
        </w:rPr>
        <w:t>Consolidated Funded Indebtedness</w:t>
      </w:r>
      <w:r>
        <w:rPr>
          <w:rFonts w:ascii="Times New Roman;Times;serif" w:hAnsi="Times New Roman;Times;serif"/>
          <w:sz w:val="20"/>
        </w:rPr>
        <w:t xml:space="preserve">” </w:t>
      </w:r>
      <w:r>
        <w:rPr>
          <w:rFonts w:ascii="Times New Roman;Times;serif" w:hAnsi="Times New Roman;Times;serif"/>
          <w:sz w:val="22"/>
        </w:rPr>
        <w:t xml:space="preserve">means, as of any date of determination, for the Company and its Subsidiaries on a consolidated basis, the sum of (a) the outstanding principal amount of all obligations, whether current or long-term, for borrowed money (including such Obligations hereunder) and all obligations evidenced by bonds, debentures, notes, loan agreements or other similar instruments, (b) all purchase money Indebtedness, (c) all direct obligations arising under letters of credit (including standby letters of credit), bankers’ acceptances, bank guaranties, surety bonds and similar instruments (other than, and without expanding this </w:t>
      </w:r>
      <w:r>
        <w:rPr>
          <w:rFonts w:ascii="Times New Roman;Times;serif" w:hAnsi="Times New Roman;Times;serif"/>
          <w:sz w:val="22"/>
          <w:u w:val="single"/>
        </w:rPr>
        <w:t>clause (c)</w:t>
      </w:r>
      <w:r>
        <w:rPr>
          <w:rFonts w:ascii="Times New Roman;Times;serif" w:hAnsi="Times New Roman;Times;serif"/>
          <w:sz w:val="22"/>
        </w:rPr>
        <w:t xml:space="preserve">, commercial letters of credit and bankers’ acceptances incurred to support commercial or lease transactions, bid bonds, payment bonds and performance bonds arising in the ordinary course of business), in each case net of the amount of cash collateral securing such direct obligations, (d) all obligations in respect of the deferred purchase price of property or services (other than trade accounts payable in the ordinary course of business), (e) Attributable Indebtedness in respect of capital leases, Synthetic Lease Obligations and other Off-Balance Sheet Liabilities, (f) without duplication, all Guarantees with respect to outstanding Indebtedness of the types specified in </w:t>
      </w:r>
      <w:r>
        <w:rPr>
          <w:rFonts w:ascii="Times New Roman;Times;serif" w:hAnsi="Times New Roman;Times;serif"/>
          <w:sz w:val="22"/>
          <w:u w:val="single"/>
        </w:rPr>
        <w:t>clauses (a)</w:t>
      </w:r>
      <w:r>
        <w:rPr>
          <w:rFonts w:ascii="Times New Roman;Times;serif" w:hAnsi="Times New Roman;Times;serif"/>
          <w:sz w:val="20"/>
        </w:rPr>
        <w:t xml:space="preserve"> </w:t>
      </w:r>
      <w:r>
        <w:rPr>
          <w:rFonts w:ascii="Times New Roman;Times;serif" w:hAnsi="Times New Roman;Times;serif"/>
          <w:sz w:val="22"/>
        </w:rPr>
        <w:t xml:space="preserve">through </w:t>
      </w:r>
      <w:r>
        <w:rPr>
          <w:rFonts w:ascii="Times New Roman;Times;serif" w:hAnsi="Times New Roman;Times;serif"/>
          <w:sz w:val="22"/>
          <w:u w:val="single"/>
        </w:rPr>
        <w:t>(e)</w:t>
      </w:r>
      <w:r>
        <w:rPr>
          <w:rFonts w:ascii="Times New Roman;Times;serif" w:hAnsi="Times New Roman;Times;serif"/>
          <w:sz w:val="20"/>
        </w:rPr>
        <w:t xml:space="preserve"> </w:t>
      </w:r>
      <w:r>
        <w:rPr>
          <w:rFonts w:ascii="Times New Roman;Times;serif" w:hAnsi="Times New Roman;Times;serif"/>
          <w:sz w:val="22"/>
        </w:rPr>
        <w:t xml:space="preserve">above of Persons other than the Company or any Subsidiary, and (g) all Indebtedness of the types referred to in </w:t>
      </w:r>
      <w:r>
        <w:rPr>
          <w:rFonts w:ascii="Times New Roman;Times;serif" w:hAnsi="Times New Roman;Times;serif"/>
          <w:sz w:val="22"/>
          <w:u w:val="single"/>
        </w:rPr>
        <w:t>clauses (a)</w:t>
      </w:r>
      <w:r>
        <w:rPr>
          <w:rFonts w:ascii="Times New Roman;Times;serif" w:hAnsi="Times New Roman;Times;serif"/>
          <w:sz w:val="20"/>
        </w:rPr>
        <w:t xml:space="preserve"> </w:t>
      </w:r>
      <w:r>
        <w:rPr>
          <w:rFonts w:ascii="Times New Roman;Times;serif" w:hAnsi="Times New Roman;Times;serif"/>
          <w:sz w:val="22"/>
        </w:rPr>
        <w:t xml:space="preserve">through </w:t>
      </w:r>
      <w:r>
        <w:rPr>
          <w:rFonts w:ascii="Times New Roman;Times;serif" w:hAnsi="Times New Roman;Times;serif"/>
          <w:sz w:val="22"/>
          <w:u w:val="single"/>
        </w:rPr>
        <w:t>(f)</w:t>
      </w:r>
      <w:r>
        <w:rPr>
          <w:rFonts w:ascii="Times New Roman;Times;serif" w:hAnsi="Times New Roman;Times;serif"/>
          <w:sz w:val="20"/>
        </w:rPr>
        <w:t xml:space="preserve"> </w:t>
      </w:r>
      <w:r>
        <w:rPr>
          <w:rFonts w:ascii="Times New Roman;Times;serif" w:hAnsi="Times New Roman;Times;serif"/>
          <w:sz w:val="22"/>
        </w:rPr>
        <w:t>above of any partnership or joint venture (other than a joint venture that is itself a corporation or limited liability company) in which the Company or a Subsidiary is a general partner or joint venturer, if, and to the extent that, the fair value of the assets of such partnership or joint venture is less than its probable liability in respect of its obligations, net of any right to contribution from other reasonably creditworthy Persons which the Company or such Subsidiary has in respect thereof, unless such Indebtedness is expressly made non-recourse to the Company or such Subsidiary.</w:t>
      </w:r>
    </w:p>
    <w:p>
      <w:pPr>
        <w:pStyle w:val="TextBody"/>
        <w:bidi w:val="0"/>
        <w:spacing w:before="0" w:after="240"/>
        <w:ind w:left="0" w:right="0" w:firstLine="720"/>
        <w:jc w:val="both"/>
        <w:rPr/>
      </w:pPr>
      <w:r>
        <w:rPr/>
        <w:t>“</w:t>
      </w:r>
      <w:r>
        <w:rPr>
          <w:rFonts w:ascii="Times New Roman;Times;serif" w:hAnsi="Times New Roman;Times;serif"/>
          <w:sz w:val="22"/>
          <w:u w:val="single"/>
        </w:rPr>
        <w:t>Consolidated Interest Charges</w:t>
      </w:r>
      <w:r>
        <w:rPr>
          <w:rFonts w:ascii="Times New Roman;Times;serif" w:hAnsi="Times New Roman;Times;serif"/>
          <w:sz w:val="20"/>
        </w:rPr>
        <w:t xml:space="preserve">” </w:t>
      </w:r>
      <w:r>
        <w:rPr>
          <w:rFonts w:ascii="Times New Roman;Times;serif" w:hAnsi="Times New Roman;Times;serif"/>
          <w:sz w:val="22"/>
        </w:rPr>
        <w:t xml:space="preserve">means, for any period, for the Company and its Subsidiaries on a consolidated basis, the sum, without duplication, of (a) consolidated interest expense determined in accordance with GAAP and (b) all implicit interest in connection with Synthetic Lease Obligations and other Off-Balance Sheet Liabilities minus (c) the amount of non-cash interest (including interest paid by the issuance of additional securities) included in the foregoing </w:t>
      </w:r>
      <w:r>
        <w:rPr>
          <w:rFonts w:ascii="Times New Roman;Times;serif" w:hAnsi="Times New Roman;Times;serif"/>
          <w:sz w:val="22"/>
          <w:u w:val="single"/>
        </w:rPr>
        <w:t>clause (a)</w:t>
      </w:r>
      <w:r>
        <w:rPr>
          <w:rFonts w:ascii="Times New Roman;Times;serif" w:hAnsi="Times New Roman;Times;serif"/>
          <w:sz w:val="22"/>
        </w:rPr>
        <w:t>.</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Consolidated Leverage Ratio</w:t>
      </w:r>
      <w:r>
        <w:rPr>
          <w:rFonts w:ascii="Times New Roman;Times;serif" w:hAnsi="Times New Roman;Times;serif"/>
          <w:sz w:val="20"/>
        </w:rPr>
        <w:t xml:space="preserve">” </w:t>
      </w:r>
      <w:r>
        <w:rPr>
          <w:rFonts w:ascii="Times New Roman;Times;serif" w:hAnsi="Times New Roman;Times;serif"/>
          <w:sz w:val="22"/>
        </w:rPr>
        <w:t>means, as of any date of determination, the ratio of (a) Consolidated Funded Indebtedness as of such date to (b) Consolidated EBITDA for the period of the four fiscal quarters most recently ended.</w:t>
      </w:r>
    </w:p>
    <w:p>
      <w:pPr>
        <w:pStyle w:val="TextBody"/>
        <w:bidi w:val="0"/>
        <w:spacing w:before="0" w:after="240"/>
        <w:ind w:left="0" w:right="0" w:firstLine="720"/>
        <w:jc w:val="both"/>
        <w:rPr/>
      </w:pPr>
      <w:r>
        <w:rPr/>
        <w:t>“</w:t>
      </w:r>
      <w:r>
        <w:rPr>
          <w:rFonts w:ascii="Times New Roman;Times;serif" w:hAnsi="Times New Roman;Times;serif"/>
          <w:sz w:val="22"/>
          <w:u w:val="single"/>
        </w:rPr>
        <w:t>Consolidated Net Income</w:t>
      </w:r>
      <w:r>
        <w:rPr>
          <w:rFonts w:ascii="Times New Roman;Times;serif" w:hAnsi="Times New Roman;Times;serif"/>
          <w:sz w:val="20"/>
        </w:rPr>
        <w:t xml:space="preserve">” </w:t>
      </w:r>
      <w:r>
        <w:rPr>
          <w:rFonts w:ascii="Times New Roman;Times;serif" w:hAnsi="Times New Roman;Times;serif"/>
          <w:sz w:val="22"/>
        </w:rPr>
        <w:t>means, for any period, for the Company and its Subsidiaries on a consolidated basis, the net income of the Company and its Subsidiaries (excluding extraordinary gains but including extraordinary losses) for that period.</w:t>
      </w:r>
    </w:p>
    <w:p>
      <w:pPr>
        <w:pStyle w:val="TextBody"/>
        <w:bidi w:val="0"/>
        <w:spacing w:before="0" w:after="240"/>
        <w:ind w:left="0" w:right="0" w:firstLine="720"/>
        <w:jc w:val="both"/>
        <w:rPr/>
      </w:pPr>
      <w:r>
        <w:rPr/>
        <w:t>“</w:t>
      </w:r>
      <w:r>
        <w:rPr>
          <w:rFonts w:ascii="Times New Roman;Times;serif" w:hAnsi="Times New Roman;Times;serif"/>
          <w:sz w:val="22"/>
          <w:u w:val="single"/>
        </w:rPr>
        <w:t>Consolidated Tangible Net Worth</w:t>
      </w:r>
      <w:r>
        <w:rPr>
          <w:rFonts w:ascii="Times New Roman;Times;serif" w:hAnsi="Times New Roman;Times;serif"/>
          <w:sz w:val="20"/>
        </w:rPr>
        <w:t xml:space="preserve">” </w:t>
      </w:r>
      <w:r>
        <w:rPr>
          <w:rFonts w:ascii="Times New Roman;Times;serif" w:hAnsi="Times New Roman;Times;serif"/>
          <w:sz w:val="22"/>
        </w:rPr>
        <w:t>means, as of any date of determination, for the Company and its Subsidiaries on a consolidated basis, Shareholders’ Equity minus Intangible Assets on that date.</w:t>
      </w:r>
    </w:p>
    <w:p>
      <w:pPr>
        <w:pStyle w:val="TextBody"/>
        <w:bidi w:val="0"/>
        <w:spacing w:before="0" w:after="240"/>
        <w:ind w:left="0" w:right="0" w:firstLine="720"/>
        <w:jc w:val="both"/>
        <w:rPr/>
      </w:pPr>
      <w:r>
        <w:rPr/>
        <w:t>“</w:t>
      </w:r>
      <w:r>
        <w:rPr>
          <w:rFonts w:ascii="Times New Roman;Times;serif" w:hAnsi="Times New Roman;Times;serif"/>
          <w:sz w:val="22"/>
          <w:u w:val="single"/>
        </w:rPr>
        <w:t>Contractual Obligation</w:t>
      </w:r>
      <w:r>
        <w:rPr>
          <w:rFonts w:ascii="Times New Roman;Times;serif" w:hAnsi="Times New Roman;Times;serif"/>
          <w:sz w:val="20"/>
        </w:rPr>
        <w:t xml:space="preserve">” </w:t>
      </w:r>
      <w:r>
        <w:rPr>
          <w:rFonts w:ascii="Times New Roman;Times;serif" w:hAnsi="Times New Roman;Times;serif"/>
          <w:sz w:val="22"/>
        </w:rPr>
        <w:t>means, as to any Person, any provision of any security issued by such Person or of any agreement, instrument or other undertaking to which such Person is a party or by which it or any of its property is bound.</w:t>
      </w:r>
    </w:p>
    <w:p>
      <w:pPr>
        <w:pStyle w:val="TextBody"/>
        <w:bidi w:val="0"/>
        <w:spacing w:before="0" w:after="240"/>
        <w:ind w:left="0" w:right="0" w:firstLine="720"/>
        <w:jc w:val="both"/>
        <w:rPr/>
      </w:pPr>
      <w:r>
        <w:rPr/>
        <w:t>“</w:t>
      </w:r>
      <w:r>
        <w:rPr>
          <w:rFonts w:ascii="Times New Roman;Times;serif" w:hAnsi="Times New Roman;Times;serif"/>
          <w:sz w:val="22"/>
          <w:u w:val="single"/>
        </w:rPr>
        <w:t>Control</w:t>
      </w:r>
      <w:r>
        <w:rPr>
          <w:rFonts w:ascii="Times New Roman;Times;serif" w:hAnsi="Times New Roman;Times;serif"/>
          <w:sz w:val="20"/>
        </w:rPr>
        <w:t xml:space="preserve">” </w:t>
      </w:r>
      <w:r>
        <w:rPr>
          <w:rFonts w:ascii="Times New Roman;Times;serif" w:hAnsi="Times New Roman;Times;serif"/>
          <w:sz w:val="22"/>
        </w:rPr>
        <w:t>means the possession, directly or indirectly, of the power to direct or cause the direction of the management or policies of a Person, whether through the ability to exercise voting power, by contract or otherwise. “</w:t>
      </w:r>
      <w:r>
        <w:rPr>
          <w:rFonts w:ascii="Times New Roman;Times;serif" w:hAnsi="Times New Roman;Times;serif"/>
          <w:sz w:val="22"/>
          <w:u w:val="single"/>
        </w:rPr>
        <w:t>Controlling</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sz w:val="22"/>
          <w:u w:val="single"/>
        </w:rPr>
        <w:t>Controlled</w:t>
      </w:r>
      <w:r>
        <w:rPr>
          <w:rFonts w:ascii="Times New Roman;Times;serif" w:hAnsi="Times New Roman;Times;serif"/>
          <w:sz w:val="20"/>
        </w:rPr>
        <w:t xml:space="preserve">” </w:t>
      </w:r>
      <w:r>
        <w:rPr>
          <w:rFonts w:ascii="Times New Roman;Times;serif" w:hAnsi="Times New Roman;Times;serif"/>
          <w:sz w:val="22"/>
        </w:rPr>
        <w:t>have meanings correlative thereto.</w:t>
      </w:r>
    </w:p>
    <w:p>
      <w:pPr>
        <w:pStyle w:val="TextBody"/>
        <w:bidi w:val="0"/>
        <w:spacing w:before="0" w:after="240"/>
        <w:ind w:left="0" w:right="0" w:firstLine="720"/>
        <w:jc w:val="both"/>
        <w:rPr/>
      </w:pPr>
      <w:r>
        <w:rPr/>
        <w:t>“</w:t>
      </w:r>
      <w:r>
        <w:rPr>
          <w:rFonts w:ascii="Times New Roman;Times;serif" w:hAnsi="Times New Roman;Times;serif"/>
          <w:sz w:val="22"/>
          <w:u w:val="single"/>
        </w:rPr>
        <w:t>Covered Entity</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10.21</w:t>
      </w:r>
      <w:r>
        <w:rPr>
          <w:rFonts w:ascii="Times New Roman;Times;serif" w:hAnsi="Times New Roman;Times;serif"/>
          <w:sz w:val="22"/>
        </w:rPr>
        <w:t xml:space="preserve">. </w:t>
      </w:r>
    </w:p>
    <w:p>
      <w:pPr>
        <w:pStyle w:val="TextBody"/>
        <w:bidi w:val="0"/>
        <w:spacing w:before="0" w:after="240"/>
        <w:ind w:left="0" w:right="0" w:firstLine="720"/>
        <w:jc w:val="both"/>
        <w:rPr>
          <w:color w:val="0000FF"/>
          <w:u w:val="single"/>
        </w:rPr>
      </w:pPr>
      <w:r>
        <w:rPr>
          <w:color w:val="0000FF"/>
          <w:u w:val="single"/>
        </w:rPr>
        <w:t>“</w:t>
      </w:r>
      <w:r>
        <w:rPr>
          <w:rFonts w:ascii="Times New Roman;Times;serif" w:hAnsi="Times New Roman;Times;serif"/>
          <w:color w:val="0000FF"/>
          <w:sz w:val="22"/>
          <w:u w:val="single"/>
        </w:rPr>
        <w:t>CRD VI” has the meaning specified in Section 3.06.</w:t>
      </w:r>
    </w:p>
    <w:p>
      <w:pPr>
        <w:pStyle w:val="TextBody"/>
        <w:bidi w:val="0"/>
        <w:spacing w:before="0" w:after="240"/>
        <w:ind w:left="0" w:right="0" w:firstLine="720"/>
        <w:jc w:val="both"/>
        <w:rPr/>
      </w:pPr>
      <w:r>
        <w:rPr/>
        <w:t>“</w:t>
      </w:r>
      <w:r>
        <w:rPr>
          <w:rFonts w:ascii="Times New Roman;Times;serif" w:hAnsi="Times New Roman;Times;serif"/>
          <w:sz w:val="22"/>
          <w:u w:val="single"/>
        </w:rPr>
        <w:t>Credit Extension</w:t>
      </w:r>
      <w:r>
        <w:rPr>
          <w:rFonts w:ascii="Times New Roman;Times;serif" w:hAnsi="Times New Roman;Times;serif"/>
          <w:sz w:val="20"/>
        </w:rPr>
        <w:t xml:space="preserve">” </w:t>
      </w:r>
      <w:r>
        <w:rPr>
          <w:rFonts w:ascii="Times New Roman;Times;serif" w:hAnsi="Times New Roman;Times;serif"/>
          <w:sz w:val="22"/>
        </w:rPr>
        <w:t>means each of the following: (a) a Borrowing and (b) an L/C Credit Extension.</w:t>
      </w:r>
    </w:p>
    <w:p>
      <w:pPr>
        <w:pStyle w:val="TextBody"/>
        <w:bidi w:val="0"/>
        <w:spacing w:before="0" w:after="240"/>
        <w:ind w:left="0" w:right="0" w:firstLine="720"/>
        <w:jc w:val="both"/>
        <w:rPr/>
      </w:pPr>
      <w:r>
        <w:rPr/>
        <w:t>“</w:t>
      </w:r>
      <w:r>
        <w:rPr>
          <w:rFonts w:ascii="Times New Roman;Times;serif" w:hAnsi="Times New Roman;Times;serif"/>
          <w:sz w:val="22"/>
          <w:u w:val="single"/>
        </w:rPr>
        <w:t>Daily Simple SOFR</w:t>
      </w:r>
      <w:r>
        <w:rPr>
          <w:rFonts w:ascii="Times New Roman;Times;serif" w:hAnsi="Times New Roman;Times;serif"/>
          <w:sz w:val="20"/>
        </w:rPr>
        <w:t xml:space="preserve">” </w:t>
      </w:r>
      <w:r>
        <w:rPr>
          <w:rFonts w:ascii="Times New Roman;Times;serif" w:hAnsi="Times New Roman;Times;serif"/>
          <w:sz w:val="22"/>
        </w:rPr>
        <w:t xml:space="preserve">with respect to any applicable determination date means SOFR published on such date on the Federal Reserve Bank of New York’s website (or any successor source);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if such determination date is not a U.S. Government Securities Business Day, then Daily Simple SOFR means SOFR that applied on the first U.S. Government Securities Business Day immediately prior thereto.</w:t>
      </w:r>
    </w:p>
    <w:p>
      <w:pPr>
        <w:pStyle w:val="TextBody"/>
        <w:bidi w:val="0"/>
        <w:spacing w:before="0" w:after="240"/>
        <w:ind w:left="0" w:right="0" w:firstLine="720"/>
        <w:jc w:val="both"/>
        <w:rPr/>
      </w:pPr>
      <w:r>
        <w:rPr/>
        <w:t>“</w:t>
      </w:r>
      <w:r>
        <w:rPr>
          <w:rFonts w:ascii="Times New Roman;Times;serif" w:hAnsi="Times New Roman;Times;serif"/>
          <w:sz w:val="22"/>
          <w:u w:val="single"/>
        </w:rPr>
        <w:t>Debt Rating</w:t>
      </w:r>
      <w:r>
        <w:rPr>
          <w:rFonts w:ascii="Times New Roman;Times;serif" w:hAnsi="Times New Roman;Times;serif"/>
          <w:sz w:val="20"/>
        </w:rPr>
        <w:t xml:space="preserve">” </w:t>
      </w:r>
      <w:r>
        <w:rPr>
          <w:rFonts w:ascii="Times New Roman;Times;serif" w:hAnsi="Times New Roman;Times;serif"/>
          <w:sz w:val="22"/>
        </w:rPr>
        <w:t>has the meaning specified in the definition of Applicable Rate.</w:t>
      </w:r>
    </w:p>
    <w:p>
      <w:pPr>
        <w:pStyle w:val="TextBody"/>
        <w:bidi w:val="0"/>
        <w:spacing w:before="0" w:after="240"/>
        <w:ind w:left="0" w:right="0" w:firstLine="720"/>
        <w:jc w:val="both"/>
        <w:rPr/>
      </w:pPr>
      <w:r>
        <w:rPr/>
        <w:t>“</w:t>
      </w:r>
      <w:r>
        <w:rPr>
          <w:rFonts w:ascii="Times New Roman;Times;serif" w:hAnsi="Times New Roman;Times;serif"/>
          <w:sz w:val="22"/>
          <w:u w:val="single"/>
        </w:rPr>
        <w:t>Debtor Relief Laws</w:t>
      </w:r>
      <w:r>
        <w:rPr>
          <w:rFonts w:ascii="Times New Roman;Times;serif" w:hAnsi="Times New Roman;Times;serif"/>
          <w:sz w:val="20"/>
        </w:rPr>
        <w:t xml:space="preserve">” </w:t>
      </w:r>
      <w:r>
        <w:rPr>
          <w:rFonts w:ascii="Times New Roman;Times;serif" w:hAnsi="Times New Roman;Times;serif"/>
          <w:sz w:val="22"/>
        </w:rPr>
        <w:t>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pStyle w:val="TextBody"/>
        <w:bidi w:val="0"/>
        <w:spacing w:before="0" w:after="240"/>
        <w:ind w:left="0" w:right="0" w:firstLine="720"/>
        <w:jc w:val="both"/>
        <w:rPr/>
      </w:pPr>
      <w:r>
        <w:rPr/>
        <w:t>“</w:t>
      </w:r>
      <w:r>
        <w:rPr>
          <w:rFonts w:ascii="Times New Roman;Times;serif" w:hAnsi="Times New Roman;Times;serif"/>
          <w:sz w:val="22"/>
          <w:u w:val="single"/>
        </w:rPr>
        <w:t>Default</w:t>
      </w:r>
      <w:r>
        <w:rPr>
          <w:rFonts w:ascii="Times New Roman;Times;serif" w:hAnsi="Times New Roman;Times;serif"/>
          <w:sz w:val="20"/>
        </w:rPr>
        <w:t xml:space="preserve">” </w:t>
      </w:r>
      <w:r>
        <w:rPr>
          <w:rFonts w:ascii="Times New Roman;Times;serif" w:hAnsi="Times New Roman;Times;serif"/>
          <w:sz w:val="22"/>
        </w:rPr>
        <w:t>means any event or condition that constitutes an Event of Default or that, with the giving of any notice, the passage of time, or both, would be an Event of Default.</w:t>
      </w:r>
    </w:p>
    <w:p>
      <w:pPr>
        <w:pStyle w:val="TextBody"/>
        <w:bidi w:val="0"/>
        <w:spacing w:before="0" w:after="240"/>
        <w:ind w:left="0" w:right="0" w:firstLine="720"/>
        <w:jc w:val="both"/>
        <w:rPr/>
      </w:pPr>
      <w:r>
        <w:rPr/>
        <w:t>“</w:t>
      </w:r>
      <w:r>
        <w:rPr>
          <w:rFonts w:ascii="Times New Roman;Times;serif" w:hAnsi="Times New Roman;Times;serif"/>
          <w:sz w:val="22"/>
          <w:u w:val="single"/>
        </w:rPr>
        <w:t>Default Rate</w:t>
      </w:r>
      <w:r>
        <w:rPr>
          <w:rFonts w:ascii="Times New Roman;Times;serif" w:hAnsi="Times New Roman;Times;serif"/>
          <w:sz w:val="20"/>
        </w:rPr>
        <w:t xml:space="preserve">” </w:t>
      </w:r>
      <w:r>
        <w:rPr>
          <w:rFonts w:ascii="Times New Roman;Times;serif" w:hAnsi="Times New Roman;Times;serif"/>
          <w:sz w:val="22"/>
        </w:rPr>
        <w:t xml:space="preserve">means (a) when used with respect to Obligations other than Letter of Credit Fees, an interest rate equal to (i) the Base Rate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(ii) the Applicable Rate, if any, applicable to Base Rate Loans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(iii) 2% per annum;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with respect to a Term SOFR Loan or an Alternative Currency Loan, the Default Rate shall be an interest rate equal to the interest rate (including any Applicable Rate) otherwise applicable to such Loan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2% per annum, and (b) when used with respect to Letter of Credit Fees, a rate equal to the Applicable Rate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2% per annum.</w:t>
      </w:r>
    </w:p>
    <w:p>
      <w:pPr>
        <w:pStyle w:val="TextBody"/>
        <w:bidi w:val="0"/>
        <w:spacing w:before="0" w:after="240"/>
        <w:ind w:left="0" w:right="0" w:firstLine="720"/>
        <w:jc w:val="both"/>
        <w:rPr/>
      </w:pPr>
      <w:r>
        <w:rPr/>
        <w:t>“</w:t>
      </w:r>
      <w:r>
        <w:rPr>
          <w:rFonts w:ascii="Times New Roman;Times;serif" w:hAnsi="Times New Roman;Times;serif"/>
          <w:sz w:val="22"/>
          <w:u w:val="single"/>
        </w:rPr>
        <w:t>Defaulting Lender</w:t>
      </w:r>
      <w:r>
        <w:rPr>
          <w:rFonts w:ascii="Times New Roman;Times;serif" w:hAnsi="Times New Roman;Times;serif"/>
          <w:sz w:val="20"/>
        </w:rPr>
        <w:t xml:space="preserve">” </w:t>
      </w:r>
      <w:r>
        <w:rPr>
          <w:rFonts w:ascii="Times New Roman;Times;serif" w:hAnsi="Times New Roman;Times;serif"/>
          <w:sz w:val="22"/>
        </w:rPr>
        <w:t xml:space="preserve">means, subject to </w:t>
      </w:r>
      <w:r>
        <w:rPr>
          <w:rFonts w:ascii="Times New Roman;Times;serif" w:hAnsi="Times New Roman;Times;serif"/>
          <w:sz w:val="22"/>
          <w:u w:val="single"/>
        </w:rPr>
        <w:t>Section 2.17(b)</w:t>
      </w:r>
      <w:r>
        <w:rPr>
          <w:rFonts w:ascii="Times New Roman;Times;serif" w:hAnsi="Times New Roman;Times;serif"/>
          <w:sz w:val="22"/>
        </w:rPr>
        <w:t>, any Lender that (a) has failed to (i) fund all or any portion of its Loans within two Business Days of the date such Loans were required to be</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funded hereunder unless such Lender notifies the Administrative Agent and the Company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the Swing Line Lender or any other Lender any other amount required to be paid by it hereunder (including in respect of its participation in Letters of Credit or Swing Line Loans) within two Business Days of the date when due, (b) has notified the Company, the Administrative Agent, the applicable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Company, to confirm in writing to the Administrative Agent and the Company that it will comply with its prospective funding obligations hereunder (provided that such Lender shall cease to be a Defaulting Lender pursuant to this </w:t>
      </w:r>
      <w:r>
        <w:rPr>
          <w:rFonts w:ascii="Times New Roman;Times;serif" w:hAnsi="Times New Roman;Times;serif"/>
          <w:sz w:val="22"/>
          <w:u w:val="single"/>
        </w:rPr>
        <w:t>clause (c)</w:t>
      </w:r>
      <w:r>
        <w:rPr>
          <w:rFonts w:ascii="Times New Roman;Times;serif" w:hAnsi="Times New Roman;Times;serif"/>
          <w:sz w:val="20"/>
        </w:rPr>
        <w:t xml:space="preserve"> </w:t>
      </w:r>
      <w:r>
        <w:rPr>
          <w:rFonts w:ascii="Times New Roman;Times;serif" w:hAnsi="Times New Roman;Times;serif"/>
          <w:sz w:val="22"/>
        </w:rPr>
        <w:t xml:space="preserve">upon receipt of such written confirmation by the Administrative Agent and the Company),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Times;serif" w:hAnsi="Times New Roman;Times;serif"/>
          <w:sz w:val="22"/>
          <w:u w:val="single"/>
        </w:rPr>
        <w:t>clauses (a)</w:t>
      </w:r>
      <w:r>
        <w:rPr>
          <w:rFonts w:ascii="Times New Roman;Times;serif" w:hAnsi="Times New Roman;Times;serif"/>
          <w:sz w:val="20"/>
        </w:rPr>
        <w:t xml:space="preserve"> </w:t>
      </w:r>
      <w:r>
        <w:rPr>
          <w:rFonts w:ascii="Times New Roman;Times;serif" w:hAnsi="Times New Roman;Times;serif"/>
          <w:sz w:val="22"/>
        </w:rPr>
        <w:t xml:space="preserve">through </w:t>
      </w:r>
      <w:r>
        <w:rPr>
          <w:rFonts w:ascii="Times New Roman;Times;serif" w:hAnsi="Times New Roman;Times;serif"/>
          <w:sz w:val="22"/>
          <w:u w:val="single"/>
        </w:rPr>
        <w:t>(d)</w:t>
      </w:r>
      <w:r>
        <w:rPr>
          <w:rFonts w:ascii="Times New Roman;Times;serif" w:hAnsi="Times New Roman;Times;serif"/>
          <w:sz w:val="20"/>
        </w:rPr>
        <w:t xml:space="preserve"> </w:t>
      </w:r>
      <w:r>
        <w:rPr>
          <w:rFonts w:ascii="Times New Roman;Times;serif" w:hAnsi="Times New Roman;Times;serif"/>
          <w:sz w:val="22"/>
        </w:rPr>
        <w:t xml:space="preserve">above, and of the effective date of such status, shall be conclusive and binding absent manifest error, and such Lender shall be deemed to be a Defaulting Lender (subject to </w:t>
      </w:r>
      <w:r>
        <w:rPr>
          <w:rFonts w:ascii="Times New Roman;Times;serif" w:hAnsi="Times New Roman;Times;serif"/>
          <w:sz w:val="22"/>
          <w:u w:val="single"/>
        </w:rPr>
        <w:t>Section 2.17(b)</w:t>
      </w:r>
      <w:r>
        <w:rPr>
          <w:rFonts w:ascii="Times New Roman;Times;serif" w:hAnsi="Times New Roman;Times;serif"/>
          <w:sz w:val="22"/>
        </w:rPr>
        <w:t>) as of the date established therefor by the Administrative Agent in a written notice of such determination, which shall be delivered by the Administrative Agent to the Company, each L/C Issuer, the Swing Line Lender and each other Lender promptly following such determination.</w:t>
      </w:r>
    </w:p>
    <w:p>
      <w:pPr>
        <w:pStyle w:val="TextBody"/>
        <w:bidi w:val="0"/>
        <w:spacing w:before="0" w:after="240"/>
        <w:ind w:left="0" w:right="0" w:firstLine="720"/>
        <w:jc w:val="both"/>
        <w:rPr/>
      </w:pPr>
      <w:r>
        <w:rPr/>
        <w:t>“</w:t>
      </w:r>
      <w:r>
        <w:rPr>
          <w:rFonts w:ascii="Times New Roman;Times;serif" w:hAnsi="Times New Roman;Times;serif"/>
          <w:sz w:val="22"/>
          <w:u w:val="single"/>
        </w:rPr>
        <w:t>Designated Borrower</w:t>
      </w:r>
      <w:r>
        <w:rPr>
          <w:rFonts w:ascii="Times New Roman;Times;serif" w:hAnsi="Times New Roman;Times;serif"/>
          <w:sz w:val="20"/>
        </w:rPr>
        <w:t xml:space="preserve">” </w:t>
      </w:r>
      <w:r>
        <w:rPr>
          <w:rFonts w:ascii="Times New Roman;Times;serif" w:hAnsi="Times New Roman;Times;serif"/>
          <w:sz w:val="22"/>
        </w:rPr>
        <w:t xml:space="preserve">means Avnet Europe and any other Subsidiary of the Company party hereto pursuant to </w:t>
      </w:r>
      <w:r>
        <w:rPr>
          <w:rFonts w:ascii="Times New Roman;Times;serif" w:hAnsi="Times New Roman;Times;serif"/>
          <w:sz w:val="22"/>
          <w:u w:val="single"/>
        </w:rPr>
        <w:t>Section 2.14</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Designated Borrower Notice</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2.14</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Designated Borrower Request and Assumption Agreement</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2.14</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Designated Jurisdiction</w:t>
      </w:r>
      <w:r>
        <w:rPr>
          <w:rFonts w:ascii="Times New Roman;Times;serif" w:hAnsi="Times New Roman;Times;serif"/>
          <w:sz w:val="20"/>
        </w:rPr>
        <w:t xml:space="preserve">” </w:t>
      </w:r>
      <w:r>
        <w:rPr>
          <w:rFonts w:ascii="Times New Roman;Times;serif" w:hAnsi="Times New Roman;Times;serif"/>
          <w:sz w:val="22"/>
        </w:rPr>
        <w:t>means any country or territory to the extent that such country or territory itself is the subject of any Sanction.</w:t>
      </w:r>
    </w:p>
    <w:p>
      <w:pPr>
        <w:pStyle w:val="TextBody"/>
        <w:bidi w:val="0"/>
        <w:spacing w:before="0" w:after="240"/>
        <w:ind w:left="0" w:right="0" w:firstLine="720"/>
        <w:jc w:val="both"/>
        <w:rPr/>
      </w:pPr>
      <w:r>
        <w:rPr/>
        <w:t>“</w:t>
      </w:r>
      <w:r>
        <w:rPr>
          <w:rFonts w:ascii="Times New Roman;Times;serif" w:hAnsi="Times New Roman;Times;serif"/>
          <w:sz w:val="22"/>
          <w:u w:val="single"/>
        </w:rPr>
        <w:t>Disposition</w:t>
      </w:r>
      <w:r>
        <w:rPr>
          <w:rFonts w:ascii="Times New Roman;Times;serif" w:hAnsi="Times New Roman;Times;serif"/>
          <w:sz w:val="20"/>
        </w:rPr>
        <w:t xml:space="preserve">” </w:t>
      </w:r>
      <w:r>
        <w:rPr>
          <w:rFonts w:ascii="Times New Roman;Times;serif" w:hAnsi="Times New Roman;Times;serif"/>
          <w:sz w:val="22"/>
        </w:rPr>
        <w:t>or “</w:t>
      </w:r>
      <w:r>
        <w:rPr>
          <w:rFonts w:ascii="Times New Roman;Times;serif" w:hAnsi="Times New Roman;Times;serif"/>
          <w:sz w:val="22"/>
          <w:u w:val="single"/>
        </w:rPr>
        <w:t>Dispose</w:t>
      </w:r>
      <w:r>
        <w:rPr>
          <w:rFonts w:ascii="Times New Roman;Times;serif" w:hAnsi="Times New Roman;Times;serif"/>
          <w:sz w:val="20"/>
        </w:rPr>
        <w:t xml:space="preserve">” </w:t>
      </w:r>
      <w:r>
        <w:rPr>
          <w:rFonts w:ascii="Times New Roman;Times;serif" w:hAnsi="Times New Roman;Times;serif"/>
          <w:sz w:val="22"/>
        </w:rPr>
        <w:t>means the sale, transfer, license, lease or other disposition (including any sale and leaseback transaction) of any property by any Person, including any sale, assignment, transfer or other disposal, with or without recourse, of any notes or accounts receivable or any rights and claims associated therewith.</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Dollar</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sz w:val="22"/>
          <w:u w:val="single"/>
        </w:rPr>
        <w:t>$</w:t>
      </w:r>
      <w:r>
        <w:rPr>
          <w:rFonts w:ascii="Times New Roman;Times;serif" w:hAnsi="Times New Roman;Times;serif"/>
          <w:sz w:val="20"/>
        </w:rPr>
        <w:t xml:space="preserve">” </w:t>
      </w:r>
      <w:r>
        <w:rPr>
          <w:rFonts w:ascii="Times New Roman;Times;serif" w:hAnsi="Times New Roman;Times;serif"/>
          <w:sz w:val="22"/>
        </w:rPr>
        <w:t>mean lawful money of the United States.</w:t>
      </w:r>
    </w:p>
    <w:p>
      <w:pPr>
        <w:pStyle w:val="TextBody"/>
        <w:bidi w:val="0"/>
        <w:spacing w:before="0" w:after="240"/>
        <w:ind w:left="0" w:right="0" w:firstLine="720"/>
        <w:jc w:val="both"/>
        <w:rPr/>
      </w:pPr>
      <w:r>
        <w:rPr/>
        <w:t>“</w:t>
      </w:r>
      <w:r>
        <w:rPr>
          <w:rFonts w:ascii="Times New Roman;Times;serif" w:hAnsi="Times New Roman;Times;serif"/>
          <w:sz w:val="22"/>
          <w:u w:val="single"/>
        </w:rPr>
        <w:t>Dollar Equivalent</w:t>
      </w:r>
      <w:r>
        <w:rPr>
          <w:rFonts w:ascii="Times New Roman;Times;serif" w:hAnsi="Times New Roman;Times;serif"/>
          <w:sz w:val="20"/>
        </w:rPr>
        <w:t xml:space="preserve">” </w:t>
      </w:r>
      <w:r>
        <w:rPr>
          <w:rFonts w:ascii="Times New Roman;Times;serif" w:hAnsi="Times New Roman;Times;serif"/>
          <w:sz w:val="22"/>
        </w:rPr>
        <w:t>means, at any time, (a) with respect to any amount denominated in Dollars, such amount, and (b) with respect to any amount denominated in any Alternative Currency, the equivalent amount thereof in Dollars as determined by the Administrative Agent at such time on the basis of the Spot Rate (determined in respect of the most recent Revaluation Date) for the purchase of Dollars with such Alternative Currency.</w:t>
      </w:r>
    </w:p>
    <w:p>
      <w:pPr>
        <w:pStyle w:val="TextBody"/>
        <w:bidi w:val="0"/>
        <w:spacing w:before="0" w:after="240"/>
        <w:ind w:left="0" w:right="0" w:firstLine="720"/>
        <w:jc w:val="both"/>
        <w:rPr/>
      </w:pPr>
      <w:r>
        <w:rPr/>
        <w:t>“</w:t>
      </w:r>
      <w:r>
        <w:rPr>
          <w:rFonts w:ascii="Times New Roman;Times;serif" w:hAnsi="Times New Roman;Times;serif"/>
          <w:sz w:val="22"/>
          <w:u w:val="single"/>
        </w:rPr>
        <w:t>EEA Financial Institution</w:t>
      </w:r>
      <w:r>
        <w:rPr>
          <w:rFonts w:ascii="Times New Roman;Times;serif" w:hAnsi="Times New Roman;Times;serif"/>
          <w:sz w:val="20"/>
        </w:rPr>
        <w:t xml:space="preserve">” </w:t>
      </w:r>
      <w:r>
        <w:rPr>
          <w:rFonts w:ascii="Times New Roman;Times;serif" w:hAnsi="Times New Roman;Times;serif"/>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before="0" w:after="240"/>
        <w:ind w:left="0" w:right="0" w:firstLine="720"/>
        <w:jc w:val="both"/>
        <w:rPr/>
      </w:pPr>
      <w:r>
        <w:rPr/>
        <w:t>“</w:t>
      </w:r>
      <w:r>
        <w:rPr>
          <w:rFonts w:ascii="Times New Roman;Times;serif" w:hAnsi="Times New Roman;Times;serif"/>
          <w:sz w:val="22"/>
          <w:u w:val="single"/>
        </w:rPr>
        <w:t>EEA Member Country</w:t>
      </w:r>
      <w:r>
        <w:rPr>
          <w:rFonts w:ascii="Times New Roman;Times;serif" w:hAnsi="Times New Roman;Times;serif"/>
          <w:sz w:val="20"/>
        </w:rPr>
        <w:t xml:space="preserve">” </w:t>
      </w:r>
      <w:r>
        <w:rPr>
          <w:rFonts w:ascii="Times New Roman;Times;serif" w:hAnsi="Times New Roman;Times;serif"/>
          <w:sz w:val="22"/>
        </w:rPr>
        <w:t>means any of the member states of the European Union, Iceland, Liechtenstein, and Norway.</w:t>
      </w:r>
    </w:p>
    <w:p>
      <w:pPr>
        <w:pStyle w:val="TextBody"/>
        <w:bidi w:val="0"/>
        <w:spacing w:before="0" w:after="240"/>
        <w:ind w:left="0" w:right="0" w:firstLine="720"/>
        <w:jc w:val="both"/>
        <w:rPr/>
      </w:pPr>
      <w:r>
        <w:rPr/>
        <w:t>“</w:t>
      </w:r>
      <w:r>
        <w:rPr>
          <w:rFonts w:ascii="Times New Roman;Times;serif" w:hAnsi="Times New Roman;Times;serif"/>
          <w:sz w:val="22"/>
          <w:u w:val="single"/>
        </w:rPr>
        <w:t>EEA Resolution Authority</w:t>
      </w:r>
      <w:r>
        <w:rPr>
          <w:rFonts w:ascii="Times New Roman;Times;serif" w:hAnsi="Times New Roman;Times;serif"/>
          <w:sz w:val="20"/>
        </w:rPr>
        <w:t xml:space="preserve">” </w:t>
      </w:r>
      <w:r>
        <w:rPr>
          <w:rFonts w:ascii="Times New Roman;Times;serif" w:hAnsi="Times New Roman;Times;serif"/>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ind w:left="0" w:right="0" w:firstLine="720"/>
        <w:jc w:val="both"/>
        <w:rPr/>
      </w:pPr>
      <w:r>
        <w:rPr/>
        <w:t>“</w:t>
      </w:r>
      <w:r>
        <w:rPr>
          <w:rFonts w:ascii="Times New Roman;Times;serif" w:hAnsi="Times New Roman;Times;serif"/>
          <w:sz w:val="22"/>
          <w:u w:val="single"/>
        </w:rPr>
        <w:t>Electronic Copy</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10.19</w:t>
      </w:r>
      <w:r>
        <w:rPr>
          <w:rFonts w:ascii="Times New Roman;Times;serif" w:hAnsi="Times New Roman;Times;serif"/>
          <w:sz w:val="22"/>
        </w:rPr>
        <w:t>.</w:t>
      </w:r>
    </w:p>
    <w:p>
      <w:pPr>
        <w:pStyle w:val="TextBody"/>
        <w:bidi w:val="0"/>
        <w:spacing w:before="0" w:after="240"/>
        <w:ind w:left="0" w:right="0" w:firstLine="720"/>
        <w:jc w:val="both"/>
        <w:rPr>
          <w:color w:val="007F00"/>
          <w:u w:val="single"/>
        </w:rPr>
      </w:pPr>
      <w:r>
        <w:rPr>
          <w:color w:val="007F00"/>
          <w:u w:val="single"/>
        </w:rPr>
        <w:t>“</w:t>
      </w:r>
      <w:r>
        <w:rPr>
          <w:rFonts w:ascii="Times New Roman;Times;serif" w:hAnsi="Times New Roman;Times;serif"/>
          <w:color w:val="007F00"/>
          <w:sz w:val="22"/>
          <w:u w:val="single"/>
        </w:rPr>
        <w:t>Electronic Record” and “Electronic Signature” shall have the meanings assigned to them, respectively, by 15 USC §7006, as it may be amended from time to time.</w:t>
      </w:r>
    </w:p>
    <w:p>
      <w:pPr>
        <w:pStyle w:val="TextBody"/>
        <w:bidi w:val="0"/>
        <w:spacing w:before="0" w:after="240"/>
        <w:ind w:left="0" w:right="0" w:firstLine="720"/>
        <w:jc w:val="both"/>
        <w:rPr/>
      </w:pPr>
      <w:r>
        <w:rPr/>
        <w:t>“</w:t>
      </w:r>
      <w:r>
        <w:rPr>
          <w:rFonts w:ascii="Times New Roman;Times;serif" w:hAnsi="Times New Roman;Times;serif"/>
          <w:sz w:val="22"/>
          <w:u w:val="single"/>
        </w:rPr>
        <w:t>Eligible Assignee</w:t>
      </w:r>
      <w:r>
        <w:rPr>
          <w:rFonts w:ascii="Times New Roman;Times;serif" w:hAnsi="Times New Roman;Times;serif"/>
          <w:sz w:val="20"/>
        </w:rPr>
        <w:t xml:space="preserve">” </w:t>
      </w:r>
      <w:r>
        <w:rPr>
          <w:rFonts w:ascii="Times New Roman;Times;serif" w:hAnsi="Times New Roman;Times;serif"/>
          <w:sz w:val="22"/>
        </w:rPr>
        <w:t xml:space="preserve">means any Person that meets the requirements to be an assignee under </w:t>
      </w:r>
      <w:r>
        <w:rPr>
          <w:rFonts w:ascii="Times New Roman;Times;serif" w:hAnsi="Times New Roman;Times;serif"/>
          <w:sz w:val="22"/>
          <w:u w:val="single"/>
        </w:rPr>
        <w:t>Section 10.06(b)(iii)</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(v)</w:t>
      </w:r>
      <w:r>
        <w:rPr>
          <w:rFonts w:ascii="Times New Roman;Times;serif" w:hAnsi="Times New Roman;Times;serif"/>
          <w:sz w:val="20"/>
        </w:rPr>
        <w:t xml:space="preserve"> </w:t>
      </w:r>
      <w:r>
        <w:rPr>
          <w:rFonts w:ascii="Times New Roman;Times;serif" w:hAnsi="Times New Roman;Times;serif"/>
          <w:sz w:val="22"/>
        </w:rPr>
        <w:t xml:space="preserve">subject to such consents, if any, as may be required under </w:t>
      </w:r>
      <w:r>
        <w:rPr>
          <w:rFonts w:ascii="Times New Roman;Times;serif" w:hAnsi="Times New Roman;Times;serif"/>
          <w:sz w:val="22"/>
          <w:u w:val="single"/>
        </w:rPr>
        <w:t>Section 10.06(b)(iii)</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Eligible Currency</w:t>
      </w:r>
      <w:r>
        <w:rPr>
          <w:rFonts w:ascii="Times New Roman;Times;serif" w:hAnsi="Times New Roman;Times;serif"/>
          <w:sz w:val="20"/>
        </w:rPr>
        <w:t xml:space="preserve">” </w:t>
      </w:r>
      <w:r>
        <w:rPr>
          <w:rFonts w:ascii="Times New Roman;Times;serif" w:hAnsi="Times New Roman;Times;serif"/>
          <w:sz w:val="22"/>
        </w:rPr>
        <w:t xml:space="preserve">means any lawful currency other than Dollars that is readily available, freely transferable and convertible into Dollars in the international interbank market available to the Lenders in such market and as to which a Dollar Equivalent may be readily calculated. If, after the designation by the Lenders of any currency as an Alternative Currency (or if, with respect to any currency that constitutes an Alternative Currency on the Closing Date, after the Closing Date), any change in currency controls or exchange regulations or any change in the national or international financial, political or economic conditions are imposed in the country in which such currency is issued, result in, in the reasonable opinion of the Required Lenders (in the case of any Committed Loans to be denominated in an Alternative Currency), (a) such currency no longer readily available, freely transferable and convertible into Dollars, (b) a Dollar Equivalent is no longer readily calculable with respect to such currency, or (c) providing such currency is impracticable for the Lenders, (each of </w:t>
      </w:r>
      <w:r>
        <w:rPr>
          <w:rFonts w:ascii="Times New Roman;Times;serif" w:hAnsi="Times New Roman;Times;serif"/>
          <w:sz w:val="22"/>
          <w:u w:val="single"/>
        </w:rPr>
        <w:t>clauses (a</w:t>
      </w:r>
      <w:r>
        <w:rPr>
          <w:rFonts w:ascii="Times New Roman;Times;serif" w:hAnsi="Times New Roman;Times;serif"/>
          <w:sz w:val="22"/>
        </w:rPr>
        <w:t>), (</w:t>
      </w:r>
      <w:r>
        <w:rPr>
          <w:rFonts w:ascii="Times New Roman;Times;serif" w:hAnsi="Times New Roman;Times;serif"/>
          <w:sz w:val="22"/>
          <w:u w:val="single"/>
        </w:rPr>
        <w:t>b</w:t>
      </w:r>
      <w:r>
        <w:rPr>
          <w:rFonts w:ascii="Times New Roman;Times;serif" w:hAnsi="Times New Roman;Times;serif"/>
          <w:sz w:val="22"/>
        </w:rPr>
        <w:t>) and (</w:t>
      </w:r>
      <w:r>
        <w:rPr>
          <w:rFonts w:ascii="Times New Roman;Times;serif" w:hAnsi="Times New Roman;Times;serif"/>
          <w:sz w:val="22"/>
          <w:u w:val="single"/>
        </w:rPr>
        <w:t>c</w:t>
      </w:r>
      <w:r>
        <w:rPr>
          <w:rFonts w:ascii="Times New Roman;Times;serif" w:hAnsi="Times New Roman;Times;serif"/>
          <w:sz w:val="22"/>
        </w:rPr>
        <w:t>), a “</w:t>
      </w:r>
      <w:r>
        <w:rPr>
          <w:rFonts w:ascii="Times New Roman;Times;serif" w:hAnsi="Times New Roman;Times;serif"/>
          <w:sz w:val="22"/>
          <w:u w:val="single"/>
        </w:rPr>
        <w:t>Disqualifying Event</w:t>
      </w:r>
      <w:r>
        <w:rPr>
          <w:rFonts w:ascii="Times New Roman;Times;serif" w:hAnsi="Times New Roman;Times;serif"/>
          <w:sz w:val="20"/>
        </w:rPr>
        <w:t>”</w:t>
      </w:r>
      <w:r>
        <w:rPr>
          <w:rFonts w:ascii="Times New Roman;Times;serif" w:hAnsi="Times New Roman;Times;serif"/>
          <w:sz w:val="22"/>
        </w:rPr>
        <w:t>), then the Administrative Agent shall promptly notify the Lenders and the Company, and such country’s currency shall no longer be an Alternative Currency until such time as the Disqualifying Event(s) no longer exist(s). Within five (5) Business Days after receipt of such notice from the Administrative Agent, the Borrowers shall repay all Loans in such currency to which the Disqualifying Event applies or convert such Loans into the Dollar Equivalent of Loans in Dollars, subject to the other terms contained herein.</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sz w:val="22"/>
          <w:u w:val="single"/>
        </w:rPr>
        <w:t>EMU</w:t>
      </w:r>
      <w:r>
        <w:rPr>
          <w:rFonts w:ascii="Times New Roman;Times;serif" w:hAnsi="Times New Roman;Times;serif"/>
          <w:sz w:val="20"/>
        </w:rPr>
        <w:t xml:space="preserve">” </w:t>
      </w:r>
      <w:r>
        <w:rPr>
          <w:rFonts w:ascii="Times New Roman;Times;serif" w:hAnsi="Times New Roman;Times;serif"/>
          <w:sz w:val="22"/>
        </w:rPr>
        <w:t>means the economic and monetary union in accordance with the Treaty of Rome 1957, as amended by the Single European Act 1986, the Maastricht Treaty of 1992 and the Amsterdam Treaty of 1998.</w:t>
      </w:r>
    </w:p>
    <w:p>
      <w:pPr>
        <w:pStyle w:val="TextBody"/>
        <w:bidi w:val="0"/>
        <w:spacing w:before="0" w:after="240"/>
        <w:ind w:left="0" w:right="0" w:firstLine="720"/>
        <w:jc w:val="both"/>
        <w:rPr/>
      </w:pPr>
      <w:r>
        <w:rPr/>
        <w:t>“</w:t>
      </w:r>
      <w:r>
        <w:rPr>
          <w:rFonts w:ascii="Times New Roman;Times;serif" w:hAnsi="Times New Roman;Times;serif"/>
          <w:sz w:val="22"/>
          <w:u w:val="single"/>
        </w:rPr>
        <w:t>EMU Legislation</w:t>
      </w:r>
      <w:r>
        <w:rPr>
          <w:rFonts w:ascii="Times New Roman;Times;serif" w:hAnsi="Times New Roman;Times;serif"/>
          <w:sz w:val="20"/>
        </w:rPr>
        <w:t xml:space="preserve">” </w:t>
      </w:r>
      <w:r>
        <w:rPr>
          <w:rFonts w:ascii="Times New Roman;Times;serif" w:hAnsi="Times New Roman;Times;serif"/>
          <w:sz w:val="22"/>
        </w:rPr>
        <w:t>means the legislative measures of the European Council for the introduction of, changeover to or operation of a single or unified European currency.</w:t>
      </w:r>
    </w:p>
    <w:p>
      <w:pPr>
        <w:pStyle w:val="TextBody"/>
        <w:bidi w:val="0"/>
        <w:spacing w:before="0" w:after="240"/>
        <w:ind w:left="0" w:right="0" w:firstLine="720"/>
        <w:jc w:val="both"/>
        <w:rPr/>
      </w:pPr>
      <w:r>
        <w:rPr/>
        <w:t>“</w:t>
      </w:r>
      <w:r>
        <w:rPr>
          <w:rFonts w:ascii="Times New Roman;Times;serif" w:hAnsi="Times New Roman;Times;serif"/>
          <w:sz w:val="22"/>
          <w:u w:val="single"/>
        </w:rPr>
        <w:t>Environmental Laws</w:t>
      </w:r>
      <w:r>
        <w:rPr>
          <w:rFonts w:ascii="Times New Roman;Times;serif" w:hAnsi="Times New Roman;Times;serif"/>
          <w:sz w:val="20"/>
        </w:rPr>
        <w:t xml:space="preserve">” </w:t>
      </w:r>
      <w:r>
        <w:rPr>
          <w:rFonts w:ascii="Times New Roman;Times;serif" w:hAnsi="Times New Roman;Times;serif"/>
          <w:sz w:val="22"/>
        </w:rPr>
        <w:t>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those related to hazardous substances or wastes, air emissions and discharges to waste or public systems.</w:t>
      </w:r>
    </w:p>
    <w:p>
      <w:pPr>
        <w:pStyle w:val="TextBody"/>
        <w:bidi w:val="0"/>
        <w:spacing w:before="0" w:after="240"/>
        <w:ind w:left="0" w:right="0" w:firstLine="720"/>
        <w:jc w:val="both"/>
        <w:rPr/>
      </w:pPr>
      <w:r>
        <w:rPr/>
        <w:t>“</w:t>
      </w:r>
      <w:r>
        <w:rPr>
          <w:rFonts w:ascii="Times New Roman;Times;serif" w:hAnsi="Times New Roman;Times;serif"/>
          <w:sz w:val="22"/>
          <w:u w:val="single"/>
        </w:rPr>
        <w:t>Environmental Liability</w:t>
      </w:r>
      <w:r>
        <w:rPr>
          <w:rFonts w:ascii="Times New Roman;Times;serif" w:hAnsi="Times New Roman;Times;serif"/>
          <w:sz w:val="20"/>
        </w:rPr>
        <w:t xml:space="preserve">” </w:t>
      </w:r>
      <w:r>
        <w:rPr>
          <w:rFonts w:ascii="Times New Roman;Times;serif" w:hAnsi="Times New Roman;Times;serif"/>
          <w:sz w:val="22"/>
        </w:rPr>
        <w:t>means any liability, contingent or otherwise (including any liability for damages, costs of environmental remediation, fines, penalties or indemnities), of the Company,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0" w:after="240"/>
        <w:ind w:left="0" w:right="0" w:firstLine="720"/>
        <w:jc w:val="both"/>
        <w:rPr/>
      </w:pPr>
      <w:r>
        <w:rPr/>
        <w:t>“</w:t>
      </w:r>
      <w:r>
        <w:rPr>
          <w:rFonts w:ascii="Times New Roman;Times;serif" w:hAnsi="Times New Roman;Times;serif"/>
          <w:sz w:val="22"/>
          <w:u w:val="single"/>
        </w:rPr>
        <w:t>Equity Interests</w:t>
      </w:r>
      <w:r>
        <w:rPr>
          <w:rFonts w:ascii="Times New Roman;Times;serif" w:hAnsi="Times New Roman;Times;serif"/>
          <w:sz w:val="20"/>
        </w:rPr>
        <w:t xml:space="preserve">” </w:t>
      </w:r>
      <w:r>
        <w:rPr>
          <w:rFonts w:ascii="Times New Roman;Times;serif" w:hAnsi="Times New Roman;Times;serif"/>
          <w:sz w:val="22"/>
        </w:rPr>
        <w:t>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before="0" w:after="240"/>
        <w:ind w:left="0" w:right="0" w:firstLine="720"/>
        <w:jc w:val="both"/>
        <w:rPr/>
      </w:pPr>
      <w:r>
        <w:rPr/>
        <w:t>“</w:t>
      </w:r>
      <w:r>
        <w:rPr>
          <w:rFonts w:ascii="Times New Roman;Times;serif" w:hAnsi="Times New Roman;Times;serif"/>
          <w:sz w:val="22"/>
          <w:u w:val="single"/>
        </w:rPr>
        <w:t>ERISA</w:t>
      </w:r>
      <w:r>
        <w:rPr>
          <w:rFonts w:ascii="Times New Roman;Times;serif" w:hAnsi="Times New Roman;Times;serif"/>
          <w:sz w:val="20"/>
        </w:rPr>
        <w:t xml:space="preserve">” </w:t>
      </w:r>
      <w:r>
        <w:rPr>
          <w:rFonts w:ascii="Times New Roman;Times;serif" w:hAnsi="Times New Roman;Times;serif"/>
          <w:sz w:val="22"/>
        </w:rPr>
        <w:t>means the Employee Retirement Income Security Act of 1974.</w:t>
      </w:r>
    </w:p>
    <w:p>
      <w:pPr>
        <w:pStyle w:val="TextBody"/>
        <w:bidi w:val="0"/>
        <w:spacing w:before="0" w:after="240"/>
        <w:ind w:left="0" w:right="0" w:firstLine="720"/>
        <w:jc w:val="both"/>
        <w:rPr/>
      </w:pPr>
      <w:r>
        <w:rPr/>
        <w:t>“</w:t>
      </w:r>
      <w:r>
        <w:rPr>
          <w:rFonts w:ascii="Times New Roman;Times;serif" w:hAnsi="Times New Roman;Times;serif"/>
          <w:sz w:val="22"/>
          <w:u w:val="single"/>
        </w:rPr>
        <w:t>ERISA Affiliate</w:t>
      </w:r>
      <w:r>
        <w:rPr>
          <w:rFonts w:ascii="Times New Roman;Times;serif" w:hAnsi="Times New Roman;Times;serif"/>
          <w:sz w:val="20"/>
        </w:rPr>
        <w:t xml:space="preserve">” </w:t>
      </w:r>
      <w:r>
        <w:rPr>
          <w:rFonts w:ascii="Times New Roman;Times;serif" w:hAnsi="Times New Roman;Times;serif"/>
          <w:sz w:val="22"/>
        </w:rPr>
        <w:t>means any trade or business (whether or not incorporated) under common control with the Company within the meaning of Section 414(b) or (c) of the Code (and Sections 414(m) and (o) of the Code for purposes of provisions relating to Section 412 of the Code).</w:t>
      </w:r>
    </w:p>
    <w:p>
      <w:pPr>
        <w:pStyle w:val="TextBody"/>
        <w:bidi w:val="0"/>
        <w:spacing w:before="0" w:after="240"/>
        <w:ind w:left="0" w:right="0" w:firstLine="720"/>
        <w:jc w:val="both"/>
        <w:rPr/>
      </w:pPr>
      <w:r>
        <w:rPr/>
        <w:t>“</w:t>
      </w:r>
      <w:r>
        <w:rPr>
          <w:rFonts w:ascii="Times New Roman;Times;serif" w:hAnsi="Times New Roman;Times;serif"/>
          <w:sz w:val="22"/>
          <w:u w:val="single"/>
        </w:rPr>
        <w:t>ERISA Event</w:t>
      </w:r>
      <w:r>
        <w:rPr>
          <w:rFonts w:ascii="Times New Roman;Times;serif" w:hAnsi="Times New Roman;Times;serif"/>
          <w:sz w:val="20"/>
        </w:rPr>
        <w:t xml:space="preserve">” </w:t>
      </w:r>
      <w:r>
        <w:rPr>
          <w:rFonts w:ascii="Times New Roman;Times;serif" w:hAnsi="Times New Roman;Times;serif"/>
          <w:sz w:val="22"/>
        </w:rPr>
        <w:t>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or notification that a Multiemployer Plan is in reorganization; (d) the filing of a notice of intent to terminate a Pension Plan, or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or (h) the imposition of any liability</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under Title IV of ERISA, other than for PBGC premiums due but not delinquent under Section 4007 of ERISA, upon the Company or any ERISA Affiliate.</w:t>
      </w:r>
    </w:p>
    <w:p>
      <w:pPr>
        <w:pStyle w:val="TextBody"/>
        <w:bidi w:val="0"/>
        <w:spacing w:before="0" w:after="240"/>
        <w:ind w:left="0" w:right="0" w:firstLine="720"/>
        <w:jc w:val="both"/>
        <w:rPr/>
      </w:pPr>
      <w:r>
        <w:rPr/>
        <w:t>“</w:t>
      </w:r>
      <w:r>
        <w:rPr>
          <w:rFonts w:ascii="Times New Roman;Times;serif" w:hAnsi="Times New Roman;Times;serif"/>
          <w:sz w:val="22"/>
          <w:u w:val="single"/>
        </w:rPr>
        <w:t>ESTR</w:t>
      </w:r>
      <w:r>
        <w:rPr>
          <w:rFonts w:ascii="Times New Roman;Times;serif" w:hAnsi="Times New Roman;Times;serif"/>
          <w:sz w:val="20"/>
        </w:rPr>
        <w:t xml:space="preserve">” </w:t>
      </w:r>
      <w:r>
        <w:rPr>
          <w:rFonts w:ascii="Times New Roman;Times;serif" w:hAnsi="Times New Roman;Times;serif"/>
          <w:sz w:val="22"/>
        </w:rPr>
        <w:t>means, in relation to any day: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Euro short-term rate administered by the European Central Bank (or any other person which takes over the administration of that rate) displayed (before any correction, recalculation or republication by the administrator) on page “EUROSTR=” of the Thomson Reuters screen (or any replacement Thomson Reuters page which displays that rate);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if the rate otherwise to be determined by </w:t>
      </w:r>
      <w:r>
        <w:rPr>
          <w:rFonts w:ascii="Times New Roman;Times;serif" w:hAnsi="Times New Roman;Times;serif"/>
          <w:sz w:val="22"/>
          <w:u w:val="single"/>
        </w:rPr>
        <w:t>clause (a)</w:t>
      </w:r>
      <w:r>
        <w:rPr>
          <w:rFonts w:ascii="Times New Roman;Times;serif" w:hAnsi="Times New Roman;Times;serif"/>
          <w:sz w:val="20"/>
        </w:rPr>
        <w:t xml:space="preserve"> </w:t>
      </w:r>
      <w:r>
        <w:rPr>
          <w:rFonts w:ascii="Times New Roman;Times;serif" w:hAnsi="Times New Roman;Times;serif"/>
          <w:sz w:val="22"/>
        </w:rPr>
        <w:t>is not available for ESTR for any day the applicable ESTR shall the equal the rate notified to the Administrative Agent by the Swing Line Lender as soon as practicable, and in any event before interest is due to be paid in respect of that Swing Line Loan, to be that which expresses as a percentage rate per annum the cost to the relevant Swing Line Lender of funding such Swing Line Loan for that day from whatever source it may reasonably select;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if any day with respect to the calculation of ESTR is not a TARGET Day, ESTR on that day will be ESTR applicable on the immediately preceding TARGET Day. Any change in ESTR shall be effective from and including the date of such change without further notice. If ESTR as so determined above would be less than zero, such rate shall be deemed to be zero for purposes 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EU Bail-In Legislation Schedule</w:t>
      </w:r>
      <w:r>
        <w:rPr>
          <w:rFonts w:ascii="Times New Roman;Times;serif" w:hAnsi="Times New Roman;Times;serif"/>
          <w:sz w:val="20"/>
        </w:rPr>
        <w:t xml:space="preserve">” </w:t>
      </w:r>
      <w:r>
        <w:rPr>
          <w:rFonts w:ascii="Times New Roman;Times;serif" w:hAnsi="Times New Roman;Times;serif"/>
          <w:sz w:val="22"/>
        </w:rPr>
        <w:t>means the EU Bail-In Legislation Schedule published by the Loan Market Association (or any successor person), as in effect from time to time.</w:t>
      </w:r>
    </w:p>
    <w:p>
      <w:pPr>
        <w:pStyle w:val="TextBody"/>
        <w:bidi w:val="0"/>
        <w:spacing w:before="0" w:after="240"/>
        <w:ind w:left="0" w:right="0" w:firstLine="720"/>
        <w:jc w:val="both"/>
        <w:rPr/>
      </w:pPr>
      <w:r>
        <w:rPr/>
        <w:t>“</w:t>
      </w:r>
      <w:r>
        <w:rPr>
          <w:rFonts w:ascii="Times New Roman;Times;serif" w:hAnsi="Times New Roman;Times;serif"/>
          <w:sz w:val="22"/>
          <w:u w:val="single"/>
        </w:rPr>
        <w:t>Euro</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sz w:val="22"/>
          <w:u w:val="single"/>
        </w:rPr>
        <w:t>EUR</w:t>
      </w:r>
      <w:r>
        <w:rPr>
          <w:rFonts w:ascii="Times New Roman;Times;serif" w:hAnsi="Times New Roman;Times;serif"/>
          <w:sz w:val="20"/>
        </w:rPr>
        <w:t xml:space="preserve">” </w:t>
      </w:r>
      <w:r>
        <w:rPr>
          <w:rFonts w:ascii="Times New Roman;Times;serif" w:hAnsi="Times New Roman;Times;serif"/>
          <w:sz w:val="22"/>
        </w:rPr>
        <w:t>mean the lawful currency of the Participating Member States introduced in accordance with the EMU Legislation.</w:t>
      </w:r>
    </w:p>
    <w:p>
      <w:pPr>
        <w:pStyle w:val="TextBody"/>
        <w:bidi w:val="0"/>
        <w:spacing w:before="0" w:after="240"/>
        <w:ind w:left="0" w:right="0" w:firstLine="720"/>
        <w:jc w:val="both"/>
        <w:rPr/>
      </w:pPr>
      <w:r>
        <w:rPr/>
        <w:t>“</w:t>
      </w:r>
      <w:r>
        <w:rPr>
          <w:rFonts w:ascii="Times New Roman;Times;serif" w:hAnsi="Times New Roman;Times;serif"/>
          <w:sz w:val="22"/>
          <w:u w:val="single"/>
        </w:rPr>
        <w:t>Euro Equivalent</w:t>
      </w:r>
      <w:r>
        <w:rPr>
          <w:rFonts w:ascii="Times New Roman;Times;serif" w:hAnsi="Times New Roman;Times;serif"/>
          <w:sz w:val="20"/>
        </w:rPr>
        <w:t xml:space="preserve">” </w:t>
      </w:r>
      <w:r>
        <w:rPr>
          <w:rFonts w:ascii="Times New Roman;Times;serif" w:hAnsi="Times New Roman;Times;serif"/>
          <w:sz w:val="22"/>
        </w:rPr>
        <w:t>means, at any time, (a) with respect to any amount denominated in Euros, such amount, and (b) with respect to any amount denominated in Dollars, the equivalent amount thereof in Euros as determined by the Administrative Agent at such time on the basis of the Spot Rate (determined in respect of the most recent Revaluation Date) for the purchase of Dollars with Euros.</w:t>
      </w:r>
    </w:p>
    <w:p>
      <w:pPr>
        <w:pStyle w:val="TextBody"/>
        <w:bidi w:val="0"/>
        <w:spacing w:before="0" w:after="240"/>
        <w:ind w:left="0" w:right="0" w:firstLine="720"/>
        <w:jc w:val="both"/>
        <w:rPr/>
      </w:pPr>
      <w:r>
        <w:rPr/>
        <w:t>“</w:t>
      </w:r>
      <w:r>
        <w:rPr>
          <w:rFonts w:ascii="Times New Roman;Times;serif" w:hAnsi="Times New Roman;Times;serif"/>
          <w:sz w:val="22"/>
          <w:u w:val="single"/>
        </w:rPr>
        <w:t>Euro Swing Line Loan</w:t>
      </w:r>
      <w:r>
        <w:rPr>
          <w:rFonts w:ascii="Times New Roman;Times;serif" w:hAnsi="Times New Roman;Times;serif"/>
          <w:sz w:val="20"/>
        </w:rPr>
        <w:t xml:space="preserve">” </w:t>
      </w:r>
      <w:r>
        <w:rPr>
          <w:rFonts w:ascii="Times New Roman;Times;serif" w:hAnsi="Times New Roman;Times;serif"/>
          <w:sz w:val="22"/>
        </w:rPr>
        <w:t>means a Swing Line Loan denominated in Euros that bears interest based on the Euro Swing Line Rate.</w:t>
      </w:r>
    </w:p>
    <w:p>
      <w:pPr>
        <w:pStyle w:val="TextBody"/>
        <w:bidi w:val="0"/>
        <w:spacing w:before="0" w:after="240"/>
        <w:ind w:left="0" w:right="0" w:firstLine="720"/>
        <w:jc w:val="both"/>
        <w:rPr/>
      </w:pPr>
      <w:r>
        <w:rPr/>
        <w:t>“</w:t>
      </w:r>
      <w:r>
        <w:rPr>
          <w:rFonts w:ascii="Times New Roman;Times;serif" w:hAnsi="Times New Roman;Times;serif"/>
          <w:sz w:val="22"/>
          <w:u w:val="single"/>
        </w:rPr>
        <w:t>Euro Swing Line Rate</w:t>
      </w:r>
      <w:r>
        <w:rPr>
          <w:rFonts w:ascii="Times New Roman;Times;serif" w:hAnsi="Times New Roman;Times;serif"/>
          <w:sz w:val="20"/>
        </w:rPr>
        <w:t xml:space="preserve">” </w:t>
      </w:r>
      <w:r>
        <w:rPr>
          <w:rFonts w:ascii="Times New Roman;Times;serif" w:hAnsi="Times New Roman;Times;serif"/>
          <w:sz w:val="22"/>
        </w:rPr>
        <w:t>means ESTR.</w:t>
      </w:r>
    </w:p>
    <w:p>
      <w:pPr>
        <w:pStyle w:val="TextBody"/>
        <w:bidi w:val="0"/>
        <w:spacing w:before="0" w:after="240"/>
        <w:ind w:left="0" w:right="0" w:firstLine="720"/>
        <w:jc w:val="both"/>
        <w:rPr/>
      </w:pPr>
      <w:r>
        <w:rPr/>
        <w:t>“</w:t>
      </w:r>
      <w:r>
        <w:rPr>
          <w:rFonts w:ascii="Times New Roman;Times;serif" w:hAnsi="Times New Roman;Times;serif"/>
          <w:sz w:val="22"/>
          <w:u w:val="single"/>
        </w:rPr>
        <w:t>Event of Default</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8.01</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Excluded Taxes</w:t>
      </w:r>
      <w:r>
        <w:rPr>
          <w:rFonts w:ascii="Times New Roman;Times;serif" w:hAnsi="Times New Roman;Times;serif"/>
          <w:sz w:val="20"/>
        </w:rPr>
        <w:t xml:space="preserve">” </w:t>
      </w:r>
      <w:r>
        <w:rPr>
          <w:rFonts w:ascii="Times New Roman;Times;serif" w:hAnsi="Times New Roman;Times;serif"/>
          <w:sz w:val="22"/>
        </w:rPr>
        <w:t xml:space="preserve">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Company under </w:t>
      </w:r>
      <w:r>
        <w:rPr>
          <w:rFonts w:ascii="Times New Roman;Times;serif" w:hAnsi="Times New Roman;Times;serif"/>
          <w:sz w:val="22"/>
          <w:u w:val="single"/>
        </w:rPr>
        <w:t>Section 10.13</w:t>
      </w:r>
      <w:r>
        <w:rPr>
          <w:rFonts w:ascii="Times New Roman;Times;serif" w:hAnsi="Times New Roman;Times;serif"/>
          <w:sz w:val="22"/>
        </w:rPr>
        <w:t xml:space="preserve">) or (ii) such Lender changes its Lending Office, except in each case to the extent that, pursuant to </w:t>
      </w:r>
      <w:r>
        <w:rPr>
          <w:rFonts w:ascii="Times New Roman;Times;serif" w:hAnsi="Times New Roman;Times;serif"/>
          <w:sz w:val="22"/>
          <w:u w:val="single"/>
        </w:rPr>
        <w:t>Section 3.01(a)(ii), (a)(iii)</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(c)</w:t>
      </w:r>
      <w:r>
        <w:rPr>
          <w:rFonts w:ascii="Times New Roman;Times;serif" w:hAnsi="Times New Roman;Times;serif"/>
          <w:sz w:val="22"/>
        </w:rPr>
        <w:t>, amounts with respect to such Taxes were payable either to such Lender’s assignor immediately before such Lender became a party</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hereto or to such Lender immediately before it changed its Lending Office, (c) Taxes attributable to such Recipient’s failure to comply with </w:t>
      </w:r>
      <w:r>
        <w:rPr>
          <w:rFonts w:ascii="Times New Roman;Times;serif" w:hAnsi="Times New Roman;Times;serif"/>
          <w:sz w:val="22"/>
          <w:u w:val="single"/>
        </w:rPr>
        <w:t>Section 3.01(e)</w:t>
      </w:r>
      <w:r>
        <w:rPr>
          <w:rFonts w:ascii="Times New Roman;Times;serif" w:hAnsi="Times New Roman;Times;serif"/>
          <w:sz w:val="20"/>
        </w:rPr>
        <w:t xml:space="preserve"> </w:t>
      </w:r>
      <w:r>
        <w:rPr>
          <w:rFonts w:ascii="Times New Roman;Times;serif" w:hAnsi="Times New Roman;Times;serif"/>
          <w:sz w:val="22"/>
        </w:rPr>
        <w:t>and (d) any U.S. federal withholding Taxes imposed pursuant to FATCA.</w:t>
      </w:r>
    </w:p>
    <w:p>
      <w:pPr>
        <w:pStyle w:val="TextBody"/>
        <w:bidi w:val="0"/>
        <w:spacing w:before="0" w:after="240"/>
        <w:ind w:left="0" w:right="0" w:firstLine="720"/>
        <w:jc w:val="both"/>
        <w:rPr/>
      </w:pPr>
      <w:r>
        <w:rPr/>
        <w:t>“</w:t>
      </w:r>
      <w:r>
        <w:rPr>
          <w:rFonts w:ascii="Times New Roman;Times;serif" w:hAnsi="Times New Roman;Times;serif"/>
          <w:sz w:val="22"/>
          <w:u w:val="single"/>
        </w:rPr>
        <w:t>Existing Credit Agreement</w:t>
      </w:r>
      <w:r>
        <w:rPr>
          <w:rFonts w:ascii="Times New Roman;Times;serif" w:hAnsi="Times New Roman;Times;serif"/>
          <w:sz w:val="20"/>
        </w:rPr>
        <w:t xml:space="preserve">” </w:t>
      </w:r>
      <w:r>
        <w:rPr>
          <w:rFonts w:ascii="Times New Roman;Times;serif" w:hAnsi="Times New Roman;Times;serif"/>
          <w:sz w:val="22"/>
        </w:rPr>
        <w:t xml:space="preserve">has the meaning specified in the second introductory paragraph. </w:t>
      </w:r>
    </w:p>
    <w:p>
      <w:pPr>
        <w:pStyle w:val="TextBody"/>
        <w:bidi w:val="0"/>
        <w:spacing w:before="0" w:after="240"/>
        <w:ind w:left="0" w:right="0" w:firstLine="720"/>
        <w:jc w:val="both"/>
        <w:rPr/>
      </w:pPr>
      <w:r>
        <w:rPr/>
        <w:t>“</w:t>
      </w:r>
      <w:r>
        <w:rPr>
          <w:rFonts w:ascii="Times New Roman;Times;serif" w:hAnsi="Times New Roman;Times;serif"/>
          <w:sz w:val="22"/>
          <w:u w:val="single"/>
        </w:rPr>
        <w:t>Existing Lenders</w:t>
      </w:r>
      <w:r>
        <w:rPr>
          <w:rFonts w:ascii="Times New Roman;Times;serif" w:hAnsi="Times New Roman;Times;serif"/>
          <w:sz w:val="20"/>
        </w:rPr>
        <w:t xml:space="preserve">” </w:t>
      </w:r>
      <w:r>
        <w:rPr>
          <w:rFonts w:ascii="Times New Roman;Times;serif" w:hAnsi="Times New Roman;Times;serif"/>
          <w:sz w:val="22"/>
        </w:rPr>
        <w:t xml:space="preserve">has the meaning specified in the second introductory paragraph. </w:t>
      </w:r>
    </w:p>
    <w:p>
      <w:pPr>
        <w:pStyle w:val="TextBody"/>
        <w:bidi w:val="0"/>
        <w:spacing w:before="0" w:after="240"/>
        <w:ind w:left="0" w:right="0" w:firstLine="720"/>
        <w:jc w:val="both"/>
        <w:rPr/>
      </w:pPr>
      <w:r>
        <w:rPr/>
        <w:t>“</w:t>
      </w:r>
      <w:r>
        <w:rPr>
          <w:rFonts w:ascii="Times New Roman;Times;serif" w:hAnsi="Times New Roman;Times;serif"/>
          <w:sz w:val="22"/>
          <w:u w:val="single"/>
        </w:rPr>
        <w:t>Existing Letters of Credit</w:t>
      </w:r>
      <w:r>
        <w:rPr>
          <w:rFonts w:ascii="Times New Roman;Times;serif" w:hAnsi="Times New Roman;Times;serif"/>
          <w:sz w:val="20"/>
        </w:rPr>
        <w:t xml:space="preserve">” </w:t>
      </w:r>
      <w:r>
        <w:rPr>
          <w:rFonts w:ascii="Times New Roman;Times;serif" w:hAnsi="Times New Roman;Times;serif"/>
          <w:sz w:val="22"/>
        </w:rPr>
        <w:t xml:space="preserve">means the letters of credit listed on </w:t>
      </w:r>
      <w:r>
        <w:rPr>
          <w:rFonts w:ascii="Times New Roman;Times;serif" w:hAnsi="Times New Roman;Times;serif"/>
          <w:sz w:val="22"/>
          <w:u w:val="single"/>
        </w:rPr>
        <w:t>Schedule 1.01(a)</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Existing Securitization Facility</w:t>
      </w:r>
      <w:r>
        <w:rPr>
          <w:rFonts w:ascii="Times New Roman;Times;serif" w:hAnsi="Times New Roman;Times;serif"/>
          <w:sz w:val="20"/>
        </w:rPr>
        <w:t xml:space="preserve">” </w:t>
      </w:r>
      <w:r>
        <w:rPr>
          <w:rFonts w:ascii="Times New Roman;Times;serif" w:hAnsi="Times New Roman;Times;serif"/>
          <w:sz w:val="22"/>
        </w:rPr>
        <w:t xml:space="preserve">means the account receivable securitization pursuant to the fourth amended and restated receivables purchase agreement dated as of August 16, 2018, as amended, among Avnet Receivables Corporation, the Company as servicer, the financial institutions party thereto as purchasers, and Wells Fargo Bank, N.A., as agent for the purchasers, including any extensions, renewals, replacements and refinancings thereof; </w:t>
      </w:r>
      <w:r>
        <w:rPr>
          <w:rFonts w:ascii="Times New Roman;Times;serif" w:hAnsi="Times New Roman;Times;serif"/>
          <w:sz w:val="22"/>
          <w:u w:val="single"/>
        </w:rPr>
        <w:t>provided</w:t>
      </w:r>
      <w:r>
        <w:rPr>
          <w:rFonts w:ascii="Times New Roman;Times;serif" w:hAnsi="Times New Roman;Times;serif"/>
          <w:sz w:val="22"/>
        </w:rPr>
        <w:t xml:space="preserve">, that each such agreement (as amended, restated, supplemented or otherwise modified from time to time) or extension, renewal, replacement or refinancing, as the case may be, satisfies the requirements set forth in </w:t>
      </w:r>
      <w:r>
        <w:rPr>
          <w:rFonts w:ascii="Times New Roman;Times;serif" w:hAnsi="Times New Roman;Times;serif"/>
          <w:sz w:val="22"/>
          <w:u w:val="single"/>
        </w:rPr>
        <w:t>clause (b)</w:t>
      </w:r>
      <w:r>
        <w:rPr>
          <w:rFonts w:ascii="Times New Roman;Times;serif" w:hAnsi="Times New Roman;Times;serif"/>
          <w:sz w:val="20"/>
        </w:rPr>
        <w:t xml:space="preserve"> </w:t>
      </w:r>
      <w:r>
        <w:rPr>
          <w:rFonts w:ascii="Times New Roman;Times;serif" w:hAnsi="Times New Roman;Times;serif"/>
          <w:sz w:val="22"/>
        </w:rPr>
        <w:t>of the definition of Permitted Securitization Facility.</w:t>
      </w:r>
    </w:p>
    <w:p>
      <w:pPr>
        <w:pStyle w:val="TextBody"/>
        <w:bidi w:val="0"/>
        <w:spacing w:before="0" w:after="240"/>
        <w:ind w:left="0" w:right="0" w:firstLine="720"/>
        <w:jc w:val="both"/>
        <w:rPr/>
      </w:pPr>
      <w:r>
        <w:rPr/>
        <w:t>“</w:t>
      </w:r>
      <w:r>
        <w:rPr>
          <w:rFonts w:ascii="Times New Roman;Times;serif" w:hAnsi="Times New Roman;Times;serif"/>
          <w:sz w:val="22"/>
          <w:u w:val="single"/>
        </w:rPr>
        <w:t>FATCA</w:t>
      </w:r>
      <w:r>
        <w:rPr>
          <w:rFonts w:ascii="Times New Roman;Times;serif" w:hAnsi="Times New Roman;Times;serif"/>
          <w:sz w:val="20"/>
        </w:rPr>
        <w:t xml:space="preserve">” </w:t>
      </w:r>
      <w:r>
        <w:rPr>
          <w:rFonts w:ascii="Times New Roman;Times;serif" w:hAnsi="Times New Roman;Times;serif"/>
          <w:sz w:val="22"/>
        </w:rPr>
        <w:t>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 (b) (1) of the Code and any agreements entered into by the United States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pStyle w:val="TextBody"/>
        <w:bidi w:val="0"/>
        <w:spacing w:before="0" w:after="240"/>
        <w:ind w:left="0" w:right="0" w:firstLine="720"/>
        <w:jc w:val="both"/>
        <w:rPr/>
      </w:pPr>
      <w:r>
        <w:rPr/>
        <w:t>“</w:t>
      </w:r>
      <w:r>
        <w:rPr>
          <w:rFonts w:ascii="Times New Roman;Times;serif" w:hAnsi="Times New Roman;Times;serif"/>
          <w:sz w:val="22"/>
          <w:u w:val="single"/>
        </w:rPr>
        <w:t>Federal Funds Rate</w:t>
      </w:r>
      <w:r>
        <w:rPr>
          <w:rFonts w:ascii="Times New Roman;Times;serif" w:hAnsi="Times New Roman;Times;serif"/>
          <w:sz w:val="20"/>
        </w:rPr>
        <w:t xml:space="preserve">” </w:t>
      </w:r>
      <w:r>
        <w:rPr>
          <w:rFonts w:ascii="Times New Roman;Times;serif" w:hAnsi="Times New Roman;Times;serif"/>
          <w:sz w:val="22"/>
        </w:rPr>
        <w:t xml:space="preserve">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if the Federal Funds Rate as so determined would be less than zero, such rate shall be deemed to be zero for purposes 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Fee Letters</w:t>
      </w:r>
      <w:r>
        <w:rPr>
          <w:rFonts w:ascii="Times New Roman;Times;serif" w:hAnsi="Times New Roman;Times;serif"/>
          <w:sz w:val="20"/>
        </w:rPr>
        <w:t xml:space="preserve">” </w:t>
      </w:r>
      <w:r>
        <w:rPr>
          <w:rFonts w:ascii="Times New Roman;Times;serif" w:hAnsi="Times New Roman;Times;serif"/>
          <w:sz w:val="22"/>
        </w:rPr>
        <w:t xml:space="preserve">mean, collectively, the Fee Letter (Bank of America) and the Fee Letter (Joint). </w:t>
      </w:r>
    </w:p>
    <w:p>
      <w:pPr>
        <w:pStyle w:val="TextBody"/>
        <w:bidi w:val="0"/>
        <w:spacing w:before="0" w:after="240"/>
        <w:ind w:left="0" w:right="0" w:firstLine="720"/>
        <w:jc w:val="both"/>
        <w:rPr/>
      </w:pPr>
      <w:r>
        <w:rPr/>
        <w:t>“</w:t>
      </w:r>
      <w:r>
        <w:rPr>
          <w:rFonts w:ascii="Times New Roman;Times;serif" w:hAnsi="Times New Roman;Times;serif"/>
          <w:sz w:val="22"/>
          <w:u w:val="single"/>
        </w:rPr>
        <w:t>Fee Letter (Bank of America)</w:t>
      </w:r>
      <w:r>
        <w:rPr>
          <w:rFonts w:ascii="Times New Roman;Times;serif" w:hAnsi="Times New Roman;Times;serif"/>
          <w:sz w:val="20"/>
        </w:rPr>
        <w:t xml:space="preserve">” </w:t>
      </w:r>
      <w:r>
        <w:rPr>
          <w:rFonts w:ascii="Times New Roman;Times;serif" w:hAnsi="Times New Roman;Times;serif"/>
          <w:sz w:val="22"/>
        </w:rPr>
        <w:t>means the letter agreement, dated December 6, 2024, among the Company, the Administrative Agent and BofA Securities, Inc.</w:t>
      </w:r>
    </w:p>
    <w:p>
      <w:pPr>
        <w:pStyle w:val="TextBody"/>
        <w:bidi w:val="0"/>
        <w:spacing w:before="0" w:after="240"/>
        <w:ind w:left="0" w:right="0" w:firstLine="720"/>
        <w:jc w:val="both"/>
        <w:rPr/>
      </w:pPr>
      <w:r>
        <w:rPr/>
        <w:t>“</w:t>
      </w:r>
      <w:r>
        <w:rPr>
          <w:rFonts w:ascii="Times New Roman;Times;serif" w:hAnsi="Times New Roman;Times;serif"/>
          <w:sz w:val="22"/>
          <w:u w:val="single"/>
        </w:rPr>
        <w:t>Fee Letter (Joint)</w:t>
      </w:r>
      <w:r>
        <w:rPr>
          <w:rFonts w:ascii="Times New Roman;Times;serif" w:hAnsi="Times New Roman;Times;serif"/>
          <w:sz w:val="20"/>
        </w:rPr>
        <w:t xml:space="preserve">” </w:t>
      </w:r>
      <w:r>
        <w:rPr>
          <w:rFonts w:ascii="Times New Roman;Times;serif" w:hAnsi="Times New Roman;Times;serif"/>
          <w:sz w:val="22"/>
        </w:rPr>
        <w:t>means the letter agreement, dated December 6, 2024, among the Company, the Administrative Agent, BofA Securities, Inc., BNP Paribas Securities Corp., BNP Paribas, JPMorgan Chase Bank, N.A., MUFG, The Bank of Nova Scotia, Truist Bank and Truist Securities, Inc.</w:t>
      </w:r>
    </w:p>
    <w:p>
      <w:pPr>
        <w:pStyle w:val="TextBody"/>
        <w:bidi w:val="0"/>
        <w:spacing w:before="0" w:after="240"/>
        <w:ind w:left="0" w:right="0" w:firstLine="720"/>
        <w:jc w:val="both"/>
        <w:rPr/>
      </w:pPr>
      <w:r>
        <w:rPr/>
        <w:t>“</w:t>
      </w:r>
      <w:r>
        <w:rPr>
          <w:rFonts w:ascii="Times New Roman;Times;serif" w:hAnsi="Times New Roman;Times;serif"/>
          <w:sz w:val="22"/>
          <w:u w:val="single"/>
        </w:rPr>
        <w:t>Fitch</w:t>
      </w:r>
      <w:r>
        <w:rPr>
          <w:rFonts w:ascii="Times New Roman;Times;serif" w:hAnsi="Times New Roman;Times;serif"/>
          <w:sz w:val="20"/>
        </w:rPr>
        <w:t xml:space="preserve">” </w:t>
      </w:r>
      <w:r>
        <w:rPr>
          <w:rFonts w:ascii="Times New Roman;Times;serif" w:hAnsi="Times New Roman;Times;serif"/>
          <w:sz w:val="22"/>
        </w:rPr>
        <w:t>means Fitch, Inc. and any successor thereto.</w:t>
      </w:r>
    </w:p>
    <w:p>
      <w:pPr>
        <w:pStyle w:val="TextBody"/>
        <w:bidi w:val="0"/>
        <w:spacing w:before="0" w:after="240"/>
        <w:ind w:left="0" w:right="0" w:firstLine="720"/>
        <w:jc w:val="both"/>
        <w:rPr/>
      </w:pPr>
      <w:r>
        <w:rPr/>
        <w:t>“</w:t>
      </w:r>
      <w:r>
        <w:rPr>
          <w:rFonts w:ascii="Times New Roman;Times;serif" w:hAnsi="Times New Roman;Times;serif"/>
          <w:sz w:val="22"/>
          <w:u w:val="single"/>
        </w:rPr>
        <w:t>Foreign Lender</w:t>
      </w:r>
      <w:r>
        <w:rPr>
          <w:rFonts w:ascii="Times New Roman;Times;serif" w:hAnsi="Times New Roman;Times;serif"/>
          <w:sz w:val="20"/>
        </w:rPr>
        <w:t xml:space="preserve">” </w:t>
      </w:r>
      <w:r>
        <w:rPr>
          <w:rFonts w:ascii="Times New Roman;Times;serif" w:hAnsi="Times New Roman;Times;serif"/>
          <w:sz w:val="22"/>
        </w:rPr>
        <w:t>means, (a) with respect to any Borrower that is a U.S. Person, any Lender that is not a U.S. Person, and (b) with respect to any Borrower that is not a U.S. Person, a lender that is a resident or organized under the Laws of a jurisdiction other than that in which such Borrower is resident for tax purposes. For purposes of this definition, the United States, each State thereof and the District of Columbia shall be deemed to constitute a single jurisdiction.</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pPr>
      <w:r>
        <w:rPr/>
        <w:t>“</w:t>
      </w:r>
      <w:r>
        <w:rPr>
          <w:rFonts w:ascii="Times New Roman;Times;serif" w:hAnsi="Times New Roman;Times;serif"/>
          <w:sz w:val="22"/>
          <w:u w:val="single"/>
        </w:rPr>
        <w:t>Foreign Obligor</w:t>
      </w:r>
      <w:r>
        <w:rPr>
          <w:rFonts w:ascii="Times New Roman;Times;serif" w:hAnsi="Times New Roman;Times;serif"/>
          <w:sz w:val="20"/>
        </w:rPr>
        <w:t xml:space="preserve">” </w:t>
      </w:r>
      <w:r>
        <w:rPr>
          <w:rFonts w:ascii="Times New Roman;Times;serif" w:hAnsi="Times New Roman;Times;serif"/>
          <w:sz w:val="22"/>
        </w:rPr>
        <w:t>means a Loan Party that is a Foreign Subsidiary. “</w:t>
      </w:r>
      <w:r>
        <w:rPr>
          <w:rFonts w:ascii="Times New Roman;Times;serif" w:hAnsi="Times New Roman;Times;serif"/>
          <w:sz w:val="22"/>
          <w:u w:val="single"/>
        </w:rPr>
        <w:t>Foreign Obligor Opinion</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2.14(a)</w:t>
      </w:r>
      <w:r>
        <w:rPr>
          <w:rFonts w:ascii="Times New Roman;Times;serif" w:hAnsi="Times New Roman;Times;serif"/>
          <w:sz w:val="22"/>
        </w:rPr>
        <w:t>.</w:t>
      </w:r>
    </w:p>
    <w:p>
      <w:pPr>
        <w:pStyle w:val="TextBody"/>
        <w:bidi w:val="0"/>
        <w:spacing w:before="0" w:after="240"/>
        <w:ind w:left="0" w:right="0" w:firstLine="720"/>
        <w:jc w:val="left"/>
        <w:rPr/>
      </w:pPr>
      <w:r>
        <w:rPr/>
        <w:t>“</w:t>
      </w:r>
      <w:r>
        <w:rPr>
          <w:rFonts w:ascii="Times New Roman;Times;serif" w:hAnsi="Times New Roman;Times;serif"/>
          <w:sz w:val="22"/>
          <w:u w:val="single"/>
        </w:rPr>
        <w:t>Foreign Subsidiary</w:t>
      </w:r>
      <w:r>
        <w:rPr>
          <w:rFonts w:ascii="Times New Roman;Times;serif" w:hAnsi="Times New Roman;Times;serif"/>
          <w:sz w:val="20"/>
        </w:rPr>
        <w:t xml:space="preserve">” </w:t>
      </w:r>
      <w:r>
        <w:rPr>
          <w:rFonts w:ascii="Times New Roman;Times;serif" w:hAnsi="Times New Roman;Times;serif"/>
          <w:sz w:val="22"/>
        </w:rPr>
        <w:t>means any Subsidiary that is organized under the laws of a jurisdiction other than the United States, a State thereof or the District of Columbia.</w:t>
      </w:r>
    </w:p>
    <w:p>
      <w:pPr>
        <w:pStyle w:val="TextBody"/>
        <w:bidi w:val="0"/>
        <w:spacing w:before="0" w:after="240"/>
        <w:ind w:left="0" w:right="0" w:firstLine="720"/>
        <w:jc w:val="left"/>
        <w:rPr/>
      </w:pPr>
      <w:r>
        <w:rPr/>
        <w:t>“</w:t>
      </w:r>
      <w:r>
        <w:rPr>
          <w:rFonts w:ascii="Times New Roman;Times;serif" w:hAnsi="Times New Roman;Times;serif"/>
          <w:sz w:val="22"/>
          <w:u w:val="single"/>
        </w:rPr>
        <w:t>FRB</w:t>
      </w:r>
      <w:r>
        <w:rPr>
          <w:rFonts w:ascii="Times New Roman;Times;serif" w:hAnsi="Times New Roman;Times;serif"/>
          <w:sz w:val="20"/>
        </w:rPr>
        <w:t xml:space="preserve">” </w:t>
      </w:r>
      <w:r>
        <w:rPr>
          <w:rFonts w:ascii="Times New Roman;Times;serif" w:hAnsi="Times New Roman;Times;serif"/>
          <w:sz w:val="22"/>
        </w:rPr>
        <w:t xml:space="preserve">means the Board of Governors of the Federal Reserve System of the United States. </w:t>
      </w:r>
    </w:p>
    <w:p>
      <w:pPr>
        <w:pStyle w:val="TextBody"/>
        <w:bidi w:val="0"/>
        <w:spacing w:before="0" w:after="240"/>
        <w:ind w:left="0" w:right="0" w:firstLine="720"/>
        <w:jc w:val="left"/>
        <w:rPr/>
      </w:pPr>
      <w:r>
        <w:rPr/>
        <w:t>“</w:t>
      </w:r>
      <w:r>
        <w:rPr>
          <w:rFonts w:ascii="Times New Roman;Times;serif" w:hAnsi="Times New Roman;Times;serif"/>
          <w:sz w:val="22"/>
          <w:u w:val="single"/>
        </w:rPr>
        <w:t>Fronting Exposure</w:t>
      </w:r>
      <w:r>
        <w:rPr>
          <w:rFonts w:ascii="Times New Roman;Times;serif" w:hAnsi="Times New Roman;Times;serif"/>
          <w:sz w:val="20"/>
        </w:rPr>
        <w:t xml:space="preserve">” </w:t>
      </w:r>
      <w:r>
        <w:rPr>
          <w:rFonts w:ascii="Times New Roman;Times;serif" w:hAnsi="Times New Roman;Times;serif"/>
          <w:sz w:val="22"/>
        </w:rPr>
        <w:t>means, at any time there is a Defaulting Lender, (a) with respect to the L/C Issuers, such Defaulting Lender’s Applicable Percentage of the Outstanding Amount of all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or Cash Collateralized in accordance with the terms hereof.</w:t>
      </w:r>
    </w:p>
    <w:p>
      <w:pPr>
        <w:pStyle w:val="TextBody"/>
        <w:bidi w:val="0"/>
        <w:spacing w:before="0" w:after="240"/>
        <w:ind w:left="0" w:right="0" w:firstLine="720"/>
        <w:jc w:val="left"/>
        <w:rPr/>
      </w:pPr>
      <w:r>
        <w:rPr/>
        <w:t>“</w:t>
      </w:r>
      <w:r>
        <w:rPr>
          <w:rFonts w:ascii="Times New Roman;Times;serif" w:hAnsi="Times New Roman;Times;serif"/>
          <w:sz w:val="22"/>
          <w:u w:val="single"/>
        </w:rPr>
        <w:t>Fund</w:t>
      </w:r>
      <w:r>
        <w:rPr>
          <w:rFonts w:ascii="Times New Roman;Times;serif" w:hAnsi="Times New Roman;Times;serif"/>
          <w:sz w:val="20"/>
        </w:rPr>
        <w:t xml:space="preserve">” </w:t>
      </w:r>
      <w:r>
        <w:rPr>
          <w:rFonts w:ascii="Times New Roman;Times;serif" w:hAnsi="Times New Roman;Times;serif"/>
          <w:sz w:val="22"/>
        </w:rPr>
        <w:t>means any Person (other than a natural person) that is (or will be) engaged in making, purchasing, holding or otherwise investing in commercial loans and similar extensions of credit in the ordinary course of its activities.</w:t>
      </w:r>
    </w:p>
    <w:p>
      <w:pPr>
        <w:pStyle w:val="TextBody"/>
        <w:bidi w:val="0"/>
        <w:spacing w:before="0" w:after="240"/>
        <w:ind w:left="0" w:right="0" w:firstLine="720"/>
        <w:jc w:val="left"/>
        <w:rPr/>
      </w:pPr>
      <w:r>
        <w:rPr/>
        <w:t>“</w:t>
      </w:r>
      <w:r>
        <w:rPr>
          <w:rFonts w:ascii="Times New Roman;Times;serif" w:hAnsi="Times New Roman;Times;serif"/>
          <w:sz w:val="22"/>
          <w:u w:val="single"/>
        </w:rPr>
        <w:t>GAAP</w:t>
      </w:r>
      <w:r>
        <w:rPr>
          <w:rFonts w:ascii="Times New Roman;Times;serif" w:hAnsi="Times New Roman;Times;serif"/>
          <w:sz w:val="20"/>
        </w:rPr>
        <w:t xml:space="preserve">” </w:t>
      </w:r>
      <w:r>
        <w:rPr>
          <w:rFonts w:ascii="Times New Roman;Times;serif" w:hAnsi="Times New Roman;Times;serif"/>
          <w:sz w:val="22"/>
        </w:rPr>
        <w:t>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 consistently applied.</w:t>
      </w:r>
    </w:p>
    <w:p>
      <w:pPr>
        <w:pStyle w:val="TextBody"/>
        <w:bidi w:val="0"/>
        <w:spacing w:before="0" w:after="240"/>
        <w:ind w:left="0" w:right="0" w:firstLine="720"/>
        <w:jc w:val="both"/>
        <w:rPr/>
      </w:pPr>
      <w:r>
        <w:rPr/>
        <w:t>“</w:t>
      </w:r>
      <w:r>
        <w:rPr>
          <w:rFonts w:ascii="Times New Roman;Times;serif" w:hAnsi="Times New Roman;Times;serif"/>
          <w:sz w:val="22"/>
          <w:u w:val="single"/>
        </w:rPr>
        <w:t>Governmental Authority</w:t>
      </w:r>
      <w:r>
        <w:rPr>
          <w:rFonts w:ascii="Times New Roman;Times;serif" w:hAnsi="Times New Roman;Times;serif"/>
          <w:sz w:val="20"/>
        </w:rPr>
        <w:t xml:space="preserve">” </w:t>
      </w:r>
      <w:r>
        <w:rPr>
          <w:rFonts w:ascii="Times New Roman;Times;serif" w:hAnsi="Times New Roman;Times;serif"/>
          <w:sz w:val="22"/>
        </w:rPr>
        <w:t xml:space="preserve">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w:t>
      </w:r>
      <w:r>
        <w:rPr>
          <w:rFonts w:ascii="Times New Roman;Times;serif" w:hAnsi="Times New Roman;Times;serif"/>
          <w:color w:val="0000FF"/>
          <w:sz w:val="22"/>
          <w:u w:val="single"/>
        </w:rPr>
        <w:t>the Financial Conduct Authority, the Prudential Regulation Authority and</w:t>
      </w:r>
      <w:r>
        <w:rPr>
          <w:rFonts w:ascii="Times New Roman;Times;serif" w:hAnsi="Times New Roman;Times;serif"/>
          <w:sz w:val="20"/>
        </w:rPr>
        <w:t xml:space="preserve"> </w:t>
      </w:r>
      <w:r>
        <w:rPr>
          <w:rFonts w:ascii="Times New Roman;Times;serif" w:hAnsi="Times New Roman;Times;serif"/>
          <w:sz w:val="22"/>
        </w:rPr>
        <w:t>any supra-national bodies such as the European Union or the European Central Bank).</w:t>
      </w:r>
    </w:p>
    <w:p>
      <w:pPr>
        <w:pStyle w:val="TextBody"/>
        <w:bidi w:val="0"/>
        <w:spacing w:before="0" w:after="240"/>
        <w:ind w:left="0" w:right="0" w:firstLine="720"/>
        <w:jc w:val="both"/>
        <w:rPr/>
      </w:pPr>
      <w:r>
        <w:rPr/>
        <w:t>“</w:t>
      </w:r>
      <w:r>
        <w:rPr>
          <w:rFonts w:ascii="Times New Roman;Times;serif" w:hAnsi="Times New Roman;Times;serif"/>
          <w:sz w:val="22"/>
          <w:u w:val="single"/>
        </w:rPr>
        <w:t>Guarantee</w:t>
      </w:r>
      <w:r>
        <w:rPr>
          <w:rFonts w:ascii="Times New Roman;Times;serif" w:hAnsi="Times New Roman;Times;serif"/>
          <w:sz w:val="20"/>
        </w:rPr>
        <w:t xml:space="preserve">” </w:t>
      </w:r>
      <w:r>
        <w:rPr>
          <w:rFonts w:ascii="Times New Roman;Times;serif" w:hAnsi="Times New Roman;Times;serif"/>
          <w:sz w:val="22"/>
        </w:rPr>
        <w:t>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w:t>
      </w:r>
    </w:p>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pStyle w:val="TextBody"/>
        <w:bidi w:val="0"/>
        <w:spacing w:before="0" w:after="240"/>
        <w:ind w:left="0" w:right="0" w:firstLine="720"/>
        <w:jc w:val="both"/>
        <w:rPr/>
      </w:pPr>
      <w:r>
        <w:rPr/>
        <w:t>“</w:t>
      </w:r>
      <w:r>
        <w:rPr>
          <w:rFonts w:ascii="Times New Roman;Times;serif" w:hAnsi="Times New Roman;Times;serif"/>
          <w:sz w:val="22"/>
          <w:u w:val="single"/>
        </w:rPr>
        <w:t>Guaranty</w:t>
      </w:r>
      <w:r>
        <w:rPr>
          <w:rFonts w:ascii="Times New Roman;Times;serif" w:hAnsi="Times New Roman;Times;serif"/>
          <w:sz w:val="20"/>
        </w:rPr>
        <w:t xml:space="preserve">” </w:t>
      </w:r>
      <w:r>
        <w:rPr>
          <w:rFonts w:ascii="Times New Roman;Times;serif" w:hAnsi="Times New Roman;Times;serif"/>
          <w:sz w:val="22"/>
        </w:rPr>
        <w:t xml:space="preserve">means that certain Second Amended and Restated Guaranty Agreement, dated as of the date hereof, by the Company in favor of the Administrative Agent and the Lenders, substantially in the form of </w:t>
      </w:r>
      <w:r>
        <w:rPr>
          <w:rFonts w:ascii="Times New Roman;Times;serif" w:hAnsi="Times New Roman;Times;serif"/>
          <w:sz w:val="22"/>
          <w:u w:val="single"/>
        </w:rPr>
        <w:t>Exhibit F</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Hazardous Materials</w:t>
      </w:r>
      <w:r>
        <w:rPr>
          <w:rFonts w:ascii="Times New Roman;Times;serif" w:hAnsi="Times New Roman;Times;serif"/>
          <w:sz w:val="20"/>
        </w:rPr>
        <w:t xml:space="preserve">” </w:t>
      </w:r>
      <w:r>
        <w:rPr>
          <w:rFonts w:ascii="Times New Roman;Times;serif" w:hAnsi="Times New Roman;Times;serif"/>
          <w:sz w:val="22"/>
        </w:rPr>
        <w:t>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pStyle w:val="TextBody"/>
        <w:bidi w:val="0"/>
        <w:spacing w:before="0" w:after="240"/>
        <w:ind w:left="0" w:right="0" w:firstLine="720"/>
        <w:jc w:val="both"/>
        <w:rPr/>
      </w:pPr>
      <w:r>
        <w:rPr/>
        <w:t>“</w:t>
      </w:r>
      <w:r>
        <w:rPr>
          <w:rFonts w:ascii="Times New Roman;Times;serif" w:hAnsi="Times New Roman;Times;serif"/>
          <w:sz w:val="22"/>
          <w:u w:val="single"/>
        </w:rPr>
        <w:t>HMT</w:t>
      </w:r>
      <w:r>
        <w:rPr>
          <w:rFonts w:ascii="Times New Roman;Times;serif" w:hAnsi="Times New Roman;Times;serif"/>
          <w:sz w:val="20"/>
        </w:rPr>
        <w:t xml:space="preserve">” </w:t>
      </w:r>
      <w:r>
        <w:rPr>
          <w:rFonts w:ascii="Times New Roman;Times;serif" w:hAnsi="Times New Roman;Times;serif"/>
          <w:sz w:val="22"/>
        </w:rPr>
        <w:t xml:space="preserve">has the meaning specified in the definition of Sanctions. </w:t>
      </w:r>
    </w:p>
    <w:p>
      <w:pPr>
        <w:pStyle w:val="TextBody"/>
        <w:bidi w:val="0"/>
        <w:spacing w:before="0" w:after="240"/>
        <w:ind w:left="0" w:right="0" w:firstLine="720"/>
        <w:jc w:val="both"/>
        <w:rPr/>
      </w:pPr>
      <w:r>
        <w:rPr/>
        <w:t>“</w:t>
      </w:r>
      <w:r>
        <w:rPr>
          <w:rFonts w:ascii="Times New Roman;Times;serif" w:hAnsi="Times New Roman;Times;serif"/>
          <w:sz w:val="22"/>
          <w:u w:val="single"/>
        </w:rPr>
        <w:t>Hong Kong Dollars</w:t>
      </w:r>
      <w:r>
        <w:rPr>
          <w:rFonts w:ascii="Times New Roman;Times;serif" w:hAnsi="Times New Roman;Times;serif"/>
          <w:sz w:val="20"/>
        </w:rPr>
        <w:t xml:space="preserve">” </w:t>
      </w:r>
      <w:r>
        <w:rPr>
          <w:rFonts w:ascii="Times New Roman;Times;serif" w:hAnsi="Times New Roman;Times;serif"/>
          <w:sz w:val="22"/>
        </w:rPr>
        <w:t xml:space="preserve">mean the lawful currency of Hong Kong. </w:t>
      </w:r>
    </w:p>
    <w:p>
      <w:pPr>
        <w:pStyle w:val="TextBody"/>
        <w:bidi w:val="0"/>
        <w:spacing w:before="0" w:after="240"/>
        <w:ind w:left="0" w:right="0" w:firstLine="720"/>
        <w:jc w:val="both"/>
        <w:rPr/>
      </w:pPr>
      <w:r>
        <w:rPr/>
        <w:t>“</w:t>
      </w:r>
      <w:r>
        <w:rPr>
          <w:rFonts w:ascii="Times New Roman;Times;serif" w:hAnsi="Times New Roman;Times;serif"/>
          <w:sz w:val="22"/>
          <w:u w:val="single"/>
        </w:rPr>
        <w:t>Honor Date</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2.03(c)(i)</w:t>
      </w:r>
      <w:r>
        <w:rPr>
          <w:rFonts w:ascii="Times New Roman;Times;serif" w:hAnsi="Times New Roman;Times;serif"/>
          <w:sz w:val="22"/>
        </w:rPr>
        <w:t xml:space="preserve">. </w:t>
      </w:r>
    </w:p>
    <w:p>
      <w:pPr>
        <w:pStyle w:val="TextBody"/>
        <w:bidi w:val="0"/>
        <w:spacing w:before="0" w:after="240"/>
        <w:ind w:left="0" w:right="0" w:firstLine="720"/>
        <w:jc w:val="both"/>
        <w:rPr/>
      </w:pPr>
      <w:r>
        <w:rPr/>
        <w:t>“</w:t>
      </w:r>
      <w:r>
        <w:rPr>
          <w:rFonts w:ascii="Times New Roman;Times;serif" w:hAnsi="Times New Roman;Times;serif"/>
          <w:sz w:val="22"/>
          <w:u w:val="single"/>
        </w:rPr>
        <w:t>Increase Effective Date</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2.15(d)</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Indebtedness</w:t>
      </w:r>
      <w:r>
        <w:rPr>
          <w:rFonts w:ascii="Times New Roman;Times;serif" w:hAnsi="Times New Roman;Times;serif"/>
          <w:sz w:val="20"/>
        </w:rPr>
        <w:t xml:space="preserve">” </w:t>
      </w:r>
      <w:r>
        <w:rPr>
          <w:rFonts w:ascii="Times New Roman;Times;serif" w:hAnsi="Times New Roman;Times;serif"/>
          <w:sz w:val="22"/>
        </w:rPr>
        <w:t>means, as to any Person at a particular time, without duplication, all of the following, whether or not included as indebtedness or liabilities in accordance with GAAP:</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all obligations of such Person for borrowed money and all obligations of such Person evidenced by bonds, debentures, notes, loan agreements or other similar instruments;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all direct or contingent obligations of such Person arising under letters of credit (including standby letters of credit), bankers’ acceptances, bank guaranties, surety bonds and similar instruments (other than commercial letters of credit and bankers’ acceptances incurred to support commercial transactions, bid bonds, payment bonds and performance bonds arising in the ordinary course of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net obligations of such Person under any Swap Contract;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all obligations of such Person to pay the deferred purchase price of property or services (other than current trade accounts payable in the ordinary course of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capital leases, Synthetic Lease Obligations and other Off-Balance Sheet Liabilities;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all obligations of such Person to purchase, redeem, retire, defease or otherwise make any payment in respect of any Equity Interest in such Person or any other Person, valued,</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2"/>
        </w:rPr>
        <w:t xml:space="preserve">in the case of a redeemable preferred interest, at the greater of its voluntary or involuntary liquidation preference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accrued and unpaid dividends;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(h)</w:t>
      </w:r>
      <w:r>
        <w:rPr>
          <w:rFonts w:ascii="Times New Roman;Times;serif" w:hAnsi="Times New Roman;Times;serif"/>
          <w:sz w:val="22"/>
        </w:rPr>
        <w:t>all Guarantees of such Person in respect of any of the foregoing.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For all purposes hereof, the Indebtedness of any Person shall include the Indebtedness of any partnership or joint venture (other than a joint venture that is itself a corporation or limited liability company) in which such Person is a general partner or a joint venturer, if, and to the extent that, the fair value of the assets of such partnership or joint venture is less than its probable liability in respect of its obligations, net of any right to contribution from other reasonably creditworthy Persons which the Company or such Subsidiary has in respect thereof</w:t>
      </w:r>
      <w:r>
        <w:rPr>
          <w:rFonts w:ascii="Times New Roman;Times;serif" w:hAnsi="Times New Roman;Times;serif"/>
          <w:b/>
          <w:sz w:val="22"/>
        </w:rPr>
        <w:t xml:space="preserve">, </w:t>
      </w:r>
      <w:r>
        <w:rPr>
          <w:rFonts w:ascii="Times New Roman;Times;serif" w:hAnsi="Times New Roman;Times;serif"/>
          <w:sz w:val="22"/>
        </w:rPr>
        <w:t>unless such Indebtedness is expressly made non-recourse to such Person. The amount of any net obligation under any Swap Contract on any date shall be deemed to be the Swap Termination Value thereof as of such date. The amount of any capital lease, Synthetic Lease Obligation or other Off-Balance Sheet Liability as of any date shall be deemed to be the amount of Attributable Indebtedness in respect thereof as of such date.</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Notwithstanding the foregoing, for purposes of this Agreement, the term Indebtedness shall not include any liability of the Company or a Subsidiary under any deferred compensation plan or similar arrangement covering employees or members of the board of directors of the Company.</w:t>
      </w:r>
    </w:p>
    <w:p>
      <w:pPr>
        <w:pStyle w:val="TextBody"/>
        <w:bidi w:val="0"/>
        <w:spacing w:before="0" w:after="240"/>
        <w:ind w:left="0" w:right="0" w:firstLine="720"/>
        <w:jc w:val="left"/>
        <w:rPr/>
      </w:pPr>
      <w:r>
        <w:rPr/>
        <w:t>“</w:t>
      </w:r>
      <w:r>
        <w:rPr>
          <w:rFonts w:ascii="Times New Roman;Times;serif" w:hAnsi="Times New Roman;Times;serif"/>
          <w:sz w:val="22"/>
          <w:u w:val="single"/>
        </w:rPr>
        <w:t>Indemnified Taxes</w:t>
      </w:r>
      <w:r>
        <w:rPr>
          <w:rFonts w:ascii="Times New Roman;Times;serif" w:hAnsi="Times New Roman;Times;serif"/>
          <w:sz w:val="20"/>
        </w:rPr>
        <w:t xml:space="preserve">” </w:t>
      </w:r>
      <w:r>
        <w:rPr>
          <w:rFonts w:ascii="Times New Roman;Times;serif" w:hAnsi="Times New Roman;Times;serif"/>
          <w:sz w:val="22"/>
        </w:rPr>
        <w:t xml:space="preserve">means (a) Taxes, other than Excluded Taxes, imposed on or with respect to any payment made by or on account of any obligation of any Loan Party under any Loan Document and (b) to the extent not otherwise described in </w:t>
      </w:r>
      <w:r>
        <w:rPr>
          <w:rFonts w:ascii="Times New Roman;Times;serif" w:hAnsi="Times New Roman;Times;serif"/>
          <w:sz w:val="22"/>
          <w:u w:val="single"/>
        </w:rPr>
        <w:t>clause (a)</w:t>
      </w:r>
      <w:r>
        <w:rPr>
          <w:rFonts w:ascii="Times New Roman;Times;serif" w:hAnsi="Times New Roman;Times;serif"/>
          <w:sz w:val="22"/>
        </w:rPr>
        <w:t xml:space="preserve">, Other Taxes. </w:t>
      </w:r>
    </w:p>
    <w:p>
      <w:pPr>
        <w:pStyle w:val="TextBody"/>
        <w:bidi w:val="0"/>
        <w:spacing w:before="0" w:after="240"/>
        <w:ind w:left="0" w:right="0" w:firstLine="720"/>
        <w:jc w:val="left"/>
        <w:rPr/>
      </w:pPr>
      <w:r>
        <w:rPr/>
        <w:t>“</w:t>
      </w:r>
      <w:r>
        <w:rPr>
          <w:rFonts w:ascii="Times New Roman;Times;serif" w:hAnsi="Times New Roman;Times;serif"/>
          <w:sz w:val="22"/>
          <w:u w:val="single"/>
        </w:rPr>
        <w:t>Indemnitees</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10.04(b)</w:t>
      </w:r>
      <w:r>
        <w:rPr>
          <w:rFonts w:ascii="Times New Roman;Times;serif" w:hAnsi="Times New Roman;Times;serif"/>
          <w:sz w:val="22"/>
        </w:rPr>
        <w:t xml:space="preserve">. </w:t>
      </w:r>
    </w:p>
    <w:p>
      <w:pPr>
        <w:pStyle w:val="TextBody"/>
        <w:bidi w:val="0"/>
        <w:spacing w:before="0" w:after="240"/>
        <w:ind w:left="0" w:right="0" w:firstLine="720"/>
        <w:jc w:val="left"/>
        <w:rPr/>
      </w:pPr>
      <w:r>
        <w:rPr/>
        <w:t>“</w:t>
      </w:r>
      <w:r>
        <w:rPr>
          <w:rFonts w:ascii="Times New Roman;Times;serif" w:hAnsi="Times New Roman;Times;serif"/>
          <w:sz w:val="22"/>
          <w:u w:val="single"/>
        </w:rPr>
        <w:t>Information</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10.07</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Intangible Assets</w:t>
      </w:r>
      <w:r>
        <w:rPr>
          <w:rFonts w:ascii="Times New Roman;Times;serif" w:hAnsi="Times New Roman;Times;serif"/>
          <w:sz w:val="20"/>
        </w:rPr>
        <w:t xml:space="preserve">” </w:t>
      </w:r>
      <w:r>
        <w:rPr>
          <w:rFonts w:ascii="Times New Roman;Times;serif" w:hAnsi="Times New Roman;Times;serif"/>
          <w:sz w:val="22"/>
        </w:rPr>
        <w:t>means assets that are considered to be intangible assets under GAAP, including customer lists, goodwill, computer software, copyrights, trade names, trademarks, patents, franchises, licenses, unamortized deferred charges, unamortized debt discount and capitalized research and development costs.</w:t>
      </w:r>
    </w:p>
    <w:p>
      <w:pPr>
        <w:pStyle w:val="TextBody"/>
        <w:bidi w:val="0"/>
        <w:spacing w:before="0" w:after="240"/>
        <w:ind w:left="0" w:right="0" w:firstLine="720"/>
        <w:jc w:val="both"/>
        <w:rPr/>
      </w:pPr>
      <w:r>
        <w:rPr/>
        <w:t>“</w:t>
      </w:r>
      <w:r>
        <w:rPr>
          <w:rFonts w:ascii="Times New Roman;Times;serif" w:hAnsi="Times New Roman;Times;serif"/>
          <w:sz w:val="22"/>
          <w:u w:val="single"/>
        </w:rPr>
        <w:t>Inter-Company Indebtedness</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7.03(j)</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Interest Payment Date</w:t>
      </w:r>
      <w:r>
        <w:rPr>
          <w:rFonts w:ascii="Times New Roman;Times;serif" w:hAnsi="Times New Roman;Times;serif"/>
          <w:sz w:val="20"/>
        </w:rPr>
        <w:t xml:space="preserve">” </w:t>
      </w:r>
      <w:r>
        <w:rPr>
          <w:rFonts w:ascii="Times New Roman;Times;serif" w:hAnsi="Times New Roman;Times;serif"/>
          <w:sz w:val="22"/>
        </w:rPr>
        <w:t xml:space="preserve">means, (a) as to any Base Rate Loan (including any Swing Line Loan denominated in Dollars), the last Business Day of each month and the Maturity Date, (b) as to any Alternative Currency Daily Rate Loan, the last Business Day of each month and the Maturity Date, (c) as to any Term SOFR Loan or Alternative Currency Term Rate Loan, the last day of each Interest Period applicable to such Loan and the Maturity Date, (d) as to any SOFR Daily Floating Rate Loan, the last Business Day of each month and the Maturity Date and (e) as to any Euro Swing Line Loan, the last Business Day of each month and the Maturity Date;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if any Interest Period for a Term SOFR Loan or Alternative Currency Term Rate Loan exceeds three months, the respective dates that fall every three months after the beginning of such Interest Period shall be Interest Payment Dates.</w:t>
      </w:r>
    </w:p>
    <w:p>
      <w:pPr>
        <w:pStyle w:val="TextBody"/>
        <w:bidi w:val="0"/>
        <w:spacing w:before="0" w:after="240"/>
        <w:ind w:left="0" w:right="0" w:firstLine="720"/>
        <w:jc w:val="both"/>
        <w:rPr/>
      </w:pPr>
      <w:r>
        <w:rPr/>
        <w:t>“</w:t>
      </w:r>
      <w:r>
        <w:rPr>
          <w:rFonts w:ascii="Times New Roman;Times;serif" w:hAnsi="Times New Roman;Times;serif"/>
          <w:sz w:val="22"/>
          <w:u w:val="single"/>
        </w:rPr>
        <w:t>Interest Period</w:t>
      </w:r>
      <w:r>
        <w:rPr>
          <w:rFonts w:ascii="Times New Roman;Times;serif" w:hAnsi="Times New Roman;Times;serif"/>
          <w:sz w:val="20"/>
        </w:rPr>
        <w:t xml:space="preserve">” </w:t>
      </w:r>
      <w:r>
        <w:rPr>
          <w:rFonts w:ascii="Times New Roman;Times;serif" w:hAnsi="Times New Roman;Times;serif"/>
          <w:sz w:val="22"/>
        </w:rPr>
        <w:t>means as to each Term SOFR Loan and Alternative Currency Term Rate Loan, the period commencing on the date such Term SOFR Loan or Alternative Currency Term Rate Loan is disbursed or converted to or continued as a Term SOFR Loan or Alternative Currency Term Rate Loan and ending on the date one, three or six months thereafter (in each case, subject to availability for the interest rate applicable to the relevant currency), as selected by the applicable Borrower in its Committed</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2"/>
        </w:rPr>
        <w:t>Loan Notice, or such other period that is twelve months or less requested by the applicable Borrower and consented to by all the Lenders</w:t>
      </w:r>
      <w:r>
        <w:rPr>
          <w:rFonts w:ascii="Times New Roman;Times;serif" w:hAnsi="Times New Roman;Times;serif"/>
          <w:color w:val="0000FF"/>
          <w:sz w:val="20"/>
          <w:u w:val="single"/>
        </w:rPr>
        <w:t xml:space="preserve"> </w:t>
      </w:r>
      <w:r>
        <w:rPr>
          <w:rFonts w:ascii="Times New Roman;Times;serif" w:hAnsi="Times New Roman;Times;serif"/>
          <w:color w:val="0000FF"/>
          <w:sz w:val="22"/>
          <w:u w:val="single"/>
        </w:rPr>
        <w:t>and the Administrative Agent</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any Interest Period that would otherwise end on a day that is not a Business Day shall be extended to the next succeeding Business Day unless, in the case of a Term SOFR Loan or Alternative Currency Term Rate Loan, such Business Day falls in another calendar month, in which case such Interest Period shall end on the next preceding Business Day;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any Interest Period pertaining to a Term SOFR Loan or Alternative Currency Term Rate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no Interest Period shall extend beyond the Maturity Date. </w:t>
      </w:r>
    </w:p>
    <w:p>
      <w:pPr>
        <w:pStyle w:val="TextBody"/>
        <w:bidi w:val="0"/>
        <w:spacing w:before="0" w:after="240"/>
        <w:ind w:left="0" w:right="0" w:firstLine="720"/>
        <w:jc w:val="both"/>
        <w:rPr/>
      </w:pPr>
      <w:r>
        <w:rPr/>
        <w:t>“</w:t>
      </w:r>
      <w:r>
        <w:rPr>
          <w:rFonts w:ascii="Times New Roman;Times;serif" w:hAnsi="Times New Roman;Times;serif"/>
          <w:sz w:val="22"/>
          <w:u w:val="single"/>
        </w:rPr>
        <w:t>IP Rights</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5.16</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IRS</w:t>
      </w:r>
      <w:r>
        <w:rPr>
          <w:rFonts w:ascii="Times New Roman;Times;serif" w:hAnsi="Times New Roman;Times;serif"/>
          <w:sz w:val="20"/>
        </w:rPr>
        <w:t xml:space="preserve">” </w:t>
      </w:r>
      <w:r>
        <w:rPr>
          <w:rFonts w:ascii="Times New Roman;Times;serif" w:hAnsi="Times New Roman;Times;serif"/>
          <w:sz w:val="22"/>
        </w:rPr>
        <w:t>means the United States Internal Revenue Service or any Governmental Authority succeeding to any of its principal functions.</w:t>
      </w:r>
    </w:p>
    <w:p>
      <w:pPr>
        <w:pStyle w:val="TextBody"/>
        <w:bidi w:val="0"/>
        <w:spacing w:before="0" w:after="240"/>
        <w:ind w:left="0" w:right="0" w:firstLine="720"/>
        <w:jc w:val="both"/>
        <w:rPr/>
      </w:pPr>
      <w:r>
        <w:rPr/>
        <w:t>“</w:t>
      </w:r>
      <w:r>
        <w:rPr>
          <w:rFonts w:ascii="Times New Roman;Times;serif" w:hAnsi="Times New Roman;Times;serif"/>
          <w:sz w:val="22"/>
          <w:u w:val="single"/>
        </w:rPr>
        <w:t>ISP</w:t>
      </w:r>
      <w:r>
        <w:rPr>
          <w:rFonts w:ascii="Times New Roman;Times;serif" w:hAnsi="Times New Roman;Times;serif"/>
          <w:sz w:val="20"/>
        </w:rPr>
        <w:t xml:space="preserve">” </w:t>
      </w:r>
      <w:r>
        <w:rPr>
          <w:rFonts w:ascii="Times New Roman;Times;serif" w:hAnsi="Times New Roman;Times;serif"/>
          <w:sz w:val="22"/>
        </w:rPr>
        <w:t>means, with respect to any Letter of Credit, the “International Standby Practices 1998” published by the International Chamber of Commerce Publication No. 590 (or such later version thereof as may be in effect at the time of issuance).</w:t>
      </w:r>
    </w:p>
    <w:p>
      <w:pPr>
        <w:pStyle w:val="TextBody"/>
        <w:bidi w:val="0"/>
        <w:spacing w:before="0" w:after="240"/>
        <w:ind w:left="0" w:right="0" w:firstLine="720"/>
        <w:jc w:val="both"/>
        <w:rPr/>
      </w:pPr>
      <w:r>
        <w:rPr/>
        <w:t>“</w:t>
      </w:r>
      <w:r>
        <w:rPr>
          <w:rFonts w:ascii="Times New Roman;Times;serif" w:hAnsi="Times New Roman;Times;serif"/>
          <w:sz w:val="22"/>
          <w:u w:val="single"/>
        </w:rPr>
        <w:t>Issuer Documents</w:t>
      </w:r>
      <w:r>
        <w:rPr>
          <w:rFonts w:ascii="Times New Roman;Times;serif" w:hAnsi="Times New Roman;Times;serif"/>
          <w:sz w:val="20"/>
        </w:rPr>
        <w:t xml:space="preserve">” </w:t>
      </w:r>
      <w:r>
        <w:rPr>
          <w:rFonts w:ascii="Times New Roman;Times;serif" w:hAnsi="Times New Roman;Times;serif"/>
          <w:sz w:val="22"/>
        </w:rPr>
        <w:t>means with respect to any Letter of Credit, the Letter of Credit Application, and any other document, agreement and instrument entered into by an L/C Issuer and the Company (or any Subsidiary) or in favor of such L/C Issuer and relating to any such Letter of Credit.</w:t>
      </w:r>
    </w:p>
    <w:p>
      <w:pPr>
        <w:pStyle w:val="TextBody"/>
        <w:bidi w:val="0"/>
        <w:spacing w:before="0" w:after="240"/>
        <w:ind w:left="0" w:right="0" w:firstLine="720"/>
        <w:jc w:val="both"/>
        <w:rPr/>
      </w:pPr>
      <w:r>
        <w:rPr/>
        <w:t>“</w:t>
      </w:r>
      <w:r>
        <w:rPr>
          <w:rFonts w:ascii="Times New Roman;Times;serif" w:hAnsi="Times New Roman;Times;serif"/>
          <w:sz w:val="22"/>
          <w:u w:val="single"/>
        </w:rPr>
        <w:t>Japanese Yen</w:t>
      </w:r>
      <w:r>
        <w:rPr>
          <w:rFonts w:ascii="Times New Roman;Times;serif" w:hAnsi="Times New Roman;Times;serif"/>
          <w:sz w:val="20"/>
        </w:rPr>
        <w:t xml:space="preserve">” </w:t>
      </w:r>
      <w:r>
        <w:rPr>
          <w:rFonts w:ascii="Times New Roman;Times;serif" w:hAnsi="Times New Roman;Times;serif"/>
          <w:sz w:val="22"/>
        </w:rPr>
        <w:t>means the lawful currency of Japan.</w:t>
      </w:r>
    </w:p>
    <w:p>
      <w:pPr>
        <w:pStyle w:val="TextBody"/>
        <w:bidi w:val="0"/>
        <w:spacing w:before="0" w:after="240"/>
        <w:ind w:left="0" w:right="0" w:firstLine="720"/>
        <w:jc w:val="both"/>
        <w:rPr/>
      </w:pPr>
      <w:r>
        <w:rPr/>
        <w:t>“</w:t>
      </w:r>
      <w:r>
        <w:rPr>
          <w:rFonts w:ascii="Times New Roman;Times;serif" w:hAnsi="Times New Roman;Times;serif"/>
          <w:sz w:val="22"/>
          <w:u w:val="single"/>
        </w:rPr>
        <w:t>Judgment Currency</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10.18</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L/C Advance</w:t>
      </w:r>
      <w:r>
        <w:rPr>
          <w:rFonts w:ascii="Times New Roman;Times;serif" w:hAnsi="Times New Roman;Times;serif"/>
          <w:sz w:val="20"/>
        </w:rPr>
        <w:t xml:space="preserve">” </w:t>
      </w:r>
      <w:r>
        <w:rPr>
          <w:rFonts w:ascii="Times New Roman;Times;serif" w:hAnsi="Times New Roman;Times;serif"/>
          <w:sz w:val="22"/>
        </w:rPr>
        <w:t>means, with respect to each Lender, such Lender’s funding of its participation in any L/C Borrowing in accordance with its Applicable Percentage. All L/C Advances shall be denominated in Dollars.</w:t>
      </w:r>
    </w:p>
    <w:p>
      <w:pPr>
        <w:pStyle w:val="TextBody"/>
        <w:bidi w:val="0"/>
        <w:spacing w:before="0" w:after="240"/>
        <w:ind w:left="0" w:right="0" w:firstLine="720"/>
        <w:jc w:val="both"/>
        <w:rPr/>
      </w:pPr>
      <w:r>
        <w:rPr/>
        <w:t>“</w:t>
      </w:r>
      <w:r>
        <w:rPr>
          <w:rFonts w:ascii="Times New Roman;Times;serif" w:hAnsi="Times New Roman;Times;serif"/>
          <w:sz w:val="22"/>
          <w:u w:val="single"/>
        </w:rPr>
        <w:t>L/C Borrowing</w:t>
      </w:r>
      <w:r>
        <w:rPr>
          <w:rFonts w:ascii="Times New Roman;Times;serif" w:hAnsi="Times New Roman;Times;serif"/>
          <w:sz w:val="20"/>
        </w:rPr>
        <w:t xml:space="preserve">” </w:t>
      </w:r>
      <w:r>
        <w:rPr>
          <w:rFonts w:ascii="Times New Roman;Times;serif" w:hAnsi="Times New Roman;Times;serif"/>
          <w:sz w:val="22"/>
        </w:rPr>
        <w:t>means an extension of credit resulting from a drawing under any Letter of Credit which has not been reimbursed on the date when made or refinanced as a Committed Borrowing. All L/C Borrowings shall be denominated in Dollars.</w:t>
      </w:r>
    </w:p>
    <w:p>
      <w:pPr>
        <w:pStyle w:val="TextBody"/>
        <w:bidi w:val="0"/>
        <w:spacing w:before="0" w:after="240"/>
        <w:ind w:left="0" w:right="0" w:firstLine="720"/>
        <w:jc w:val="both"/>
        <w:rPr/>
      </w:pPr>
      <w:r>
        <w:rPr/>
        <w:t>“</w:t>
      </w:r>
      <w:r>
        <w:rPr>
          <w:rFonts w:ascii="Times New Roman;Times;serif" w:hAnsi="Times New Roman;Times;serif"/>
          <w:sz w:val="22"/>
          <w:u w:val="single"/>
        </w:rPr>
        <w:t>L/C Credit Extension</w:t>
      </w:r>
      <w:r>
        <w:rPr>
          <w:rFonts w:ascii="Times New Roman;Times;serif" w:hAnsi="Times New Roman;Times;serif"/>
          <w:sz w:val="20"/>
        </w:rPr>
        <w:t xml:space="preserve">” </w:t>
      </w:r>
      <w:r>
        <w:rPr>
          <w:rFonts w:ascii="Times New Roman;Times;serif" w:hAnsi="Times New Roman;Times;serif"/>
          <w:sz w:val="22"/>
        </w:rPr>
        <w:t>means, with respect to any Letter of Credit, the issuance thereof or extension of the expiry date thereof, or the increase of the amount thereof.</w:t>
      </w:r>
    </w:p>
    <w:p>
      <w:pPr>
        <w:pStyle w:val="TextBody"/>
        <w:bidi w:val="0"/>
        <w:spacing w:before="0" w:after="240"/>
        <w:ind w:left="0" w:right="0" w:firstLine="720"/>
        <w:jc w:val="both"/>
        <w:rPr/>
      </w:pPr>
      <w:r>
        <w:rPr/>
        <w:t>“</w:t>
      </w:r>
      <w:r>
        <w:rPr>
          <w:rFonts w:ascii="Times New Roman;Times;serif" w:hAnsi="Times New Roman;Times;serif"/>
          <w:sz w:val="22"/>
          <w:u w:val="single"/>
        </w:rPr>
        <w:t>L/C Issuer</w:t>
      </w:r>
      <w:r>
        <w:rPr>
          <w:rFonts w:ascii="Times New Roman;Times;serif" w:hAnsi="Times New Roman;Times;serif"/>
          <w:sz w:val="20"/>
        </w:rPr>
        <w:t xml:space="preserve">” </w:t>
      </w:r>
      <w:r>
        <w:rPr>
          <w:rFonts w:ascii="Times New Roman;Times;serif" w:hAnsi="Times New Roman;Times;serif"/>
          <w:sz w:val="22"/>
        </w:rPr>
        <w:t xml:space="preserve">means each Lender set forth on </w:t>
      </w:r>
      <w:r>
        <w:rPr>
          <w:rFonts w:ascii="Times New Roman;Times;serif" w:hAnsi="Times New Roman;Times;serif"/>
          <w:sz w:val="22"/>
          <w:u w:val="single"/>
        </w:rPr>
        <w:t>Schedule 1.01(b)</w:t>
      </w:r>
      <w:r>
        <w:rPr>
          <w:rFonts w:ascii="Times New Roman;Times;serif" w:hAnsi="Times New Roman;Times;serif"/>
          <w:sz w:val="20"/>
        </w:rPr>
        <w:t xml:space="preserve"> </w:t>
      </w:r>
      <w:r>
        <w:rPr>
          <w:rFonts w:ascii="Times New Roman;Times;serif" w:hAnsi="Times New Roman;Times;serif"/>
          <w:sz w:val="22"/>
        </w:rPr>
        <w:t xml:space="preserve">and any successor Lender designated pursuant to this Agreement, for so long as such Lender shall have a Letter of Credit Commitment for the issuance of Letters of Credit by such L/C Issuer under this Agreement, and each L/C Issuer’s Letter of Credit Commitment shall initially be as set forth on </w:t>
      </w:r>
      <w:r>
        <w:rPr>
          <w:rFonts w:ascii="Times New Roman;Times;serif" w:hAnsi="Times New Roman;Times;serif"/>
          <w:sz w:val="22"/>
          <w:u w:val="single"/>
        </w:rPr>
        <w:t>Schedule 1.01(b)</w:t>
      </w:r>
      <w:r>
        <w:rPr>
          <w:rFonts w:ascii="Times New Roman;Times;serif" w:hAnsi="Times New Roman;Times;serif"/>
          <w:sz w:val="22"/>
        </w:rPr>
        <w:t>, each in its respective capacity as an issuer of Letters of Credit hereunder, or any successor issuer of Letters of Credit hereunder, but excluding any Lender that resigns or is removed as an L/C Issuer pursuant to the terms hereof (except to the extent such Person has continuing rights and/or obligations with respect to</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Letters of Credit after such resignation or removal). References to the L/C Issuer herein shall, as the context may indicate (including with respect to any particular Letter of Credit, L/C Credit Extension, L/C Borrowing or L/C Obligations), mean the applicable L/C Issuer, each L/C Issuer, any L/C Issuer, or all L/C Issuers.</w:t>
      </w:r>
    </w:p>
    <w:p>
      <w:pPr>
        <w:pStyle w:val="TextBody"/>
        <w:bidi w:val="0"/>
        <w:spacing w:before="0" w:after="240"/>
        <w:ind w:left="0" w:right="0" w:firstLine="720"/>
        <w:jc w:val="both"/>
        <w:rPr/>
      </w:pPr>
      <w:r>
        <w:rPr/>
        <w:t>“</w:t>
      </w:r>
      <w:r>
        <w:rPr>
          <w:rFonts w:ascii="Times New Roman;Times;serif" w:hAnsi="Times New Roman;Times;serif"/>
          <w:sz w:val="22"/>
          <w:u w:val="single"/>
        </w:rPr>
        <w:t>L/C Obligations</w:t>
      </w:r>
      <w:r>
        <w:rPr>
          <w:rFonts w:ascii="Times New Roman;Times;serif" w:hAnsi="Times New Roman;Times;serif"/>
          <w:sz w:val="20"/>
        </w:rPr>
        <w:t xml:space="preserve">” </w:t>
      </w:r>
      <w:r>
        <w:rPr>
          <w:rFonts w:ascii="Times New Roman;Times;serif" w:hAnsi="Times New Roman;Times;serif"/>
          <w:sz w:val="22"/>
        </w:rPr>
        <w:t xml:space="preserve">means, as at any date of determination, the aggregate amount available to be drawn under all outstanding Letters of Credit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the aggregate of all Unreimbursed Amounts, including all L/C Borrowings. For purposes of computing the amount available to be drawn under any Letter of Credit, the amount of such Letter of Credit shall be determined in accordance with </w:t>
      </w:r>
      <w:r>
        <w:rPr>
          <w:rFonts w:ascii="Times New Roman;Times;serif" w:hAnsi="Times New Roman;Times;serif"/>
          <w:sz w:val="22"/>
          <w:u w:val="single"/>
        </w:rPr>
        <w:t>Section 1.08</w:t>
      </w:r>
      <w:r>
        <w:rPr>
          <w:rFonts w:ascii="Times New Roman;Times;serif" w:hAnsi="Times New Roman;Times;serif"/>
          <w:sz w:val="22"/>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pStyle w:val="TextBody"/>
        <w:bidi w:val="0"/>
        <w:spacing w:before="0" w:after="240"/>
        <w:ind w:left="0" w:right="0" w:firstLine="720"/>
        <w:jc w:val="both"/>
        <w:rPr/>
      </w:pPr>
      <w:r>
        <w:rPr/>
        <w:t>“</w:t>
      </w:r>
      <w:r>
        <w:rPr>
          <w:rFonts w:ascii="Times New Roman;Times;serif" w:hAnsi="Times New Roman;Times;serif"/>
          <w:sz w:val="22"/>
          <w:u w:val="single"/>
        </w:rPr>
        <w:t>Laws</w:t>
      </w:r>
      <w:r>
        <w:rPr>
          <w:rFonts w:ascii="Times New Roman;Times;serif" w:hAnsi="Times New Roman;Times;serif"/>
          <w:sz w:val="20"/>
        </w:rPr>
        <w:t xml:space="preserve">” </w:t>
      </w:r>
      <w:r>
        <w:rPr>
          <w:rFonts w:ascii="Times New Roman;Times;serif" w:hAnsi="Times New Roman;Times;serif"/>
          <w:sz w:val="22"/>
        </w:rPr>
        <w:t>means, collectively, all international, foreign, Federal, state and local statutes, treaties, rules, guidelines, regulations, ordinances, codes and administrative or judicial precedents or authorities (including ERISA and Environmental Laws),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before="0" w:after="240"/>
        <w:ind w:left="0" w:right="0" w:firstLine="720"/>
        <w:jc w:val="both"/>
        <w:rPr/>
      </w:pPr>
      <w:r>
        <w:rPr/>
        <w:t>“</w:t>
      </w:r>
      <w:r>
        <w:rPr>
          <w:rFonts w:ascii="Times New Roman;Times;serif" w:hAnsi="Times New Roman;Times;serif"/>
          <w:sz w:val="22"/>
          <w:u w:val="single"/>
        </w:rPr>
        <w:t>Lender</w:t>
      </w:r>
      <w:r>
        <w:rPr>
          <w:rFonts w:ascii="Times New Roman;Times;serif" w:hAnsi="Times New Roman;Times;serif"/>
          <w:sz w:val="20"/>
        </w:rPr>
        <w:t xml:space="preserve">” </w:t>
      </w:r>
      <w:r>
        <w:rPr>
          <w:rFonts w:ascii="Times New Roman;Times;serif" w:hAnsi="Times New Roman;Times;serif"/>
          <w:sz w:val="22"/>
        </w:rPr>
        <w:t>has the meaning specified in the introductory paragraph hereto and, unless the context requires otherwise, includes all L/C Issuers and the Swing Line Lender.</w:t>
      </w:r>
    </w:p>
    <w:p>
      <w:pPr>
        <w:pStyle w:val="TextBody"/>
        <w:bidi w:val="0"/>
        <w:spacing w:before="0" w:after="240"/>
        <w:ind w:left="0" w:right="0" w:firstLine="720"/>
        <w:jc w:val="both"/>
        <w:rPr/>
      </w:pPr>
      <w:r>
        <w:rPr/>
        <w:t>“</w:t>
      </w:r>
      <w:r>
        <w:rPr>
          <w:rFonts w:ascii="Times New Roman;Times;serif" w:hAnsi="Times New Roman;Times;serif"/>
          <w:sz w:val="22"/>
          <w:u w:val="single"/>
        </w:rPr>
        <w:t>Lender Parties</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sz w:val="22"/>
          <w:u w:val="single"/>
        </w:rPr>
        <w:t>Lender Recipient Parties</w:t>
      </w:r>
      <w:r>
        <w:rPr>
          <w:rFonts w:ascii="Times New Roman;Times;serif" w:hAnsi="Times New Roman;Times;serif"/>
          <w:sz w:val="20"/>
        </w:rPr>
        <w:t xml:space="preserve">” </w:t>
      </w:r>
      <w:r>
        <w:rPr>
          <w:rFonts w:ascii="Times New Roman;Times;serif" w:hAnsi="Times New Roman;Times;serif"/>
          <w:sz w:val="22"/>
        </w:rPr>
        <w:t>mean, collectively, the Lenders, the Swing Line Lender and the L/C Issuer</w:t>
      </w:r>
      <w:r>
        <w:rPr>
          <w:rFonts w:ascii="Times New Roman;Times;serif" w:hAnsi="Times New Roman;Times;serif"/>
          <w:b/>
          <w:sz w:val="22"/>
        </w:rPr>
        <w:t>s</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Lending Office</w:t>
      </w:r>
      <w:r>
        <w:rPr>
          <w:rFonts w:ascii="Times New Roman;Times;serif" w:hAnsi="Times New Roman;Times;serif"/>
          <w:sz w:val="20"/>
        </w:rPr>
        <w:t xml:space="preserve">” </w:t>
      </w:r>
      <w:r>
        <w:rPr>
          <w:rFonts w:ascii="Times New Roman;Times;serif" w:hAnsi="Times New Roman;Times;serif"/>
          <w:sz w:val="22"/>
        </w:rPr>
        <w:t>means, as to any Lender, the office or offices of such Lender described as such in such Lender’s Administrative Questionnaire, or such other office or offices as a Lender may from time to time notify the Company and the Administrative Agent, which office may include any Affiliate of such Lender or any domestic or foreign branch of such Lender or such Affiliate. Unless the context otherwise requires each reference to a Lender shall include its applicable Lending Office.</w:t>
      </w:r>
    </w:p>
    <w:p>
      <w:pPr>
        <w:pStyle w:val="TextBody"/>
        <w:bidi w:val="0"/>
        <w:spacing w:before="0" w:after="240"/>
        <w:ind w:left="0" w:right="0" w:firstLine="720"/>
        <w:jc w:val="both"/>
        <w:rPr/>
      </w:pPr>
      <w:r>
        <w:rPr/>
        <w:t>“</w:t>
      </w:r>
      <w:r>
        <w:rPr>
          <w:rFonts w:ascii="Times New Roman;Times;serif" w:hAnsi="Times New Roman;Times;serif"/>
          <w:sz w:val="22"/>
          <w:u w:val="single"/>
        </w:rPr>
        <w:t>Letter of Credit</w:t>
      </w:r>
      <w:r>
        <w:rPr>
          <w:rFonts w:ascii="Times New Roman;Times;serif" w:hAnsi="Times New Roman;Times;serif"/>
          <w:sz w:val="20"/>
        </w:rPr>
        <w:t xml:space="preserve">” </w:t>
      </w:r>
      <w:r>
        <w:rPr>
          <w:rFonts w:ascii="Times New Roman;Times;serif" w:hAnsi="Times New Roman;Times;serif"/>
          <w:sz w:val="22"/>
        </w:rPr>
        <w:t>means any letter of credit issued hereunder and shall include the Existing Letters of Credit. A Letter of Credit may be a commercial letter of credit or a standby letter of credit. All Letters of Credit shall be issued in Dollars.</w:t>
      </w:r>
    </w:p>
    <w:p>
      <w:pPr>
        <w:pStyle w:val="TextBody"/>
        <w:bidi w:val="0"/>
        <w:spacing w:before="0" w:after="240"/>
        <w:ind w:left="0" w:right="0" w:firstLine="720"/>
        <w:jc w:val="both"/>
        <w:rPr/>
      </w:pPr>
      <w:r>
        <w:rPr/>
        <w:t>“</w:t>
      </w:r>
      <w:r>
        <w:rPr>
          <w:rFonts w:ascii="Times New Roman;Times;serif" w:hAnsi="Times New Roman;Times;serif"/>
          <w:sz w:val="22"/>
          <w:u w:val="single"/>
        </w:rPr>
        <w:t>Letter of Credit Application</w:t>
      </w:r>
      <w:r>
        <w:rPr>
          <w:rFonts w:ascii="Times New Roman;Times;serif" w:hAnsi="Times New Roman;Times;serif"/>
          <w:sz w:val="20"/>
        </w:rPr>
        <w:t xml:space="preserve">” </w:t>
      </w:r>
      <w:r>
        <w:rPr>
          <w:rFonts w:ascii="Times New Roman;Times;serif" w:hAnsi="Times New Roman;Times;serif"/>
          <w:sz w:val="22"/>
        </w:rPr>
        <w:t>means an application and agreement for the issuance or amendment of a Letter of Credit by an L/C Issuer in the form from time to time in use by such L/C Issuer.</w:t>
      </w:r>
    </w:p>
    <w:p>
      <w:pPr>
        <w:pStyle w:val="TextBody"/>
        <w:bidi w:val="0"/>
        <w:spacing w:before="0" w:after="240"/>
        <w:ind w:left="0" w:right="0" w:firstLine="720"/>
        <w:jc w:val="both"/>
        <w:rPr/>
      </w:pPr>
      <w:r>
        <w:rPr/>
        <w:t>“</w:t>
      </w:r>
      <w:r>
        <w:rPr>
          <w:rFonts w:ascii="Times New Roman;Times;serif" w:hAnsi="Times New Roman;Times;serif"/>
          <w:sz w:val="22"/>
          <w:u w:val="single"/>
        </w:rPr>
        <w:t>Letter of Credit Commitment</w:t>
      </w:r>
      <w:r>
        <w:rPr>
          <w:rFonts w:ascii="Times New Roman;Times;serif" w:hAnsi="Times New Roman;Times;serif"/>
          <w:sz w:val="20"/>
        </w:rPr>
        <w:t xml:space="preserve">” </w:t>
      </w:r>
      <w:r>
        <w:rPr>
          <w:rFonts w:ascii="Times New Roman;Times;serif" w:hAnsi="Times New Roman;Times;serif"/>
          <w:sz w:val="22"/>
        </w:rPr>
        <w:t xml:space="preserve">means, as to any L/C Issuer at any time, the amount set forth on </w:t>
      </w:r>
      <w:r>
        <w:rPr>
          <w:rFonts w:ascii="Times New Roman;Times;serif" w:hAnsi="Times New Roman;Times;serif"/>
          <w:sz w:val="22"/>
          <w:u w:val="single"/>
        </w:rPr>
        <w:t>Schedule 1.01(b)</w:t>
      </w:r>
      <w:r>
        <w:rPr>
          <w:rFonts w:ascii="Times New Roman;Times;serif" w:hAnsi="Times New Roman;Times;serif"/>
          <w:sz w:val="20"/>
        </w:rPr>
        <w:t xml:space="preserve"> </w:t>
      </w:r>
      <w:r>
        <w:rPr>
          <w:rFonts w:ascii="Times New Roman;Times;serif" w:hAnsi="Times New Roman;Times;serif"/>
          <w:sz w:val="22"/>
        </w:rPr>
        <w:t xml:space="preserve">(as such schedule may be updated from time to time pursuant to </w:t>
      </w:r>
      <w:r>
        <w:rPr>
          <w:rFonts w:ascii="Times New Roman;Times;serif" w:hAnsi="Times New Roman;Times;serif"/>
          <w:sz w:val="22"/>
          <w:u w:val="single"/>
        </w:rPr>
        <w:t>Section 2.03</w:t>
      </w:r>
      <w:r>
        <w:rPr>
          <w:rFonts w:ascii="Times New Roman;Times;serif" w:hAnsi="Times New Roman;Times;serif"/>
          <w:sz w:val="20"/>
        </w:rPr>
        <w:t xml:space="preserve"> </w:t>
      </w:r>
      <w:r>
        <w:rPr>
          <w:rFonts w:ascii="Times New Roman;Times;serif" w:hAnsi="Times New Roman;Times;serif"/>
          <w:sz w:val="22"/>
        </w:rPr>
        <w:t xml:space="preserve">or otherwise, which update shall be provided to the Administrative Agent for incorporation into such updated </w:t>
      </w:r>
      <w:r>
        <w:rPr>
          <w:rFonts w:ascii="Times New Roman;Times;serif" w:hAnsi="Times New Roman;Times;serif"/>
          <w:sz w:val="22"/>
          <w:u w:val="single"/>
        </w:rPr>
        <w:t>Schedule 1.01(b)</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Letter of Credit Expiration Date</w:t>
      </w:r>
      <w:r>
        <w:rPr>
          <w:rFonts w:ascii="Times New Roman;Times;serif" w:hAnsi="Times New Roman;Times;serif"/>
          <w:sz w:val="20"/>
        </w:rPr>
        <w:t xml:space="preserve">” </w:t>
      </w:r>
      <w:r>
        <w:rPr>
          <w:rFonts w:ascii="Times New Roman;Times;serif" w:hAnsi="Times New Roman;Times;serif"/>
          <w:sz w:val="22"/>
        </w:rPr>
        <w:t>means the day that is seven days prior to the Maturity Date then in effect (or, if such day is not a Business Day, the next preceding Business Day).</w:t>
      </w:r>
    </w:p>
    <w:p>
      <w:pPr>
        <w:pStyle w:val="TextBody"/>
        <w:bidi w:val="0"/>
        <w:spacing w:before="0" w:after="240"/>
        <w:ind w:left="0" w:right="0" w:firstLine="720"/>
        <w:jc w:val="both"/>
        <w:rPr/>
      </w:pPr>
      <w:r>
        <w:rPr/>
        <w:t>“</w:t>
      </w:r>
      <w:r>
        <w:rPr>
          <w:rFonts w:ascii="Times New Roman;Times;serif" w:hAnsi="Times New Roman;Times;serif"/>
          <w:sz w:val="22"/>
          <w:u w:val="single"/>
        </w:rPr>
        <w:t>Letter of Credit Fee</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2.03(h)</w:t>
      </w:r>
      <w:r>
        <w:rPr>
          <w:rFonts w:ascii="Times New Roman;Times;serif" w:hAnsi="Times New Roman;Times;serif"/>
          <w:sz w:val="22"/>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Letter of Credit Report</w:t>
      </w:r>
      <w:r>
        <w:rPr>
          <w:rFonts w:ascii="Times New Roman;Times;serif" w:hAnsi="Times New Roman;Times;serif"/>
          <w:sz w:val="20"/>
        </w:rPr>
        <w:t xml:space="preserve">” </w:t>
      </w:r>
      <w:r>
        <w:rPr>
          <w:rFonts w:ascii="Times New Roman;Times;serif" w:hAnsi="Times New Roman;Times;serif"/>
          <w:sz w:val="22"/>
        </w:rPr>
        <w:t xml:space="preserve">means a certificate substantially the form of </w:t>
      </w:r>
      <w:r>
        <w:rPr>
          <w:rFonts w:ascii="Times New Roman;Times;serif" w:hAnsi="Times New Roman;Times;serif"/>
          <w:sz w:val="22"/>
          <w:u w:val="single"/>
        </w:rPr>
        <w:t>Exhibit J</w:t>
      </w:r>
      <w:r>
        <w:rPr>
          <w:rFonts w:ascii="Times New Roman;Times;serif" w:hAnsi="Times New Roman;Times;serif"/>
          <w:sz w:val="20"/>
        </w:rPr>
        <w:t xml:space="preserve"> </w:t>
      </w:r>
      <w:r>
        <w:rPr>
          <w:rFonts w:ascii="Times New Roman;Times;serif" w:hAnsi="Times New Roman;Times;serif"/>
          <w:sz w:val="22"/>
        </w:rPr>
        <w:t>or any other form approved by the Administrative Agent.</w:t>
      </w:r>
    </w:p>
    <w:p>
      <w:pPr>
        <w:pStyle w:val="TextBody"/>
        <w:bidi w:val="0"/>
        <w:spacing w:before="0" w:after="240"/>
        <w:ind w:left="0" w:right="0" w:firstLine="720"/>
        <w:jc w:val="both"/>
        <w:rPr/>
      </w:pPr>
      <w:r>
        <w:rPr/>
        <w:t>“</w:t>
      </w:r>
      <w:r>
        <w:rPr>
          <w:rFonts w:ascii="Times New Roman;Times;serif" w:hAnsi="Times New Roman;Times;serif"/>
          <w:sz w:val="22"/>
          <w:u w:val="single"/>
        </w:rPr>
        <w:t>Letter of Credit Sublimit</w:t>
      </w:r>
      <w:r>
        <w:rPr>
          <w:rFonts w:ascii="Times New Roman;Times;serif" w:hAnsi="Times New Roman;Times;serif"/>
          <w:sz w:val="20"/>
        </w:rPr>
        <w:t xml:space="preserve">” </w:t>
      </w:r>
      <w:r>
        <w:rPr>
          <w:rFonts w:ascii="Times New Roman;Times;serif" w:hAnsi="Times New Roman;Times;serif"/>
          <w:sz w:val="22"/>
        </w:rPr>
        <w:t xml:space="preserve">means (a) an aggregate amount equal to the lesser of (i) $200,000,000, and (ii) the Aggregate Commitments and (b) as to any L/C Issuer at any time, the amount set forth on </w:t>
      </w:r>
      <w:r>
        <w:rPr>
          <w:rFonts w:ascii="Times New Roman;Times;serif" w:hAnsi="Times New Roman;Times;serif"/>
          <w:sz w:val="22"/>
          <w:u w:val="single"/>
        </w:rPr>
        <w:t>Schedule 1.01(b)</w:t>
      </w:r>
      <w:r>
        <w:rPr>
          <w:rFonts w:ascii="Times New Roman;Times;serif" w:hAnsi="Times New Roman;Times;serif"/>
          <w:sz w:val="20"/>
        </w:rPr>
        <w:t xml:space="preserve"> </w:t>
      </w:r>
      <w:r>
        <w:rPr>
          <w:rFonts w:ascii="Times New Roman;Times;serif" w:hAnsi="Times New Roman;Times;serif"/>
          <w:sz w:val="22"/>
        </w:rPr>
        <w:t xml:space="preserve">(as such schedule may be updated from time to time pursuant to </w:t>
      </w:r>
      <w:r>
        <w:rPr>
          <w:rFonts w:ascii="Times New Roman;Times;serif" w:hAnsi="Times New Roman;Times;serif"/>
          <w:sz w:val="22"/>
          <w:u w:val="single"/>
        </w:rPr>
        <w:t>Section 2.03</w:t>
      </w:r>
      <w:r>
        <w:rPr>
          <w:rFonts w:ascii="Times New Roman;Times;serif" w:hAnsi="Times New Roman;Times;serif"/>
          <w:sz w:val="20"/>
        </w:rPr>
        <w:t xml:space="preserve"> </w:t>
      </w:r>
      <w:r>
        <w:rPr>
          <w:rFonts w:ascii="Times New Roman;Times;serif" w:hAnsi="Times New Roman;Times;serif"/>
          <w:sz w:val="22"/>
        </w:rPr>
        <w:t xml:space="preserve">or otherwise, which update shall be provided to the Administrative Agent for incorporation into such updated </w:t>
      </w:r>
      <w:r>
        <w:rPr>
          <w:rFonts w:ascii="Times New Roman;Times;serif" w:hAnsi="Times New Roman;Times;serif"/>
          <w:sz w:val="22"/>
          <w:u w:val="single"/>
        </w:rPr>
        <w:t>Schedule 1.01(b)</w:t>
      </w:r>
      <w:r>
        <w:rPr>
          <w:rFonts w:ascii="Times New Roman;Times;serif" w:hAnsi="Times New Roman;Times;serif"/>
          <w:sz w:val="22"/>
        </w:rPr>
        <w:t>). The Letter of Credit Sublimit is part of, and not in addition to, the Aggregate Commitments.</w:t>
      </w:r>
    </w:p>
    <w:p>
      <w:pPr>
        <w:pStyle w:val="TextBody"/>
        <w:bidi w:val="0"/>
        <w:spacing w:before="0" w:after="240"/>
        <w:ind w:left="0" w:right="0" w:firstLine="720"/>
        <w:jc w:val="both"/>
        <w:rPr/>
      </w:pPr>
      <w:r>
        <w:rPr/>
        <w:t>“</w:t>
      </w:r>
      <w:r>
        <w:rPr>
          <w:rFonts w:ascii="Times New Roman;Times;serif" w:hAnsi="Times New Roman;Times;serif"/>
          <w:sz w:val="22"/>
          <w:u w:val="single"/>
        </w:rPr>
        <w:t>Lien</w:t>
      </w:r>
      <w:r>
        <w:rPr>
          <w:rFonts w:ascii="Times New Roman;Times;serif" w:hAnsi="Times New Roman;Times;serif"/>
          <w:sz w:val="20"/>
        </w:rPr>
        <w:t xml:space="preserve">” </w:t>
      </w:r>
      <w:r>
        <w:rPr>
          <w:rFonts w:ascii="Times New Roman;Times;serif" w:hAnsi="Times New Roman;Times;serif"/>
          <w:sz w:val="22"/>
        </w:rPr>
        <w:t>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pStyle w:val="TextBody"/>
        <w:bidi w:val="0"/>
        <w:spacing w:before="0" w:after="240"/>
        <w:ind w:left="0" w:right="0" w:firstLine="720"/>
        <w:jc w:val="both"/>
        <w:rPr/>
      </w:pPr>
      <w:r>
        <w:rPr/>
        <w:t>“</w:t>
      </w:r>
      <w:r>
        <w:rPr>
          <w:rFonts w:ascii="Times New Roman;Times;serif" w:hAnsi="Times New Roman;Times;serif"/>
          <w:sz w:val="22"/>
          <w:u w:val="single"/>
        </w:rPr>
        <w:t>Loan</w:t>
      </w:r>
      <w:r>
        <w:rPr>
          <w:rFonts w:ascii="Times New Roman;Times;serif" w:hAnsi="Times New Roman;Times;serif"/>
          <w:sz w:val="20"/>
        </w:rPr>
        <w:t xml:space="preserve">” </w:t>
      </w:r>
      <w:r>
        <w:rPr>
          <w:rFonts w:ascii="Times New Roman;Times;serif" w:hAnsi="Times New Roman;Times;serif"/>
          <w:sz w:val="22"/>
        </w:rPr>
        <w:t xml:space="preserve">means an extension of credit by a Lender to a Borrower under </w:t>
      </w:r>
      <w:r>
        <w:rPr>
          <w:rFonts w:ascii="Times New Roman;Times;serif" w:hAnsi="Times New Roman;Times;serif"/>
          <w:sz w:val="22"/>
          <w:u w:val="single"/>
        </w:rPr>
        <w:t>Article II</w:t>
      </w:r>
      <w:r>
        <w:rPr>
          <w:rFonts w:ascii="Times New Roman;Times;serif" w:hAnsi="Times New Roman;Times;serif"/>
          <w:sz w:val="20"/>
        </w:rPr>
        <w:t xml:space="preserve"> </w:t>
      </w:r>
      <w:r>
        <w:rPr>
          <w:rFonts w:ascii="Times New Roman;Times;serif" w:hAnsi="Times New Roman;Times;serif"/>
          <w:sz w:val="22"/>
        </w:rPr>
        <w:t>in the form of a Committed Loan or a Swing Line Loan.</w:t>
      </w:r>
    </w:p>
    <w:p>
      <w:pPr>
        <w:pStyle w:val="TextBody"/>
        <w:bidi w:val="0"/>
        <w:spacing w:before="0" w:after="240"/>
        <w:ind w:left="0" w:right="0" w:firstLine="720"/>
        <w:jc w:val="both"/>
        <w:rPr/>
      </w:pPr>
      <w:r>
        <w:rPr/>
        <w:t>“</w:t>
      </w:r>
      <w:r>
        <w:rPr>
          <w:rFonts w:ascii="Times New Roman;Times;serif" w:hAnsi="Times New Roman;Times;serif"/>
          <w:sz w:val="22"/>
          <w:u w:val="single"/>
        </w:rPr>
        <w:t>Loan Documents</w:t>
      </w:r>
      <w:r>
        <w:rPr>
          <w:rFonts w:ascii="Times New Roman;Times;serif" w:hAnsi="Times New Roman;Times;serif"/>
          <w:sz w:val="20"/>
        </w:rPr>
        <w:t xml:space="preserve">” </w:t>
      </w:r>
      <w:r>
        <w:rPr>
          <w:rFonts w:ascii="Times New Roman;Times;serif" w:hAnsi="Times New Roman;Times;serif"/>
          <w:sz w:val="22"/>
        </w:rPr>
        <w:t xml:space="preserve">means this Agreement, each Designated Borrower Request and Assumption Agreement, each Note, each Issuer Document, any agreement creating or perfecting rights in Cash Collateral pursuant to the provisions of </w:t>
      </w:r>
      <w:r>
        <w:rPr>
          <w:rFonts w:ascii="Times New Roman;Times;serif" w:hAnsi="Times New Roman;Times;serif"/>
          <w:sz w:val="22"/>
          <w:u w:val="single"/>
        </w:rPr>
        <w:t>Section 2.16</w:t>
      </w:r>
      <w:r>
        <w:rPr>
          <w:rFonts w:ascii="Times New Roman;Times;serif" w:hAnsi="Times New Roman;Times;serif"/>
          <w:sz w:val="20"/>
        </w:rPr>
        <w:t xml:space="preserve"> </w:t>
      </w:r>
      <w:r>
        <w:rPr>
          <w:rFonts w:ascii="Times New Roman;Times;serif" w:hAnsi="Times New Roman;Times;serif"/>
          <w:sz w:val="22"/>
        </w:rPr>
        <w:t>of this Agreement, the Fee Letters and the Guaranty.</w:t>
      </w:r>
    </w:p>
    <w:p>
      <w:pPr>
        <w:pStyle w:val="TextBody"/>
        <w:bidi w:val="0"/>
        <w:spacing w:before="0" w:after="240"/>
        <w:ind w:left="0" w:right="0" w:firstLine="720"/>
        <w:jc w:val="both"/>
        <w:rPr/>
      </w:pPr>
      <w:r>
        <w:rPr/>
        <w:t>“</w:t>
      </w:r>
      <w:r>
        <w:rPr>
          <w:rFonts w:ascii="Times New Roman;Times;serif" w:hAnsi="Times New Roman;Times;serif"/>
          <w:sz w:val="22"/>
          <w:u w:val="single"/>
        </w:rPr>
        <w:t>Loan Parties</w:t>
      </w:r>
      <w:r>
        <w:rPr>
          <w:rFonts w:ascii="Times New Roman;Times;serif" w:hAnsi="Times New Roman;Times;serif"/>
          <w:sz w:val="20"/>
        </w:rPr>
        <w:t xml:space="preserve">” </w:t>
      </w:r>
      <w:r>
        <w:rPr>
          <w:rFonts w:ascii="Times New Roman;Times;serif" w:hAnsi="Times New Roman;Times;serif"/>
          <w:sz w:val="22"/>
        </w:rPr>
        <w:t>means, collectively, the Company and each Designated Borrower.</w:t>
      </w:r>
    </w:p>
    <w:p>
      <w:pPr>
        <w:pStyle w:val="TextBody"/>
        <w:bidi w:val="0"/>
        <w:spacing w:before="0" w:after="240"/>
        <w:ind w:left="0" w:right="0" w:firstLine="720"/>
        <w:jc w:val="both"/>
        <w:rPr/>
      </w:pPr>
      <w:r>
        <w:rPr/>
        <w:t>“</w:t>
      </w:r>
      <w:r>
        <w:rPr>
          <w:rFonts w:ascii="Times New Roman;Times;serif" w:hAnsi="Times New Roman;Times;serif"/>
          <w:sz w:val="22"/>
          <w:u w:val="single"/>
        </w:rPr>
        <w:t>Material Adverse Effect</w:t>
      </w:r>
      <w:r>
        <w:rPr>
          <w:rFonts w:ascii="Times New Roman;Times;serif" w:hAnsi="Times New Roman;Times;serif"/>
          <w:sz w:val="20"/>
        </w:rPr>
        <w:t xml:space="preserve">” </w:t>
      </w:r>
      <w:r>
        <w:rPr>
          <w:rFonts w:ascii="Times New Roman;Times;serif" w:hAnsi="Times New Roman;Times;serif"/>
          <w:sz w:val="22"/>
        </w:rPr>
        <w:t>means (a) a material adverse change in, or a material adverse effect upon, the operations, business, properties or financial condition of the Company and its Subsidiaries taken as a whole; (b) a material impairment of the ability of the Company to perform its obligations under the respective Loan Documents to which it is a party; (c) a material adverse effect upon the rights or remedies of the Administrative Agent or any Lender under the Loan Documents; or (d) a material adverse effect upon the legality, validity, binding effect or enforceability against any Loan Party of the Loan Documents to which it is a party, taken as a whole.</w:t>
      </w:r>
    </w:p>
    <w:p>
      <w:pPr>
        <w:pStyle w:val="TextBody"/>
        <w:bidi w:val="0"/>
        <w:spacing w:before="0" w:after="240"/>
        <w:ind w:left="0" w:right="0" w:firstLine="720"/>
        <w:jc w:val="both"/>
        <w:rPr/>
      </w:pPr>
      <w:r>
        <w:rPr/>
        <w:t>“</w:t>
      </w:r>
      <w:r>
        <w:rPr>
          <w:rFonts w:ascii="Times New Roman;Times;serif" w:hAnsi="Times New Roman;Times;serif"/>
          <w:sz w:val="22"/>
          <w:u w:val="single"/>
        </w:rPr>
        <w:t>Material Subsidiary</w:t>
      </w:r>
      <w:r>
        <w:rPr>
          <w:rFonts w:ascii="Times New Roman;Times;serif" w:hAnsi="Times New Roman;Times;serif"/>
          <w:sz w:val="20"/>
        </w:rPr>
        <w:t xml:space="preserve">” </w:t>
      </w:r>
      <w:r>
        <w:rPr>
          <w:rFonts w:ascii="Times New Roman;Times;serif" w:hAnsi="Times New Roman;Times;serif"/>
          <w:sz w:val="22"/>
        </w:rPr>
        <w:t>means, at any time, any Subsidiary which had total revenues in the four fiscal quarter period most recently ended in excess of 5% of the total revenues of the Company and its Subsidiaries on a consolidated basis.</w:t>
      </w:r>
    </w:p>
    <w:p>
      <w:pPr>
        <w:pStyle w:val="TextBody"/>
        <w:bidi w:val="0"/>
        <w:spacing w:before="0" w:after="240"/>
        <w:ind w:left="0" w:right="0" w:firstLine="720"/>
        <w:jc w:val="both"/>
        <w:rPr/>
      </w:pPr>
      <w:r>
        <w:rPr/>
        <w:t>“</w:t>
      </w:r>
      <w:r>
        <w:rPr>
          <w:rFonts w:ascii="Times New Roman;Times;serif" w:hAnsi="Times New Roman;Times;serif"/>
          <w:sz w:val="22"/>
          <w:u w:val="single"/>
        </w:rPr>
        <w:t>Maturity Date</w:t>
      </w:r>
      <w:r>
        <w:rPr>
          <w:rFonts w:ascii="Times New Roman;Times;serif" w:hAnsi="Times New Roman;Times;serif"/>
          <w:sz w:val="20"/>
        </w:rPr>
        <w:t xml:space="preserve">” </w:t>
      </w:r>
      <w:r>
        <w:rPr>
          <w:rFonts w:ascii="Times New Roman;Times;serif" w:hAnsi="Times New Roman;Times;serif"/>
          <w:sz w:val="22"/>
        </w:rPr>
        <w:t xml:space="preserve">means January 17, 2030;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if such date is not a Business Day, the Maturity Date shall be the immediately preceding Business Day.</w:t>
      </w:r>
    </w:p>
    <w:p>
      <w:pPr>
        <w:pStyle w:val="TextBody"/>
        <w:bidi w:val="0"/>
        <w:spacing w:before="0" w:after="240"/>
        <w:ind w:left="0" w:right="0" w:firstLine="720"/>
        <w:jc w:val="both"/>
        <w:rPr/>
      </w:pPr>
      <w:r>
        <w:rPr/>
        <w:t>“</w:t>
      </w:r>
      <w:r>
        <w:rPr>
          <w:rFonts w:ascii="Times New Roman;Times;serif" w:hAnsi="Times New Roman;Times;serif"/>
          <w:sz w:val="22"/>
          <w:u w:val="single"/>
        </w:rPr>
        <w:t>Maximum Aggregate Commitment Increase</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2.15(a)</w:t>
      </w:r>
      <w:r>
        <w:rPr>
          <w:rFonts w:ascii="Times New Roman;Times;serif" w:hAnsi="Times New Roman;Times;serif"/>
          <w:sz w:val="22"/>
        </w:rPr>
        <w:t xml:space="preserve">. </w:t>
      </w:r>
    </w:p>
    <w:p>
      <w:pPr>
        <w:pStyle w:val="TextBody"/>
        <w:bidi w:val="0"/>
        <w:spacing w:before="0" w:after="240"/>
        <w:ind w:left="0" w:right="0" w:firstLine="720"/>
        <w:jc w:val="both"/>
        <w:rPr/>
      </w:pPr>
      <w:r>
        <w:rPr/>
        <w:t>“</w:t>
      </w:r>
      <w:r>
        <w:rPr>
          <w:rFonts w:ascii="Times New Roman;Times;serif" w:hAnsi="Times New Roman;Times;serif"/>
          <w:sz w:val="22"/>
          <w:u w:val="single"/>
        </w:rPr>
        <w:t>Maximum Rate</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10.09.</w:t>
      </w:r>
    </w:p>
    <w:p>
      <w:pPr>
        <w:pStyle w:val="TextBody"/>
        <w:bidi w:val="0"/>
        <w:spacing w:before="0" w:after="240"/>
        <w:ind w:left="0" w:right="0" w:firstLine="720"/>
        <w:jc w:val="both"/>
        <w:rPr/>
      </w:pPr>
      <w:r>
        <w:rPr/>
        <w:t>“</w:t>
      </w:r>
      <w:r>
        <w:rPr>
          <w:rFonts w:ascii="Times New Roman;Times;serif" w:hAnsi="Times New Roman;Times;serif"/>
          <w:sz w:val="22"/>
          <w:u w:val="single"/>
        </w:rPr>
        <w:t>MNPI</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6.02</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Moody’s</w:t>
      </w:r>
      <w:r>
        <w:rPr>
          <w:rFonts w:ascii="Times New Roman;Times;serif" w:hAnsi="Times New Roman;Times;serif"/>
          <w:sz w:val="20"/>
        </w:rPr>
        <w:t xml:space="preserve">” </w:t>
      </w:r>
      <w:r>
        <w:rPr>
          <w:rFonts w:ascii="Times New Roman;Times;serif" w:hAnsi="Times New Roman;Times;serif"/>
          <w:sz w:val="22"/>
        </w:rPr>
        <w:t xml:space="preserve">means Moody’s </w:t>
      </w:r>
      <w:r>
        <w:rPr>
          <w:rFonts w:ascii="Times New Roman;Times;serif" w:hAnsi="Times New Roman;Times;serif"/>
          <w:color w:val="FF0000"/>
          <w:sz w:val="22"/>
        </w:rPr>
        <w:t>Investors Service, Inc.</w:t>
      </w:r>
      <w:r>
        <w:rPr>
          <w:rFonts w:ascii="Times New Roman;Times;serif" w:hAnsi="Times New Roman;Times;serif"/>
          <w:color w:val="0000FF"/>
          <w:sz w:val="22"/>
          <w:u w:val="single"/>
        </w:rPr>
        <w:t>Ratings</w:t>
      </w:r>
      <w:r>
        <w:rPr>
          <w:rFonts w:ascii="Times New Roman;Times;serif" w:hAnsi="Times New Roman;Times;serif"/>
          <w:sz w:val="20"/>
        </w:rPr>
        <w:t xml:space="preserve"> </w:t>
      </w:r>
      <w:r>
        <w:rPr>
          <w:rFonts w:ascii="Times New Roman;Times;serif" w:hAnsi="Times New Roman;Times;serif"/>
          <w:sz w:val="22"/>
        </w:rPr>
        <w:t>and any successor thereto.</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firstLine="720"/>
        <w:jc w:val="both"/>
        <w:rPr/>
      </w:pPr>
      <w:r>
        <w:rPr/>
        <w:t>“</w:t>
      </w:r>
      <w:r>
        <w:rPr>
          <w:rFonts w:ascii="Times New Roman;Times;serif" w:hAnsi="Times New Roman;Times;serif"/>
          <w:sz w:val="22"/>
          <w:u w:val="single"/>
        </w:rPr>
        <w:t>MUFG</w:t>
      </w:r>
      <w:r>
        <w:rPr>
          <w:rFonts w:ascii="Times New Roman;Times;serif" w:hAnsi="Times New Roman;Times;serif"/>
          <w:sz w:val="20"/>
        </w:rPr>
        <w:t xml:space="preserve">” </w:t>
      </w:r>
      <w:r>
        <w:rPr>
          <w:rFonts w:ascii="Times New Roman;Times;serif" w:hAnsi="Times New Roman;Times;serif"/>
          <w:sz w:val="22"/>
        </w:rPr>
        <w:t>means MUFG Bank, Ltd., MUFG Union Bank, N.A., MUFG Securities Americas Inc. and/or any of their affiliates as MUFG shall determine to be appropriate to provide the services contemplated herein.</w:t>
      </w:r>
    </w:p>
    <w:p>
      <w:pPr>
        <w:pStyle w:val="TextBody"/>
        <w:bidi w:val="0"/>
        <w:spacing w:before="0" w:after="240"/>
        <w:ind w:left="0" w:right="0" w:firstLine="720"/>
        <w:jc w:val="both"/>
        <w:rPr/>
      </w:pPr>
      <w:r>
        <w:rPr/>
        <w:t>“</w:t>
      </w:r>
      <w:r>
        <w:rPr>
          <w:rFonts w:ascii="Times New Roman;Times;serif" w:hAnsi="Times New Roman;Times;serif"/>
          <w:sz w:val="22"/>
          <w:u w:val="single"/>
        </w:rPr>
        <w:t>Multiemployer Plan</w:t>
      </w:r>
      <w:r>
        <w:rPr>
          <w:rFonts w:ascii="Times New Roman;Times;serif" w:hAnsi="Times New Roman;Times;serif"/>
          <w:sz w:val="20"/>
        </w:rPr>
        <w:t xml:space="preserve">” </w:t>
      </w:r>
      <w:r>
        <w:rPr>
          <w:rFonts w:ascii="Times New Roman;Times;serif" w:hAnsi="Times New Roman;Times;serif"/>
          <w:sz w:val="22"/>
        </w:rPr>
        <w:t>means any employee benefit plan of the type described in Section 4001(a)(3) of ERISA, to which the Company or any ERISA Affiliate makes or is obligated to make contributions, or during the preceding five plan years, has made or been obligated to make contributions.</w:t>
      </w:r>
    </w:p>
    <w:p>
      <w:pPr>
        <w:pStyle w:val="TextBody"/>
        <w:bidi w:val="0"/>
        <w:spacing w:before="0" w:after="240"/>
        <w:ind w:left="0" w:right="0" w:firstLine="720"/>
        <w:jc w:val="both"/>
        <w:rPr/>
      </w:pPr>
      <w:r>
        <w:rPr/>
        <w:t>“</w:t>
      </w:r>
      <w:r>
        <w:rPr>
          <w:rFonts w:ascii="Times New Roman;Times;serif" w:hAnsi="Times New Roman;Times;serif"/>
          <w:sz w:val="22"/>
          <w:u w:val="single"/>
        </w:rPr>
        <w:t>Multiple Employer Plan</w:t>
      </w:r>
      <w:r>
        <w:rPr>
          <w:rFonts w:ascii="Times New Roman;Times;serif" w:hAnsi="Times New Roman;Times;serif"/>
          <w:sz w:val="20"/>
        </w:rPr>
        <w:t xml:space="preserve">” </w:t>
      </w:r>
      <w:r>
        <w:rPr>
          <w:rFonts w:ascii="Times New Roman;Times;serif" w:hAnsi="Times New Roman;Times;serif"/>
          <w:sz w:val="22"/>
        </w:rPr>
        <w:t>means a Plan which has two or more contributing sponsors (including the Company or any ERISA Affiliate) at least two of whom are not under common control, as such a plan is described in Section 4064 of ERISA.</w:t>
      </w:r>
    </w:p>
    <w:p>
      <w:pPr>
        <w:pStyle w:val="TextBody"/>
        <w:bidi w:val="0"/>
        <w:spacing w:before="0" w:after="240"/>
        <w:ind w:left="0" w:right="0" w:firstLine="720"/>
        <w:jc w:val="both"/>
        <w:rPr/>
      </w:pPr>
      <w:r>
        <w:rPr/>
        <w:t>“</w:t>
      </w:r>
      <w:r>
        <w:rPr>
          <w:rFonts w:ascii="Times New Roman;Times;serif" w:hAnsi="Times New Roman;Times;serif"/>
          <w:sz w:val="22"/>
          <w:u w:val="single"/>
        </w:rPr>
        <w:t>Non-Consenting Lender</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10.13</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Non-Defaulting Lender</w:t>
      </w:r>
      <w:r>
        <w:rPr>
          <w:rFonts w:ascii="Times New Roman;Times;serif" w:hAnsi="Times New Roman;Times;serif"/>
          <w:sz w:val="20"/>
        </w:rPr>
        <w:t xml:space="preserve">” </w:t>
      </w:r>
      <w:r>
        <w:rPr>
          <w:rFonts w:ascii="Times New Roman;Times;serif" w:hAnsi="Times New Roman;Times;serif"/>
          <w:sz w:val="22"/>
        </w:rPr>
        <w:t>means, at any time, each Lender that is not a Defaulting Lender at such time.</w:t>
      </w:r>
    </w:p>
    <w:p>
      <w:pPr>
        <w:pStyle w:val="TextBody"/>
        <w:bidi w:val="0"/>
        <w:spacing w:before="0" w:after="240"/>
        <w:ind w:left="0" w:right="0" w:firstLine="720"/>
        <w:jc w:val="both"/>
        <w:rPr/>
      </w:pPr>
      <w:r>
        <w:rPr/>
        <w:t>“</w:t>
      </w:r>
      <w:r>
        <w:rPr>
          <w:rFonts w:ascii="Times New Roman;Times;serif" w:hAnsi="Times New Roman;Times;serif"/>
          <w:sz w:val="22"/>
          <w:u w:val="single"/>
        </w:rPr>
        <w:t>Non-Extension Notice Date</w:t>
      </w:r>
      <w:r>
        <w:rPr>
          <w:rFonts w:ascii="Times New Roman;Times;serif" w:hAnsi="Times New Roman;Times;serif"/>
          <w:sz w:val="20"/>
        </w:rPr>
        <w:t xml:space="preserve">” </w:t>
      </w:r>
      <w:r>
        <w:rPr>
          <w:rFonts w:ascii="Times New Roman;Times;serif" w:hAnsi="Times New Roman;Times;serif"/>
          <w:sz w:val="22"/>
        </w:rPr>
        <w:t xml:space="preserve">has the meaning set forth in </w:t>
      </w:r>
      <w:r>
        <w:rPr>
          <w:rFonts w:ascii="Times New Roman;Times;serif" w:hAnsi="Times New Roman;Times;serif"/>
          <w:sz w:val="22"/>
          <w:u w:val="single"/>
        </w:rPr>
        <w:t>Section 2.03(b)(iii)</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Non-Material Subsidiary</w:t>
      </w:r>
      <w:r>
        <w:rPr>
          <w:rFonts w:ascii="Times New Roman;Times;serif" w:hAnsi="Times New Roman;Times;serif"/>
          <w:sz w:val="20"/>
        </w:rPr>
        <w:t xml:space="preserve">” </w:t>
      </w:r>
      <w:r>
        <w:rPr>
          <w:rFonts w:ascii="Times New Roman;Times;serif" w:hAnsi="Times New Roman;Times;serif"/>
          <w:sz w:val="22"/>
        </w:rPr>
        <w:t>means any Subsidiary which is not a Material Subsidiary or a Designated Borrower.</w:t>
      </w:r>
    </w:p>
    <w:p>
      <w:pPr>
        <w:pStyle w:val="TextBody"/>
        <w:bidi w:val="0"/>
        <w:spacing w:before="0" w:after="240"/>
        <w:ind w:left="0" w:right="0" w:firstLine="720"/>
        <w:jc w:val="both"/>
        <w:rPr/>
      </w:pPr>
      <w:r>
        <w:rPr/>
        <w:t>“</w:t>
      </w:r>
      <w:r>
        <w:rPr>
          <w:rFonts w:ascii="Times New Roman;Times;serif" w:hAnsi="Times New Roman;Times;serif"/>
          <w:sz w:val="22"/>
          <w:u w:val="single"/>
        </w:rPr>
        <w:t>Non-Reinstatement Deadline</w:t>
      </w:r>
      <w:r>
        <w:rPr>
          <w:rFonts w:ascii="Times New Roman;Times;serif" w:hAnsi="Times New Roman;Times;serif"/>
          <w:sz w:val="20"/>
        </w:rPr>
        <w:t xml:space="preserve">” </w:t>
      </w:r>
      <w:r>
        <w:rPr>
          <w:rFonts w:ascii="Times New Roman;Times;serif" w:hAnsi="Times New Roman;Times;serif"/>
          <w:sz w:val="22"/>
        </w:rPr>
        <w:t xml:space="preserve">has the meaning set forth in </w:t>
      </w:r>
      <w:r>
        <w:rPr>
          <w:rFonts w:ascii="Times New Roman;Times;serif" w:hAnsi="Times New Roman;Times;serif"/>
          <w:sz w:val="22"/>
          <w:u w:val="single"/>
        </w:rPr>
        <w:t>Section 2.03(b)(iv)</w:t>
      </w:r>
      <w:r>
        <w:rPr>
          <w:rFonts w:ascii="Times New Roman;Times;serif" w:hAnsi="Times New Roman;Times;serif"/>
          <w:sz w:val="22"/>
        </w:rPr>
        <w:t xml:space="preserve">. </w:t>
      </w:r>
    </w:p>
    <w:p>
      <w:pPr>
        <w:pStyle w:val="TextBody"/>
        <w:bidi w:val="0"/>
        <w:spacing w:before="0" w:after="240"/>
        <w:ind w:left="0" w:right="0" w:firstLine="720"/>
        <w:jc w:val="both"/>
        <w:rPr/>
      </w:pPr>
      <w:r>
        <w:rPr/>
        <w:t>“</w:t>
      </w:r>
      <w:r>
        <w:rPr>
          <w:rFonts w:ascii="Times New Roman;Times;serif" w:hAnsi="Times New Roman;Times;serif"/>
          <w:sz w:val="22"/>
          <w:u w:val="single"/>
        </w:rPr>
        <w:t>Non-SOFR Successor Rate</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3.03(c)</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Note</w:t>
      </w:r>
      <w:r>
        <w:rPr>
          <w:rFonts w:ascii="Times New Roman;Times;serif" w:hAnsi="Times New Roman;Times;serif"/>
          <w:sz w:val="20"/>
        </w:rPr>
        <w:t xml:space="preserve">” </w:t>
      </w:r>
      <w:r>
        <w:rPr>
          <w:rFonts w:ascii="Times New Roman;Times;serif" w:hAnsi="Times New Roman;Times;serif"/>
          <w:sz w:val="22"/>
        </w:rPr>
        <w:t xml:space="preserve">means a promissory note made by a Borrower in favor of a Lender evidencing Loans made by such Lender to such Borrower, substantially in the form of </w:t>
      </w:r>
      <w:r>
        <w:rPr>
          <w:rFonts w:ascii="Times New Roman;Times;serif" w:hAnsi="Times New Roman;Times;serif"/>
          <w:sz w:val="22"/>
          <w:u w:val="single"/>
        </w:rPr>
        <w:t>Exhibit C</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Obligations</w:t>
      </w:r>
      <w:r>
        <w:rPr>
          <w:rFonts w:ascii="Times New Roman;Times;serif" w:hAnsi="Times New Roman;Times;serif"/>
          <w:sz w:val="20"/>
        </w:rPr>
        <w:t xml:space="preserve">” </w:t>
      </w:r>
      <w:r>
        <w:rPr>
          <w:rFonts w:ascii="Times New Roman;Times;serif" w:hAnsi="Times New Roman;Times;serif"/>
          <w:sz w:val="22"/>
        </w:rPr>
        <w:t>means all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w:t>
      </w:r>
    </w:p>
    <w:p>
      <w:pPr>
        <w:pStyle w:val="TextBody"/>
        <w:bidi w:val="0"/>
        <w:spacing w:before="0" w:after="240"/>
        <w:ind w:left="0" w:right="0" w:firstLine="720"/>
        <w:jc w:val="both"/>
        <w:rPr/>
      </w:pPr>
      <w:r>
        <w:rPr/>
        <w:t>“</w:t>
      </w:r>
      <w:r>
        <w:rPr>
          <w:rFonts w:ascii="Times New Roman;Times;serif" w:hAnsi="Times New Roman;Times;serif"/>
          <w:sz w:val="22"/>
          <w:u w:val="single"/>
        </w:rPr>
        <w:t>OFAC</w:t>
      </w:r>
      <w:r>
        <w:rPr>
          <w:rFonts w:ascii="Times New Roman;Times;serif" w:hAnsi="Times New Roman;Times;serif"/>
          <w:sz w:val="20"/>
        </w:rPr>
        <w:t xml:space="preserve">” </w:t>
      </w:r>
      <w:r>
        <w:rPr>
          <w:rFonts w:ascii="Times New Roman;Times;serif" w:hAnsi="Times New Roman;Times;serif"/>
          <w:sz w:val="22"/>
        </w:rPr>
        <w:t>means the Office of Foreign Assets Control of the United States Department of the Treasury.</w:t>
      </w:r>
    </w:p>
    <w:p>
      <w:pPr>
        <w:pStyle w:val="TextBody"/>
        <w:bidi w:val="0"/>
        <w:spacing w:before="0" w:after="240"/>
        <w:ind w:left="0" w:right="0" w:firstLine="720"/>
        <w:jc w:val="both"/>
        <w:rPr/>
      </w:pPr>
      <w:r>
        <w:rPr/>
        <w:t>“</w:t>
      </w:r>
      <w:r>
        <w:rPr>
          <w:rFonts w:ascii="Times New Roman;Times;serif" w:hAnsi="Times New Roman;Times;serif"/>
          <w:sz w:val="22"/>
          <w:u w:val="single"/>
        </w:rPr>
        <w:t>Off-Balance Sheet Liabilities</w:t>
      </w:r>
      <w:r>
        <w:rPr>
          <w:rFonts w:ascii="Times New Roman;Times;serif" w:hAnsi="Times New Roman;Times;serif"/>
          <w:sz w:val="20"/>
        </w:rPr>
        <w:t xml:space="preserve">” </w:t>
      </w:r>
      <w:r>
        <w:rPr>
          <w:rFonts w:ascii="Times New Roman;Times;serif" w:hAnsi="Times New Roman;Times;serif"/>
          <w:sz w:val="22"/>
        </w:rPr>
        <w:t>means, with respect to any Person as of any date of determination thereof, without duplication and to the extent not included as a liability on the consolidated balance sheet of such Person and its Subsidiaries in accordance with GAAP: (a) with respect to any asset securitization transaction (including any accounts receivable purchase facility), the unrecovered investment of purchasers or transferees of assets so transferred and the principal amount of any recourse, repurchase or debt obligations incurred in connection therewith; and (b) the monetary obligations under any financing lease or so-called “synthetic,” tax retention or off-balance sheet lease transaction which, upon the application of any Debtor Relief Law to such Person or any of its Subsidiaries, would be characterized as indebtedness.</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Organization Documents</w:t>
      </w:r>
      <w:r>
        <w:rPr>
          <w:rFonts w:ascii="Times New Roman;Times;serif" w:hAnsi="Times New Roman;Times;serif"/>
          <w:sz w:val="20"/>
        </w:rPr>
        <w:t xml:space="preserve">” </w:t>
      </w:r>
      <w:r>
        <w:rPr>
          <w:rFonts w:ascii="Times New Roman;Times;serif" w:hAnsi="Times New Roman;Times;serif"/>
          <w:sz w:val="22"/>
        </w:rPr>
        <w:t>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0" w:after="240"/>
        <w:ind w:left="0" w:right="0" w:firstLine="720"/>
        <w:jc w:val="both"/>
        <w:rPr/>
      </w:pPr>
      <w:r>
        <w:rPr/>
        <w:t>“</w:t>
      </w:r>
      <w:r>
        <w:rPr>
          <w:rFonts w:ascii="Times New Roman;Times;serif" w:hAnsi="Times New Roman;Times;serif"/>
          <w:sz w:val="22"/>
          <w:u w:val="single"/>
        </w:rPr>
        <w:t>Other Connection Taxes</w:t>
      </w:r>
      <w:r>
        <w:rPr>
          <w:rFonts w:ascii="Times New Roman;Times;serif" w:hAnsi="Times New Roman;Times;serif"/>
          <w:sz w:val="20"/>
        </w:rPr>
        <w:t xml:space="preserve">” </w:t>
      </w:r>
      <w:r>
        <w:rPr>
          <w:rFonts w:ascii="Times New Roman;Times;serif" w:hAnsi="Times New Roman;Times;serif"/>
          <w:sz w:val="22"/>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240"/>
        <w:ind w:left="0" w:right="0" w:firstLine="720"/>
        <w:jc w:val="both"/>
        <w:rPr/>
      </w:pPr>
      <w:r>
        <w:rPr/>
        <w:t>“</w:t>
      </w:r>
      <w:r>
        <w:rPr>
          <w:rFonts w:ascii="Times New Roman;Times;serif" w:hAnsi="Times New Roman;Times;serif"/>
          <w:sz w:val="22"/>
          <w:u w:val="single"/>
        </w:rPr>
        <w:t>Other Taxes</w:t>
      </w:r>
      <w:r>
        <w:rPr>
          <w:rFonts w:ascii="Times New Roman;Times;serif" w:hAnsi="Times New Roman;Times;serif"/>
          <w:sz w:val="20"/>
        </w:rPr>
        <w:t xml:space="preserve">” </w:t>
      </w:r>
      <w:r>
        <w:rPr>
          <w:rFonts w:ascii="Times New Roman;Times;serif" w:hAnsi="Times New Roman;Times;serif"/>
          <w:sz w:val="22"/>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Times;serif" w:hAnsi="Times New Roman;Times;serif"/>
          <w:sz w:val="22"/>
          <w:u w:val="single"/>
        </w:rPr>
        <w:t>Section 3.06</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Outstanding Amount</w:t>
      </w:r>
      <w:r>
        <w:rPr>
          <w:rFonts w:ascii="Times New Roman;Times;serif" w:hAnsi="Times New Roman;Times;serif"/>
          <w:sz w:val="20"/>
        </w:rPr>
        <w:t xml:space="preserve">” </w:t>
      </w:r>
      <w:r>
        <w:rPr>
          <w:rFonts w:ascii="Times New Roman;Times;serif" w:hAnsi="Times New Roman;Times;serif"/>
          <w:sz w:val="22"/>
        </w:rPr>
        <w:t>means (a) with respect to Committed Loans on any date, the Dollar Equivalent amount of the aggregate outstanding principal amount thereof after giving effect to any borrowings and prepayments or repayments of such Committed Loans occurring on such date; (b) with respect to Swing Line Loans on any date, the aggregate outstanding principal amount thereof after giving effect to any borrowings and prepayments or repayments of such Swing Line Loans occurring on such date; and (c) with respect to any L/C Obligations on any date, the aggregate outstanding amount of such L/C Obligations on such date after giving effect to any L/C Credit Extension occurring on such date and any other changes in the aggregate amount of the L/C Obligations as of such date, including as a result of any reimbursements by the Company of Unreimbursed Amounts.</w:t>
      </w:r>
    </w:p>
    <w:p>
      <w:pPr>
        <w:pStyle w:val="TextBody"/>
        <w:bidi w:val="0"/>
        <w:spacing w:before="0" w:after="240"/>
        <w:ind w:left="0" w:right="0" w:firstLine="720"/>
        <w:jc w:val="both"/>
        <w:rPr/>
      </w:pPr>
      <w:r>
        <w:rPr/>
        <w:t>“</w:t>
      </w:r>
      <w:r>
        <w:rPr>
          <w:rFonts w:ascii="Times New Roman;Times;serif" w:hAnsi="Times New Roman;Times;serif"/>
          <w:sz w:val="22"/>
          <w:u w:val="single"/>
        </w:rPr>
        <w:t>Overnight Rate</w:t>
      </w:r>
      <w:r>
        <w:rPr>
          <w:rFonts w:ascii="Times New Roman;Times;serif" w:hAnsi="Times New Roman;Times;serif"/>
          <w:sz w:val="20"/>
        </w:rPr>
        <w:t xml:space="preserve">” </w:t>
      </w:r>
      <w:r>
        <w:rPr>
          <w:rFonts w:ascii="Times New Roman;Times;serif" w:hAnsi="Times New Roman;Times;serif"/>
          <w:sz w:val="22"/>
        </w:rPr>
        <w:t>means, for any day, (a) with respect to any amount denominated in Dollars, the greater of (i) the Federal Funds Rate and (ii) an overnight rate determined by the Administrative Agent, any L/C Issuer, or the Swing Line Lender, as the case may be, in accordance with banking industry rules on interbank compensation, and (b) with respect to any amount denominated in an Alternative Currency, the rate of interest per annum at which overnight deposits in the applicable Alternative Currency, in an amount approximately equal to the amount with respect to which such rate is being determined, would be offered for such day by a branch or Affiliate of Bank of America in the applicable offshore interbank market for such currency to major banks in such interbank market.</w:t>
      </w:r>
    </w:p>
    <w:p>
      <w:pPr>
        <w:pStyle w:val="TextBody"/>
        <w:bidi w:val="0"/>
        <w:spacing w:before="0" w:after="240"/>
        <w:ind w:left="0" w:right="0" w:firstLine="720"/>
        <w:jc w:val="both"/>
        <w:rPr/>
      </w:pPr>
      <w:r>
        <w:rPr/>
        <w:t>“</w:t>
      </w:r>
      <w:r>
        <w:rPr>
          <w:rFonts w:ascii="Times New Roman;Times;serif" w:hAnsi="Times New Roman;Times;serif"/>
          <w:sz w:val="22"/>
          <w:u w:val="single"/>
        </w:rPr>
        <w:t>Participant</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10.06(d)</w:t>
      </w:r>
      <w:r>
        <w:rPr>
          <w:rFonts w:ascii="Times New Roman;Times;serif" w:hAnsi="Times New Roman;Times;serif"/>
          <w:sz w:val="22"/>
        </w:rPr>
        <w:t xml:space="preserve">. </w:t>
      </w:r>
    </w:p>
    <w:p>
      <w:pPr>
        <w:pStyle w:val="TextBody"/>
        <w:bidi w:val="0"/>
        <w:spacing w:before="0" w:after="240"/>
        <w:ind w:left="0" w:right="0" w:firstLine="720"/>
        <w:jc w:val="both"/>
        <w:rPr/>
      </w:pPr>
      <w:r>
        <w:rPr/>
        <w:t>“</w:t>
      </w:r>
      <w:r>
        <w:rPr>
          <w:rFonts w:ascii="Times New Roman;Times;serif" w:hAnsi="Times New Roman;Times;serif"/>
          <w:sz w:val="22"/>
          <w:u w:val="single"/>
        </w:rPr>
        <w:t>Participant Register</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10.06(e)</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Participating Member State</w:t>
      </w:r>
      <w:r>
        <w:rPr>
          <w:rFonts w:ascii="Times New Roman;Times;serif" w:hAnsi="Times New Roman;Times;serif"/>
          <w:sz w:val="20"/>
        </w:rPr>
        <w:t xml:space="preserve">” </w:t>
      </w:r>
      <w:r>
        <w:rPr>
          <w:rFonts w:ascii="Times New Roman;Times;serif" w:hAnsi="Times New Roman;Times;serif"/>
          <w:sz w:val="22"/>
        </w:rPr>
        <w:t>means any member state of the European Union that has the Euro as its lawful currency in accordance with legislation of the European Union relating to EMU.</w:t>
      </w:r>
    </w:p>
    <w:p>
      <w:pPr>
        <w:pStyle w:val="TextBody"/>
        <w:bidi w:val="0"/>
        <w:spacing w:before="0" w:after="240"/>
        <w:ind w:left="0" w:right="0" w:firstLine="720"/>
        <w:jc w:val="both"/>
        <w:rPr/>
      </w:pPr>
      <w:r>
        <w:rPr/>
        <w:t>“</w:t>
      </w:r>
      <w:r>
        <w:rPr>
          <w:rFonts w:ascii="Times New Roman;Times;serif" w:hAnsi="Times New Roman;Times;serif"/>
          <w:sz w:val="22"/>
          <w:u w:val="single"/>
        </w:rPr>
        <w:t>PATRIOT Act</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10.17</w:t>
      </w:r>
      <w:r>
        <w:rPr>
          <w:rFonts w:ascii="Times New Roman;Times;serif" w:hAnsi="Times New Roman;Times;serif"/>
          <w:sz w:val="22"/>
        </w:rPr>
        <w:t>.</w:t>
      </w:r>
    </w:p>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PBGC</w:t>
      </w:r>
      <w:r>
        <w:rPr>
          <w:rFonts w:ascii="Times New Roman;Times;serif" w:hAnsi="Times New Roman;Times;serif"/>
          <w:sz w:val="20"/>
        </w:rPr>
        <w:t xml:space="preserve">” </w:t>
      </w:r>
      <w:r>
        <w:rPr>
          <w:rFonts w:ascii="Times New Roman;Times;serif" w:hAnsi="Times New Roman;Times;serif"/>
          <w:sz w:val="22"/>
        </w:rPr>
        <w:t>means the Pension Benefit Guaranty Corporation, and any successor entity performing similar functions with respect to ERISA.</w:t>
      </w:r>
    </w:p>
    <w:p>
      <w:pPr>
        <w:pStyle w:val="TextBody"/>
        <w:bidi w:val="0"/>
        <w:spacing w:before="0" w:after="240"/>
        <w:ind w:left="0" w:right="0" w:firstLine="720"/>
        <w:jc w:val="both"/>
        <w:rPr/>
      </w:pPr>
      <w:r>
        <w:rPr/>
        <w:t>“</w:t>
      </w:r>
      <w:r>
        <w:rPr>
          <w:rFonts w:ascii="Times New Roman;Times;serif" w:hAnsi="Times New Roman;Times;serif"/>
          <w:sz w:val="22"/>
          <w:u w:val="single"/>
        </w:rPr>
        <w:t>Pension Act</w:t>
      </w:r>
      <w:r>
        <w:rPr>
          <w:rFonts w:ascii="Times New Roman;Times;serif" w:hAnsi="Times New Roman;Times;serif"/>
          <w:sz w:val="20"/>
        </w:rPr>
        <w:t xml:space="preserve">” </w:t>
      </w:r>
      <w:r>
        <w:rPr>
          <w:rFonts w:ascii="Times New Roman;Times;serif" w:hAnsi="Times New Roman;Times;serif"/>
          <w:sz w:val="22"/>
        </w:rPr>
        <w:t>means the Pension Protection Act of 2006.</w:t>
      </w:r>
    </w:p>
    <w:p>
      <w:pPr>
        <w:pStyle w:val="TextBody"/>
        <w:bidi w:val="0"/>
        <w:spacing w:before="0" w:after="240"/>
        <w:ind w:left="0" w:right="0" w:firstLine="720"/>
        <w:jc w:val="both"/>
        <w:rPr/>
      </w:pPr>
      <w:r>
        <w:rPr/>
        <w:t>“</w:t>
      </w:r>
      <w:r>
        <w:rPr>
          <w:rFonts w:ascii="Times New Roman;Times;serif" w:hAnsi="Times New Roman;Times;serif"/>
          <w:sz w:val="22"/>
          <w:u w:val="single"/>
        </w:rPr>
        <w:t>Pension Funding Rules</w:t>
      </w:r>
      <w:r>
        <w:rPr>
          <w:rFonts w:ascii="Times New Roman;Times;serif" w:hAnsi="Times New Roman;Times;serif"/>
          <w:sz w:val="20"/>
        </w:rPr>
        <w:t xml:space="preserve">” </w:t>
      </w:r>
      <w:r>
        <w:rPr>
          <w:rFonts w:ascii="Times New Roman;Times;serif" w:hAnsi="Times New Roman;Times;serif"/>
          <w:sz w:val="22"/>
        </w:rPr>
        <w:t>means the rules of the Code and ERISA regarding minimum required contributions (including any installment payment thereof) to Pension Plans and set forth in, with respect to plan years ending prior to the effective date of the Pension Act, Section 412 of the Code and Section 302 of ERISA, each as in effect prior to the Pension Act and, thereafter, Sections 412, 430, 431, 432 and 436 of the Code and Sections 302, 303, 304 and 305 of ERISA.</w:t>
      </w:r>
    </w:p>
    <w:p>
      <w:pPr>
        <w:pStyle w:val="TextBody"/>
        <w:bidi w:val="0"/>
        <w:spacing w:before="0" w:after="240"/>
        <w:ind w:left="0" w:right="0" w:firstLine="720"/>
        <w:jc w:val="both"/>
        <w:rPr/>
      </w:pPr>
      <w:r>
        <w:rPr/>
        <w:t>“</w:t>
      </w:r>
      <w:r>
        <w:rPr>
          <w:rFonts w:ascii="Times New Roman;Times;serif" w:hAnsi="Times New Roman;Times;serif"/>
          <w:sz w:val="22"/>
          <w:u w:val="single"/>
        </w:rPr>
        <w:t>Pension Plan</w:t>
      </w:r>
      <w:r>
        <w:rPr>
          <w:rFonts w:ascii="Times New Roman;Times;serif" w:hAnsi="Times New Roman;Times;serif"/>
          <w:sz w:val="20"/>
        </w:rPr>
        <w:t xml:space="preserve">” </w:t>
      </w:r>
      <w:r>
        <w:rPr>
          <w:rFonts w:ascii="Times New Roman;Times;serif" w:hAnsi="Times New Roman;Times;serif"/>
          <w:sz w:val="22"/>
        </w:rPr>
        <w:t>means any employee pension benefit plan (including a Multiple Employer Plan or a Multiemployer Plan) that is maintained or is contributed to by the Company and any ERISA Affiliate and is either covered by Title IV of ERISA or is subject to the minimum funding standards under Section 412 of the Code.</w:t>
      </w:r>
    </w:p>
    <w:p>
      <w:pPr>
        <w:pStyle w:val="TextBody"/>
        <w:bidi w:val="0"/>
        <w:spacing w:before="0" w:after="240"/>
        <w:ind w:left="0" w:right="0" w:firstLine="720"/>
        <w:jc w:val="both"/>
        <w:rPr/>
      </w:pPr>
      <w:r>
        <w:rPr/>
        <w:t>“</w:t>
      </w:r>
      <w:r>
        <w:rPr>
          <w:rFonts w:ascii="Times New Roman;Times;serif" w:hAnsi="Times New Roman;Times;serif"/>
          <w:sz w:val="22"/>
          <w:u w:val="single"/>
        </w:rPr>
        <w:t>Permitted Business</w:t>
      </w:r>
      <w:r>
        <w:rPr>
          <w:rFonts w:ascii="Times New Roman;Times;serif" w:hAnsi="Times New Roman;Times;serif"/>
          <w:sz w:val="20"/>
        </w:rPr>
        <w:t xml:space="preserve">” </w:t>
      </w:r>
      <w:r>
        <w:rPr>
          <w:rFonts w:ascii="Times New Roman;Times;serif" w:hAnsi="Times New Roman;Times;serif"/>
          <w:sz w:val="22"/>
        </w:rPr>
        <w:t>means any type of business in which the Company and its Subsidiaries were engaged on the Closing Date and any business reasonably related or incidental thereto.</w:t>
      </w:r>
    </w:p>
    <w:p>
      <w:pPr>
        <w:pStyle w:val="TextBody"/>
        <w:bidi w:val="0"/>
        <w:spacing w:before="0" w:after="240"/>
        <w:ind w:left="0" w:right="0" w:firstLine="720"/>
        <w:jc w:val="both"/>
        <w:rPr/>
      </w:pPr>
      <w:r>
        <w:rPr/>
        <w:t>“</w:t>
      </w:r>
      <w:r>
        <w:rPr>
          <w:rFonts w:ascii="Times New Roman;Times;serif" w:hAnsi="Times New Roman;Times;serif"/>
          <w:sz w:val="22"/>
          <w:u w:val="single"/>
        </w:rPr>
        <w:t>Permitted Securitization Facilities</w:t>
      </w:r>
      <w:r>
        <w:rPr>
          <w:rFonts w:ascii="Times New Roman;Times;serif" w:hAnsi="Times New Roman;Times;serif"/>
          <w:sz w:val="20"/>
        </w:rPr>
        <w:t xml:space="preserve">” </w:t>
      </w:r>
      <w:r>
        <w:rPr>
          <w:rFonts w:ascii="Times New Roman;Times;serif" w:hAnsi="Times New Roman;Times;serif"/>
          <w:sz w:val="22"/>
        </w:rPr>
        <w:t xml:space="preserve">means, collectively, (a) the Existing Securitization Facility and (b) any other account receivable securitization facility so long as the Indebtedness thereunder and other payment obligations with respect thereto are nonrecourse to the Company and its Subsidiaries (other than any Special Purpose Finance Subsidiary), other than limited recourse provisions that are customary for transactions of such type and do not have the effect of Guaranteeing the repayment of any such Indebtedness or limiting the loss or credit risk of lenders or purchasers with respect to payment or performance by the obligors of the accounts receivable so transferred; </w:t>
      </w:r>
      <w:r>
        <w:rPr>
          <w:rFonts w:ascii="Times New Roman;Times;serif" w:hAnsi="Times New Roman;Times;serif"/>
          <w:sz w:val="22"/>
          <w:u w:val="single"/>
        </w:rPr>
        <w:t>provided</w:t>
      </w:r>
      <w:r>
        <w:rPr>
          <w:rFonts w:ascii="Times New Roman;Times;serif" w:hAnsi="Times New Roman;Times;serif"/>
          <w:sz w:val="22"/>
        </w:rPr>
        <w:t xml:space="preserve">, that the aggregate outstanding Attributable Indebtedness under the Existing Securitization Facility and any other account receivable securitization facilities described in </w:t>
      </w:r>
      <w:r>
        <w:rPr>
          <w:rFonts w:ascii="Times New Roman;Times;serif" w:hAnsi="Times New Roman;Times;serif"/>
          <w:sz w:val="22"/>
          <w:u w:val="single"/>
        </w:rPr>
        <w:t>clause (b)</w:t>
      </w:r>
      <w:r>
        <w:rPr>
          <w:rFonts w:ascii="Times New Roman;Times;serif" w:hAnsi="Times New Roman;Times;serif"/>
          <w:sz w:val="20"/>
        </w:rPr>
        <w:t xml:space="preserve"> </w:t>
      </w:r>
      <w:r>
        <w:rPr>
          <w:rFonts w:ascii="Times New Roman;Times;serif" w:hAnsi="Times New Roman;Times;serif"/>
          <w:sz w:val="22"/>
        </w:rPr>
        <w:t xml:space="preserve">shall not at any time exceed the greater of (x) $800,000,000, and (y) 35% of the aggregate net book value of all accounts receivable of the Company and its Subsidiaries (including those accounts receivable subject to the Existing Securitization Facility or any other account receivable securitization facilities described in </w:t>
      </w:r>
      <w:r>
        <w:rPr>
          <w:rFonts w:ascii="Times New Roman;Times;serif" w:hAnsi="Times New Roman;Times;serif"/>
          <w:sz w:val="22"/>
          <w:u w:val="single"/>
        </w:rPr>
        <w:t>clause (b)</w:t>
      </w:r>
      <w:r>
        <w:rPr>
          <w:rFonts w:ascii="Times New Roman;Times;serif" w:hAnsi="Times New Roman;Times;serif"/>
          <w:sz w:val="22"/>
        </w:rPr>
        <w:t xml:space="preserve">); </w:t>
      </w:r>
      <w:r>
        <w:rPr>
          <w:rFonts w:ascii="Times New Roman;Times;serif" w:hAnsi="Times New Roman;Times;serif"/>
          <w:sz w:val="22"/>
          <w:u w:val="single"/>
        </w:rPr>
        <w:t>provided further</w:t>
      </w:r>
      <w:r>
        <w:rPr>
          <w:rFonts w:ascii="Times New Roman;Times;serif" w:hAnsi="Times New Roman;Times;serif"/>
          <w:sz w:val="22"/>
        </w:rPr>
        <w:t xml:space="preserve">, that, notwithstanding the foregoing, any such account receivable securitization facility may be recourse to the Company and its Subsidiaries so long as </w:t>
      </w:r>
      <w:r>
        <w:rPr>
          <w:rFonts w:ascii="Times New Roman;Times;serif" w:hAnsi="Times New Roman;Times;serif"/>
          <w:color w:val="FF0000"/>
          <w:sz w:val="22"/>
        </w:rPr>
        <w:t xml:space="preserve">(x) </w:t>
      </w:r>
      <w:r>
        <w:rPr>
          <w:rFonts w:ascii="Times New Roman;Times;serif" w:hAnsi="Times New Roman;Times;serif"/>
          <w:sz w:val="22"/>
        </w:rPr>
        <w:t xml:space="preserve">such recourse is limited to the requirement that the Company or the applicable Subsidiary repurchase any accounts receivable subject to such securitization facility </w:t>
      </w:r>
      <w:r>
        <w:rPr>
          <w:rFonts w:ascii="Times New Roman;Times;serif" w:hAnsi="Times New Roman;Times;serif"/>
          <w:color w:val="007F00"/>
          <w:sz w:val="22"/>
        </w:rPr>
        <w:t xml:space="preserve">and (y) the </w:t>
      </w:r>
      <w:r>
        <w:rPr>
          <w:rFonts w:ascii="Times New Roman;Times;serif" w:hAnsi="Times New Roman;Times;serif"/>
          <w:color w:val="FF0000"/>
          <w:sz w:val="22"/>
        </w:rPr>
        <w:t xml:space="preserve">aggregate amount of Attributable Indebtedness under such securitization facility </w:t>
      </w:r>
      <w:r>
        <w:rPr>
          <w:rFonts w:ascii="Times New Roman;Times;serif" w:hAnsi="Times New Roman;Times;serif"/>
          <w:color w:val="007F00"/>
          <w:sz w:val="22"/>
        </w:rPr>
        <w:t xml:space="preserve">shall not </w:t>
      </w:r>
      <w:r>
        <w:rPr>
          <w:rFonts w:ascii="Times New Roman;Times;serif" w:hAnsi="Times New Roman;Times;serif"/>
          <w:color w:val="FF0000"/>
          <w:sz w:val="22"/>
        </w:rPr>
        <w:t>at any time exceed $300,000,000</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Person</w:t>
      </w:r>
      <w:r>
        <w:rPr>
          <w:rFonts w:ascii="Times New Roman;Times;serif" w:hAnsi="Times New Roman;Times;serif"/>
          <w:sz w:val="20"/>
        </w:rPr>
        <w:t xml:space="preserve">” </w:t>
      </w:r>
      <w:r>
        <w:rPr>
          <w:rFonts w:ascii="Times New Roman;Times;serif" w:hAnsi="Times New Roman;Times;serif"/>
          <w:sz w:val="22"/>
        </w:rPr>
        <w:t>means any natural person, corporation, limited liability company, trust, joint venture, association, company, partnership, Governmental Authority or other entity.</w:t>
      </w:r>
    </w:p>
    <w:p>
      <w:pPr>
        <w:pStyle w:val="TextBody"/>
        <w:bidi w:val="0"/>
        <w:spacing w:before="0" w:after="240"/>
        <w:ind w:left="0" w:right="0" w:firstLine="720"/>
        <w:jc w:val="both"/>
        <w:rPr/>
      </w:pPr>
      <w:r>
        <w:rPr/>
        <w:t>“</w:t>
      </w:r>
      <w:r>
        <w:rPr>
          <w:rFonts w:ascii="Times New Roman;Times;serif" w:hAnsi="Times New Roman;Times;serif"/>
          <w:sz w:val="22"/>
          <w:u w:val="single"/>
        </w:rPr>
        <w:t>Plan</w:t>
      </w:r>
      <w:r>
        <w:rPr>
          <w:rFonts w:ascii="Times New Roman;Times;serif" w:hAnsi="Times New Roman;Times;serif"/>
          <w:sz w:val="20"/>
        </w:rPr>
        <w:t xml:space="preserve">” </w:t>
      </w:r>
      <w:r>
        <w:rPr>
          <w:rFonts w:ascii="Times New Roman;Times;serif" w:hAnsi="Times New Roman;Times;serif"/>
          <w:sz w:val="22"/>
        </w:rPr>
        <w:t>means any employee benefit plan within the meaning of Section 3(3) of ERISA (including a Pension Plan), maintained for U.S.-based employees of the Company or any ERISA Affiliate or any such Plan to which the Company or any ERISA Affiliate is required to contribute on behalf of any of its employees.</w:t>
      </w:r>
    </w:p>
    <w:p>
      <w:pPr>
        <w:pStyle w:val="TextBody"/>
        <w:bidi w:val="0"/>
        <w:spacing w:before="0" w:after="240"/>
        <w:ind w:left="0" w:right="0" w:firstLine="720"/>
        <w:jc w:val="both"/>
        <w:rPr/>
      </w:pPr>
      <w:r>
        <w:rPr/>
        <w:t>“</w:t>
      </w:r>
      <w:r>
        <w:rPr>
          <w:rFonts w:ascii="Times New Roman;Times;serif" w:hAnsi="Times New Roman;Times;serif"/>
          <w:sz w:val="22"/>
          <w:u w:val="single"/>
        </w:rPr>
        <w:t>Platform</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6.02</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PTE</w:t>
      </w:r>
      <w:r>
        <w:rPr>
          <w:rFonts w:ascii="Times New Roman;Times;serif" w:hAnsi="Times New Roman;Times;serif"/>
          <w:sz w:val="20"/>
        </w:rPr>
        <w:t xml:space="preserve">” </w:t>
      </w:r>
      <w:r>
        <w:rPr>
          <w:rFonts w:ascii="Times New Roman;Times;serif" w:hAnsi="Times New Roman;Times;serif"/>
          <w:sz w:val="22"/>
        </w:rPr>
        <w:t>means a prohibited transaction class exemption issued by the U.S. Department of Labor, as any such exemption may be amended from time to time.</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Public Lender</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6.02</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Rate Determination Date</w:t>
      </w:r>
      <w:r>
        <w:rPr>
          <w:rFonts w:ascii="Times New Roman;Times;serif" w:hAnsi="Times New Roman;Times;serif"/>
          <w:sz w:val="20"/>
        </w:rPr>
        <w:t xml:space="preserve">” </w:t>
      </w:r>
      <w:r>
        <w:rPr>
          <w:rFonts w:ascii="Times New Roman;Times;serif" w:hAnsi="Times New Roman;Times;serif"/>
          <w:sz w:val="22"/>
        </w:rPr>
        <w:t xml:space="preserve">means two Business Days prior to the commencement of such Interest Period (or such other day as is generally treated as the rate fixing day by market practice in such interbank market, as determined by the Administrative Agent);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to the extent such market practice is not administratively feasible for the Administrative Agent, then “Rate Determination Date” means such other day as otherwise reasonably determined by the Administrative Agent.</w:t>
      </w:r>
    </w:p>
    <w:p>
      <w:pPr>
        <w:pStyle w:val="TextBody"/>
        <w:bidi w:val="0"/>
        <w:spacing w:before="0" w:after="240"/>
        <w:ind w:left="0" w:right="0" w:firstLine="720"/>
        <w:jc w:val="both"/>
        <w:rPr/>
      </w:pPr>
      <w:r>
        <w:rPr/>
        <w:t>“</w:t>
      </w:r>
      <w:r>
        <w:rPr>
          <w:rFonts w:ascii="Times New Roman;Times;serif" w:hAnsi="Times New Roman;Times;serif"/>
          <w:sz w:val="22"/>
          <w:u w:val="single"/>
        </w:rPr>
        <w:t>Rating Agency</w:t>
      </w:r>
      <w:r>
        <w:rPr>
          <w:rFonts w:ascii="Times New Roman;Times;serif" w:hAnsi="Times New Roman;Times;serif"/>
          <w:sz w:val="20"/>
        </w:rPr>
        <w:t xml:space="preserve">” </w:t>
      </w:r>
      <w:r>
        <w:rPr>
          <w:rFonts w:ascii="Times New Roman;Times;serif" w:hAnsi="Times New Roman;Times;serif"/>
          <w:sz w:val="22"/>
        </w:rPr>
        <w:t>has the meaning specified in the definition of “Applicable Rate.”</w:t>
      </w:r>
    </w:p>
    <w:p>
      <w:pPr>
        <w:pStyle w:val="TextBody"/>
        <w:bidi w:val="0"/>
        <w:spacing w:before="0" w:after="240"/>
        <w:ind w:left="0" w:right="0" w:firstLine="720"/>
        <w:jc w:val="both"/>
        <w:rPr/>
      </w:pPr>
      <w:r>
        <w:rPr/>
        <w:t>“</w:t>
      </w:r>
      <w:r>
        <w:rPr>
          <w:rFonts w:ascii="Times New Roman;Times;serif" w:hAnsi="Times New Roman;Times;serif"/>
          <w:sz w:val="22"/>
          <w:u w:val="single"/>
        </w:rPr>
        <w:t>Recipient</w:t>
      </w:r>
      <w:r>
        <w:rPr>
          <w:rFonts w:ascii="Times New Roman;Times;serif" w:hAnsi="Times New Roman;Times;serif"/>
          <w:sz w:val="20"/>
        </w:rPr>
        <w:t xml:space="preserve">” </w:t>
      </w:r>
      <w:r>
        <w:rPr>
          <w:rFonts w:ascii="Times New Roman;Times;serif" w:hAnsi="Times New Roman;Times;serif"/>
          <w:sz w:val="22"/>
        </w:rPr>
        <w:t>means the Administrative Agent, any Lender, any L/C Issuer or any other recipient of any payment to be made by or on account of any obligation of any Loan Party hereunder.</w:t>
      </w:r>
    </w:p>
    <w:p>
      <w:pPr>
        <w:pStyle w:val="TextBody"/>
        <w:bidi w:val="0"/>
        <w:spacing w:before="0" w:after="240"/>
        <w:ind w:left="0" w:right="0" w:firstLine="720"/>
        <w:jc w:val="both"/>
        <w:rPr/>
      </w:pPr>
      <w:r>
        <w:rPr/>
        <w:t>“</w:t>
      </w:r>
      <w:r>
        <w:rPr>
          <w:rFonts w:ascii="Times New Roman;Times;serif" w:hAnsi="Times New Roman;Times;serif"/>
          <w:sz w:val="22"/>
          <w:u w:val="single"/>
        </w:rPr>
        <w:t>Register</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10.06(c)</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Registered Public Accounting Firm</w:t>
      </w:r>
      <w:r>
        <w:rPr>
          <w:rFonts w:ascii="Times New Roman;Times;serif" w:hAnsi="Times New Roman;Times;serif"/>
          <w:sz w:val="20"/>
        </w:rPr>
        <w:t xml:space="preserve">” </w:t>
      </w:r>
      <w:r>
        <w:rPr>
          <w:rFonts w:ascii="Times New Roman;Times;serif" w:hAnsi="Times New Roman;Times;serif"/>
          <w:sz w:val="22"/>
        </w:rPr>
        <w:t>has the meaning specified in the Securities Laws and shall be independent of the Company as prescribed by the Securities Laws.</w:t>
      </w:r>
    </w:p>
    <w:p>
      <w:pPr>
        <w:pStyle w:val="TextBody"/>
        <w:bidi w:val="0"/>
        <w:spacing w:before="0" w:after="240"/>
        <w:ind w:left="0" w:right="0" w:firstLine="720"/>
        <w:jc w:val="both"/>
        <w:rPr/>
      </w:pPr>
      <w:r>
        <w:rPr/>
        <w:t>“</w:t>
      </w:r>
      <w:r>
        <w:rPr>
          <w:rFonts w:ascii="Times New Roman;Times;serif" w:hAnsi="Times New Roman;Times;serif"/>
          <w:sz w:val="22"/>
          <w:u w:val="single"/>
        </w:rPr>
        <w:t>Related Parties</w:t>
      </w:r>
      <w:r>
        <w:rPr>
          <w:rFonts w:ascii="Times New Roman;Times;serif" w:hAnsi="Times New Roman;Times;serif"/>
          <w:sz w:val="20"/>
        </w:rPr>
        <w:t xml:space="preserve">” </w:t>
      </w:r>
      <w:r>
        <w:rPr>
          <w:rFonts w:ascii="Times New Roman;Times;serif" w:hAnsi="Times New Roman;Times;serif"/>
          <w:sz w:val="22"/>
        </w:rPr>
        <w:t>means, with respect to any Person, such Person’s Affiliates and the partners, directors, officers, employees, agents, trustees, advisors and representatives of such Person and of such Person’s Affiliates.</w:t>
      </w:r>
    </w:p>
    <w:p>
      <w:pPr>
        <w:pStyle w:val="TextBody"/>
        <w:bidi w:val="0"/>
        <w:spacing w:before="0" w:after="240"/>
        <w:ind w:left="0" w:right="0" w:firstLine="720"/>
        <w:jc w:val="both"/>
        <w:rPr/>
      </w:pPr>
      <w:r>
        <w:rPr/>
        <w:t>“</w:t>
      </w:r>
      <w:r>
        <w:rPr>
          <w:rFonts w:ascii="Times New Roman;Times;serif" w:hAnsi="Times New Roman;Times;serif"/>
          <w:sz w:val="22"/>
          <w:u w:val="single"/>
        </w:rPr>
        <w:t>Relief Period</w:t>
      </w:r>
      <w:r>
        <w:rPr>
          <w:rFonts w:ascii="Times New Roman;Times;serif" w:hAnsi="Times New Roman;Times;serif"/>
          <w:sz w:val="20"/>
        </w:rPr>
        <w:t xml:space="preserve">” </w:t>
      </w:r>
      <w:r>
        <w:rPr>
          <w:rFonts w:ascii="Times New Roman;Times;serif" w:hAnsi="Times New Roman;Times;serif"/>
          <w:sz w:val="22"/>
        </w:rPr>
        <w:t>means the period commencing on the Amendment No. 1 Effective Date and ending on the Relief Period Termination Date.</w:t>
      </w:r>
    </w:p>
    <w:p>
      <w:pPr>
        <w:pStyle w:val="TextBody"/>
        <w:bidi w:val="0"/>
        <w:spacing w:before="0" w:after="240"/>
        <w:ind w:left="0" w:right="0" w:firstLine="720"/>
        <w:jc w:val="both"/>
        <w:rPr/>
      </w:pPr>
      <w:r>
        <w:rPr/>
        <w:t>“</w:t>
      </w:r>
      <w:r>
        <w:rPr>
          <w:rFonts w:ascii="Times New Roman;Times;serif" w:hAnsi="Times New Roman;Times;serif"/>
          <w:sz w:val="22"/>
          <w:u w:val="single"/>
        </w:rPr>
        <w:t>Relief Period Termination Date</w:t>
      </w:r>
      <w:r>
        <w:rPr>
          <w:rFonts w:ascii="Times New Roman;Times;serif" w:hAnsi="Times New Roman;Times;serif"/>
          <w:sz w:val="20"/>
        </w:rPr>
        <w:t xml:space="preserve">” </w:t>
      </w:r>
      <w:r>
        <w:rPr>
          <w:rFonts w:ascii="Times New Roman;Times;serif" w:hAnsi="Times New Roman;Times;serif"/>
          <w:sz w:val="22"/>
        </w:rPr>
        <w:t xml:space="preserve">means the earlier of (a) the date on which the Administrative Agent receives a Compliance Certificate from the Company pursuant to </w:t>
      </w:r>
      <w:r>
        <w:rPr>
          <w:rFonts w:ascii="Times New Roman;Times;serif" w:hAnsi="Times New Roman;Times;serif"/>
          <w:sz w:val="22"/>
          <w:u w:val="single"/>
        </w:rPr>
        <w:t>Section 6.02(b)</w:t>
      </w:r>
      <w:r>
        <w:rPr>
          <w:rFonts w:ascii="Times New Roman;Times;serif" w:hAnsi="Times New Roman;Times;serif"/>
          <w:sz w:val="20"/>
        </w:rPr>
        <w:t xml:space="preserve"> </w:t>
      </w:r>
      <w:r>
        <w:rPr>
          <w:rFonts w:ascii="Times New Roman;Times;serif" w:hAnsi="Times New Roman;Times;serif"/>
          <w:sz w:val="22"/>
        </w:rPr>
        <w:t xml:space="preserve">in respect of the fiscal quarter ending on or around September 30, 2026 and the Company is in compliance with the Consolidated Leverage Ratio covenant set forth in </w:t>
      </w:r>
      <w:r>
        <w:rPr>
          <w:rFonts w:ascii="Times New Roman;Times;serif" w:hAnsi="Times New Roman;Times;serif"/>
          <w:sz w:val="22"/>
          <w:u w:val="single"/>
        </w:rPr>
        <w:t>Section 7.10</w:t>
      </w:r>
      <w:r>
        <w:rPr>
          <w:rFonts w:ascii="Times New Roman;Times;serif" w:hAnsi="Times New Roman;Times;serif"/>
          <w:sz w:val="20"/>
        </w:rPr>
        <w:t xml:space="preserve"> </w:t>
      </w:r>
      <w:r>
        <w:rPr>
          <w:rFonts w:ascii="Times New Roman;Times;serif" w:hAnsi="Times New Roman;Times;serif"/>
          <w:sz w:val="22"/>
        </w:rPr>
        <w:t xml:space="preserve">for such fiscal quarter and (b) the date following the Amendment No. 1 Effective Date on which a Compliance Certificate is delivered pursuant to </w:t>
      </w:r>
      <w:r>
        <w:rPr>
          <w:rFonts w:ascii="Times New Roman;Times;serif" w:hAnsi="Times New Roman;Times;serif"/>
          <w:sz w:val="22"/>
          <w:u w:val="single"/>
        </w:rPr>
        <w:t>Section 6.02(b)</w:t>
      </w:r>
      <w:r>
        <w:rPr>
          <w:rFonts w:ascii="Times New Roman;Times;serif" w:hAnsi="Times New Roman;Times;serif"/>
          <w:sz w:val="20"/>
        </w:rPr>
        <w:t xml:space="preserve"> </w:t>
      </w:r>
      <w:r>
        <w:rPr>
          <w:rFonts w:ascii="Times New Roman;Times;serif" w:hAnsi="Times New Roman;Times;serif"/>
          <w:sz w:val="22"/>
        </w:rPr>
        <w:t>and such Compliance Certificate demonstrates that as of the last day of the fiscal quarter for which such Compliance Certificate is delivered, the Consolidated Leverage Ratio is less than or equal to 3.75 to 1.00, and concurrently with the delivery of such Compliance Certificate, the Company provides Administrative Agent with written notice electing to terminate the Relief Period concurrently with the delivery of such Compliance Certificate.</w:t>
      </w:r>
    </w:p>
    <w:p>
      <w:pPr>
        <w:pStyle w:val="TextBody"/>
        <w:bidi w:val="0"/>
        <w:spacing w:before="0" w:after="240"/>
        <w:ind w:left="0" w:right="0" w:firstLine="720"/>
        <w:jc w:val="both"/>
        <w:rPr/>
      </w:pPr>
      <w:r>
        <w:rPr/>
        <w:t>“</w:t>
      </w:r>
      <w:r>
        <w:rPr>
          <w:rFonts w:ascii="Times New Roman;Times;serif" w:hAnsi="Times New Roman;Times;serif"/>
          <w:sz w:val="22"/>
          <w:u w:val="single"/>
        </w:rPr>
        <w:t>Relevant Rate</w:t>
      </w:r>
      <w:r>
        <w:rPr>
          <w:rFonts w:ascii="Times New Roman;Times;serif" w:hAnsi="Times New Roman;Times;serif"/>
          <w:sz w:val="20"/>
        </w:rPr>
        <w:t xml:space="preserve">” </w:t>
      </w:r>
      <w:r>
        <w:rPr>
          <w:rFonts w:ascii="Times New Roman;Times;serif" w:hAnsi="Times New Roman;Times;serif"/>
          <w:sz w:val="22"/>
        </w:rPr>
        <w:t>means with respect to any Credit Extension denominated in (a) Dollars, Term SOFR or SOFR Daily Floating Rate, as applicable, (b) Sterling, SONIA, (c) Euros, EURIBOR or ESTR, (d) Japanese Yen, TIBOR, (e) Australian Dollars, BBSY and (f) Hong Kong Dollars, HIBOR, as applicable.</w:t>
      </w:r>
    </w:p>
    <w:p>
      <w:pPr>
        <w:pStyle w:val="TextBody"/>
        <w:bidi w:val="0"/>
        <w:spacing w:before="0" w:after="240"/>
        <w:ind w:left="0" w:right="0" w:firstLine="720"/>
        <w:jc w:val="both"/>
        <w:rPr/>
      </w:pPr>
      <w:r>
        <w:rPr/>
        <w:t>“</w:t>
      </w:r>
      <w:r>
        <w:rPr>
          <w:rFonts w:ascii="Times New Roman;Times;serif" w:hAnsi="Times New Roman;Times;serif"/>
          <w:sz w:val="22"/>
          <w:u w:val="single"/>
        </w:rPr>
        <w:t>Removal Effective Date</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9.06(b)</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Reportable Event</w:t>
      </w:r>
      <w:r>
        <w:rPr>
          <w:rFonts w:ascii="Times New Roman;Times;serif" w:hAnsi="Times New Roman;Times;serif"/>
          <w:sz w:val="20"/>
        </w:rPr>
        <w:t xml:space="preserve">” </w:t>
      </w:r>
      <w:r>
        <w:rPr>
          <w:rFonts w:ascii="Times New Roman;Times;serif" w:hAnsi="Times New Roman;Times;serif"/>
          <w:sz w:val="22"/>
        </w:rPr>
        <w:t>means any of the events set forth in Section 4043(c) of ERISA, other than events for which the 30 day notice period has been waived under applicable Law.</w:t>
      </w:r>
    </w:p>
    <w:p>
      <w:pPr>
        <w:pStyle w:val="TextBody"/>
        <w:bidi w:val="0"/>
        <w:spacing w:before="0" w:after="240"/>
        <w:ind w:left="0" w:right="0" w:firstLine="720"/>
        <w:jc w:val="both"/>
        <w:rPr/>
      </w:pPr>
      <w:r>
        <w:rPr/>
        <w:t>“</w:t>
      </w:r>
      <w:r>
        <w:rPr>
          <w:rFonts w:ascii="Times New Roman;Times;serif" w:hAnsi="Times New Roman;Times;serif"/>
          <w:sz w:val="22"/>
          <w:u w:val="single"/>
        </w:rPr>
        <w:t>Request for Credit Extension</w:t>
      </w:r>
      <w:r>
        <w:rPr>
          <w:rFonts w:ascii="Times New Roman;Times;serif" w:hAnsi="Times New Roman;Times;serif"/>
          <w:sz w:val="20"/>
        </w:rPr>
        <w:t xml:space="preserve">” </w:t>
      </w:r>
      <w:r>
        <w:rPr>
          <w:rFonts w:ascii="Times New Roman;Times;serif" w:hAnsi="Times New Roman;Times;serif"/>
          <w:sz w:val="22"/>
        </w:rPr>
        <w:t>means (a) with respect to a Borrowing, conversion or continuation of Committed Loans, a Committed Loan Notice, (b) with respect to an L/C Credit Extension, a Letter of Credit Application, and (c) with respect to a Swing Line Loan, a Swing Line Loan Notice.</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Required Lenders</w:t>
      </w:r>
      <w:r>
        <w:rPr>
          <w:rFonts w:ascii="Times New Roman;Times;serif" w:hAnsi="Times New Roman;Times;serif"/>
          <w:sz w:val="20"/>
        </w:rPr>
        <w:t xml:space="preserve">” </w:t>
      </w:r>
      <w:r>
        <w:rPr>
          <w:rFonts w:ascii="Times New Roman;Times;serif" w:hAnsi="Times New Roman;Times;serif"/>
          <w:sz w:val="22"/>
        </w:rPr>
        <w:t xml:space="preserve">means, as of any date of determination, Lenders having more than 50% of the Aggregate Commitments or, if the commitment of each Lender to make Loans and the obligation of each L/C Issuer to make L/C Credit Extensions have been terminated pursuant to </w:t>
      </w:r>
      <w:r>
        <w:rPr>
          <w:rFonts w:ascii="Times New Roman;Times;serif" w:hAnsi="Times New Roman;Times;serif"/>
          <w:sz w:val="22"/>
          <w:u w:val="single"/>
        </w:rPr>
        <w:t>Section 8.02</w:t>
      </w:r>
      <w:r>
        <w:rPr>
          <w:rFonts w:ascii="Times New Roman;Times;serif" w:hAnsi="Times New Roman;Times;serif"/>
          <w:sz w:val="22"/>
        </w:rPr>
        <w:t xml:space="preserve">, Lenders holding in the aggregate more than 50% of the Total Outstandings (with the aggregate amount of each Lender’s risk participation and funded participation in L/C Obligations and Swing Line Loans being deemed “held” by such Lender for purposes of this definition); </w:t>
      </w:r>
      <w:r>
        <w:rPr>
          <w:rFonts w:ascii="Times New Roman;Times;serif" w:hAnsi="Times New Roman;Times;serif"/>
          <w:sz w:val="22"/>
          <w:u w:val="single"/>
        </w:rPr>
        <w:t>provided</w:t>
      </w:r>
      <w:r>
        <w:rPr>
          <w:rFonts w:ascii="Times New Roman;Times;serif" w:hAnsi="Times New Roman;Times;serif"/>
          <w:sz w:val="22"/>
        </w:rPr>
        <w:t xml:space="preserve">, that the Total Credit Exposure of any Defaulting Lender shall be excluded for purposes of making a determination of Required Lenders, and </w:t>
      </w:r>
      <w:r>
        <w:rPr>
          <w:rFonts w:ascii="Times New Roman;Times;serif" w:hAnsi="Times New Roman;Times;serif"/>
          <w:sz w:val="22"/>
          <w:u w:val="single"/>
        </w:rPr>
        <w:t>provided further</w:t>
      </w:r>
      <w:r>
        <w:rPr>
          <w:rFonts w:ascii="Times New Roman;Times;serif" w:hAnsi="Times New Roman;Times;serif"/>
          <w:sz w:val="22"/>
        </w:rPr>
        <w:t>, that if and to the extent that the Defaulting Lender fails to fund its participation in any Swing Line Loan or Unreimbursed Amount and such amount has not been reallocated to and funded by another Lender, then such amount shall be deemed to be held by the Lender that is the Swing Line Lender or the applicable L/C Issuer, as the case may be, for as long as such Swing Line Lender or L/C Issuer is not itself a Defaulting Lender, in making such determination.</w:t>
      </w:r>
    </w:p>
    <w:p>
      <w:pPr>
        <w:pStyle w:val="TextBody"/>
        <w:bidi w:val="0"/>
        <w:spacing w:before="0" w:after="240"/>
        <w:ind w:left="0" w:right="0" w:firstLine="720"/>
        <w:jc w:val="both"/>
        <w:rPr/>
      </w:pPr>
      <w:r>
        <w:rPr/>
        <w:t>“</w:t>
      </w:r>
      <w:r>
        <w:rPr>
          <w:rFonts w:ascii="Times New Roman;Times;serif" w:hAnsi="Times New Roman;Times;serif"/>
          <w:sz w:val="22"/>
          <w:u w:val="single"/>
        </w:rPr>
        <w:t>Rescindable Amount</w:t>
      </w:r>
      <w:r>
        <w:rPr>
          <w:rFonts w:ascii="Times New Roman;Times;serif" w:hAnsi="Times New Roman;Times;serif"/>
          <w:sz w:val="20"/>
        </w:rPr>
        <w:t xml:space="preserve">” </w:t>
      </w:r>
      <w:r>
        <w:rPr>
          <w:rFonts w:ascii="Times New Roman;Times;serif" w:hAnsi="Times New Roman;Times;serif"/>
          <w:sz w:val="22"/>
        </w:rPr>
        <w:t xml:space="preserve">has the meaning as specified in </w:t>
      </w:r>
      <w:r>
        <w:rPr>
          <w:rFonts w:ascii="Times New Roman;Times;serif" w:hAnsi="Times New Roman;Times;serif"/>
          <w:sz w:val="22"/>
          <w:u w:val="single"/>
        </w:rPr>
        <w:t>Section 2.12(b)(ii)</w:t>
      </w:r>
      <w:r>
        <w:rPr>
          <w:rFonts w:ascii="Times New Roman;Times;serif" w:hAnsi="Times New Roman;Times;serif"/>
          <w:sz w:val="22"/>
        </w:rPr>
        <w:t xml:space="preserve">. </w:t>
      </w:r>
    </w:p>
    <w:p>
      <w:pPr>
        <w:pStyle w:val="TextBody"/>
        <w:bidi w:val="0"/>
        <w:spacing w:before="0" w:after="240"/>
        <w:ind w:left="0" w:right="0" w:firstLine="720"/>
        <w:jc w:val="both"/>
        <w:rPr/>
      </w:pPr>
      <w:r>
        <w:rPr/>
        <w:t>“</w:t>
      </w:r>
      <w:r>
        <w:rPr>
          <w:rFonts w:ascii="Times New Roman;Times;serif" w:hAnsi="Times New Roman;Times;serif"/>
          <w:sz w:val="22"/>
          <w:u w:val="single"/>
        </w:rPr>
        <w:t>Resignation Effective Date</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9.06(a)</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Resolution Authority</w:t>
      </w:r>
      <w:r>
        <w:rPr>
          <w:rFonts w:ascii="Times New Roman;Times;serif" w:hAnsi="Times New Roman;Times;serif"/>
          <w:sz w:val="20"/>
        </w:rPr>
        <w:t xml:space="preserve">” </w:t>
      </w:r>
      <w:r>
        <w:rPr>
          <w:rFonts w:ascii="Times New Roman;Times;serif" w:hAnsi="Times New Roman;Times;serif"/>
          <w:sz w:val="22"/>
        </w:rPr>
        <w:t>means an EEA Resolution Authority or, with respect to any UK Financial Institution, a UK Resolution Authority.</w:t>
      </w:r>
    </w:p>
    <w:p>
      <w:pPr>
        <w:pStyle w:val="TextBody"/>
        <w:bidi w:val="0"/>
        <w:spacing w:before="0" w:after="240"/>
        <w:ind w:left="0" w:right="0" w:firstLine="720"/>
        <w:jc w:val="both"/>
        <w:rPr/>
      </w:pPr>
      <w:r>
        <w:rPr/>
        <w:t>“</w:t>
      </w:r>
      <w:r>
        <w:rPr>
          <w:rFonts w:ascii="Times New Roman;Times;serif" w:hAnsi="Times New Roman;Times;serif"/>
          <w:sz w:val="22"/>
          <w:u w:val="single"/>
        </w:rPr>
        <w:t>Responsible Officer</w:t>
      </w:r>
      <w:r>
        <w:rPr>
          <w:rFonts w:ascii="Times New Roman;Times;serif" w:hAnsi="Times New Roman;Times;serif"/>
          <w:sz w:val="20"/>
        </w:rPr>
        <w:t xml:space="preserve">” </w:t>
      </w:r>
      <w:r>
        <w:rPr>
          <w:rFonts w:ascii="Times New Roman;Times;serif" w:hAnsi="Times New Roman;Times;serif"/>
          <w:sz w:val="22"/>
        </w:rPr>
        <w:t xml:space="preserve">means (i) the chief executive officer, president, chief financial officer, treasurer or assistant treasurer of a Loan Party, and with respect to any Designated Borrower, any other signatory authorized in writing by the board of directors, the managing member or comparable governing body or Person of such Designated Borrower (each, an “Authorized Signatory”), (ii) solely for purposes of the delivery of incumbency certificates pursuant to </w:t>
      </w:r>
      <w:r>
        <w:rPr>
          <w:rFonts w:ascii="Times New Roman;Times;serif" w:hAnsi="Times New Roman;Times;serif"/>
          <w:sz w:val="22"/>
          <w:u w:val="single"/>
        </w:rPr>
        <w:t>Section 4.01</w:t>
      </w:r>
      <w:r>
        <w:rPr>
          <w:rFonts w:ascii="Times New Roman;Times;serif" w:hAnsi="Times New Roman;Times;serif"/>
          <w:sz w:val="22"/>
        </w:rPr>
        <w:t>, the secretary or any assistant secretary of a Loan Party and, with respect to any Designated Borrower, an Authorized Signatory and (x) solely for purposes of notices given pursuant to Article II, any officer or employee of the applicable Loan Party so designated by any of the foregoing officers in a notice to the Administrative Agent and, with respect to any Designated Borrower, an Authorized Signatory.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before="0" w:after="240"/>
        <w:ind w:left="0" w:right="0" w:firstLine="720"/>
        <w:jc w:val="both"/>
        <w:rPr/>
      </w:pPr>
      <w:r>
        <w:rPr/>
        <w:t>“</w:t>
      </w:r>
      <w:r>
        <w:rPr>
          <w:rFonts w:ascii="Times New Roman;Times;serif" w:hAnsi="Times New Roman;Times;serif"/>
          <w:sz w:val="22"/>
          <w:u w:val="single"/>
        </w:rPr>
        <w:t>Restricted Lender</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2.14(a)</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Restricted Payment</w:t>
      </w:r>
      <w:r>
        <w:rPr>
          <w:rFonts w:ascii="Times New Roman;Times;serif" w:hAnsi="Times New Roman;Times;serif"/>
          <w:sz w:val="20"/>
        </w:rPr>
        <w:t xml:space="preserve">” </w:t>
      </w:r>
      <w:r>
        <w:rPr>
          <w:rFonts w:ascii="Times New Roman;Times;serif" w:hAnsi="Times New Roman;Times;serif"/>
          <w:sz w:val="22"/>
        </w:rPr>
        <w:t xml:space="preserve">means any dividend or other distribution (whether in cash, securities or other property) with respect to any capital stock or other Equity Interest of the Company or any Subsidiary, or any payment (whether in cash, securities or other property), including any sinking fund or similar deposit, on account of the purchase, redemption, retirement, acquisition, cancellation or termination of any such capital stock or other Equity Interest, or on account of any return of capital to the Company’s stockholders, partners or members (or the equivalent Person thereof);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none of the following shall be deemed to be a Restricted Payment: (w) the conversion of, or payment for, including payments of principal, payments upon redemption or repurchase, or payments of any interest with respect to, any convertible notes issued by the Company, in accordance with the terms of the indenture or other documentation governing such convertible notes, (x) the exchange of convertible notes issued by the Company for (1) new convertible notes of the Company, (2) Equity Interests of the Company, or (3) cash in respect of the accrued and unpaid interest on such exchanged convertible notes, (y) delivery of Equity Interests of the Company and cash in lieu of fractional shares or in respect of accrued and unpaid interest to any holder of convertible notes of the Company in order to induce such holder to convert such convertible notes in accordance with the terms of the indenture or other documentation governing such convertible notes, and (z) the purchase, redemption, retirement or other</w:t>
      </w:r>
    </w:p>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acquisition of shares of the Company’s capital stock or other Equity Interests in connection with any Swap Contract entered into by the Company substantially concurrently with any issuance of convertible notes.</w:t>
      </w:r>
    </w:p>
    <w:p>
      <w:pPr>
        <w:pStyle w:val="TextBody"/>
        <w:bidi w:val="0"/>
        <w:spacing w:before="0" w:after="240"/>
        <w:ind w:left="0" w:right="0" w:firstLine="720"/>
        <w:jc w:val="both"/>
        <w:rPr/>
      </w:pPr>
      <w:r>
        <w:rPr/>
        <w:t>“</w:t>
      </w:r>
      <w:r>
        <w:rPr>
          <w:rFonts w:ascii="Times New Roman;Times;serif" w:hAnsi="Times New Roman;Times;serif"/>
          <w:sz w:val="22"/>
          <w:u w:val="single"/>
        </w:rPr>
        <w:t>Revaluation Date</w:t>
      </w:r>
      <w:r>
        <w:rPr>
          <w:rFonts w:ascii="Times New Roman;Times;serif" w:hAnsi="Times New Roman;Times;serif"/>
          <w:sz w:val="20"/>
        </w:rPr>
        <w:t xml:space="preserve">” </w:t>
      </w:r>
      <w:r>
        <w:rPr>
          <w:rFonts w:ascii="Times New Roman;Times;serif" w:hAnsi="Times New Roman;Times;serif"/>
          <w:sz w:val="22"/>
        </w:rPr>
        <w:t xml:space="preserve">means, with respect to any Loan, each of the following: (a) each date of a Committed Borrowing of an Alternative Currency Loan, (b) with respect to an Alternative Currency Daily Rate Loan, each Interest Payment Date, (c) each date of a continuation of an Alternative Currency Term Rate Loan pursuant to </w:t>
      </w:r>
      <w:r>
        <w:rPr>
          <w:rFonts w:ascii="Times New Roman;Times;serif" w:hAnsi="Times New Roman;Times;serif"/>
          <w:sz w:val="22"/>
          <w:u w:val="single"/>
        </w:rPr>
        <w:t>Section 2.02</w:t>
      </w:r>
      <w:r>
        <w:rPr>
          <w:rFonts w:ascii="Times New Roman;Times;serif" w:hAnsi="Times New Roman;Times;serif"/>
          <w:sz w:val="22"/>
        </w:rPr>
        <w:t>, and (d) such additional dates as the Administrative Agent shall determine or the Required Lenders shall require.</w:t>
      </w:r>
    </w:p>
    <w:p>
      <w:pPr>
        <w:pStyle w:val="TextBody"/>
        <w:bidi w:val="0"/>
        <w:spacing w:before="0" w:after="240"/>
        <w:ind w:left="0" w:right="0" w:firstLine="720"/>
        <w:jc w:val="both"/>
        <w:rPr/>
      </w:pPr>
      <w:r>
        <w:rPr/>
        <w:t>“</w:t>
      </w:r>
      <w:r>
        <w:rPr>
          <w:rFonts w:ascii="Times New Roman;Times;serif" w:hAnsi="Times New Roman;Times;serif"/>
          <w:sz w:val="22"/>
          <w:u w:val="single"/>
        </w:rPr>
        <w:t>Revolving Credit Exposure</w:t>
      </w:r>
      <w:r>
        <w:rPr>
          <w:rFonts w:ascii="Times New Roman;Times;serif" w:hAnsi="Times New Roman;Times;serif"/>
          <w:sz w:val="20"/>
        </w:rPr>
        <w:t xml:space="preserve">” </w:t>
      </w:r>
      <w:r>
        <w:rPr>
          <w:rFonts w:ascii="Times New Roman;Times;serif" w:hAnsi="Times New Roman;Times;serif"/>
          <w:sz w:val="22"/>
        </w:rPr>
        <w:t>means, as to any Lender at any time, the aggregate principal amount at such time of its outstanding Committed Loans and such Lender’s participation in L/C Obligations and Swing Line Loans at such time.</w:t>
      </w:r>
    </w:p>
    <w:p>
      <w:pPr>
        <w:pStyle w:val="TextBody"/>
        <w:bidi w:val="0"/>
        <w:spacing w:before="0" w:after="240"/>
        <w:ind w:left="0" w:right="0" w:firstLine="720"/>
        <w:jc w:val="both"/>
        <w:rPr/>
      </w:pPr>
      <w:r>
        <w:rPr/>
        <w:t>“</w:t>
      </w:r>
      <w:r>
        <w:rPr>
          <w:rFonts w:ascii="Times New Roman;Times;serif" w:hAnsi="Times New Roman;Times;serif"/>
          <w:sz w:val="22"/>
          <w:u w:val="single"/>
        </w:rPr>
        <w:t>S&amp;P</w:t>
      </w:r>
      <w:r>
        <w:rPr>
          <w:rFonts w:ascii="Times New Roman;Times;serif" w:hAnsi="Times New Roman;Times;serif"/>
          <w:sz w:val="20"/>
        </w:rPr>
        <w:t xml:space="preserve">” </w:t>
      </w:r>
      <w:r>
        <w:rPr>
          <w:rFonts w:ascii="Times New Roman;Times;serif" w:hAnsi="Times New Roman;Times;serif"/>
          <w:sz w:val="22"/>
        </w:rPr>
        <w:t>means Standard &amp; Poor’s Financial Services LLC, a subsidiary of S&amp;P Global Inc., and any successor thereto.</w:t>
      </w:r>
    </w:p>
    <w:p>
      <w:pPr>
        <w:pStyle w:val="TextBody"/>
        <w:bidi w:val="0"/>
        <w:spacing w:before="0" w:after="240"/>
        <w:ind w:left="0" w:right="0" w:firstLine="720"/>
        <w:jc w:val="both"/>
        <w:rPr/>
      </w:pPr>
      <w:r>
        <w:rPr/>
        <w:t>“</w:t>
      </w:r>
      <w:r>
        <w:rPr>
          <w:rFonts w:ascii="Times New Roman;Times;serif" w:hAnsi="Times New Roman;Times;serif"/>
          <w:sz w:val="22"/>
          <w:u w:val="single"/>
        </w:rPr>
        <w:t>Sanction</w:t>
      </w:r>
      <w:r>
        <w:rPr>
          <w:rFonts w:ascii="Times New Roman;Times;serif" w:hAnsi="Times New Roman;Times;serif"/>
          <w:sz w:val="22"/>
        </w:rPr>
        <w:t>(s)” means any economic, financial, trade or similar sanctions or embargoes administered or enforced by the United States Government (including, without limitation, OFAC), the United Nations Security Council, the European Union, His Majesty’s Treasury (“</w:t>
      </w:r>
      <w:r>
        <w:rPr>
          <w:rFonts w:ascii="Times New Roman;Times;serif" w:hAnsi="Times New Roman;Times;serif"/>
          <w:sz w:val="22"/>
          <w:u w:val="single"/>
        </w:rPr>
        <w:t>HMT</w:t>
      </w:r>
      <w:r>
        <w:rPr>
          <w:rFonts w:ascii="Times New Roman;Times;serif" w:hAnsi="Times New Roman;Times;serif"/>
          <w:sz w:val="20"/>
        </w:rPr>
        <w:t>”</w:t>
      </w:r>
      <w:r>
        <w:rPr>
          <w:rFonts w:ascii="Times New Roman;Times;serif" w:hAnsi="Times New Roman;Times;serif"/>
          <w:sz w:val="22"/>
        </w:rPr>
        <w:t>) or other relevant sanctions authority.</w:t>
      </w:r>
    </w:p>
    <w:p>
      <w:pPr>
        <w:pStyle w:val="TextBody"/>
        <w:bidi w:val="0"/>
        <w:spacing w:before="0" w:after="240"/>
        <w:ind w:left="0" w:right="0" w:firstLine="720"/>
        <w:jc w:val="both"/>
        <w:rPr/>
      </w:pPr>
      <w:r>
        <w:rPr/>
        <w:t>“</w:t>
      </w:r>
      <w:r>
        <w:rPr>
          <w:rFonts w:ascii="Times New Roman;Times;serif" w:hAnsi="Times New Roman;Times;serif"/>
          <w:sz w:val="22"/>
          <w:u w:val="single"/>
        </w:rPr>
        <w:t>Same Day Funds</w:t>
      </w:r>
      <w:r>
        <w:rPr>
          <w:rFonts w:ascii="Times New Roman;Times;serif" w:hAnsi="Times New Roman;Times;serif"/>
          <w:sz w:val="20"/>
        </w:rPr>
        <w:t xml:space="preserve">” </w:t>
      </w:r>
      <w:r>
        <w:rPr>
          <w:rFonts w:ascii="Times New Roman;Times;serif" w:hAnsi="Times New Roman;Times;serif"/>
          <w:sz w:val="22"/>
        </w:rPr>
        <w:t>means (a) with respect to disbursements and payments in Dollars, immediately available funds, and (b) with respect to disbursements and payments in an Alternative Currency, same day or other funds as may be determined by the Administrative Agent to be customary in the place of disbursement or payment for the settlement of international banking transactions in the relevant Alternative Currency.</w:t>
      </w:r>
    </w:p>
    <w:p>
      <w:pPr>
        <w:pStyle w:val="TextBody"/>
        <w:bidi w:val="0"/>
        <w:spacing w:before="0" w:after="240"/>
        <w:ind w:left="0" w:right="0" w:firstLine="720"/>
        <w:jc w:val="both"/>
        <w:rPr/>
      </w:pPr>
      <w:r>
        <w:rPr/>
        <w:t>“</w:t>
      </w:r>
      <w:r>
        <w:rPr>
          <w:rFonts w:ascii="Times New Roman;Times;serif" w:hAnsi="Times New Roman;Times;serif"/>
          <w:sz w:val="22"/>
          <w:u w:val="single"/>
        </w:rPr>
        <w:t>Sarbanes-Oxley</w:t>
      </w:r>
      <w:r>
        <w:rPr>
          <w:rFonts w:ascii="Times New Roman;Times;serif" w:hAnsi="Times New Roman;Times;serif"/>
          <w:sz w:val="20"/>
        </w:rPr>
        <w:t xml:space="preserve">” </w:t>
      </w:r>
      <w:r>
        <w:rPr>
          <w:rFonts w:ascii="Times New Roman;Times;serif" w:hAnsi="Times New Roman;Times;serif"/>
          <w:sz w:val="22"/>
        </w:rPr>
        <w:t>means the Sarbanes-Oxley Act of 2002.</w:t>
      </w:r>
    </w:p>
    <w:p>
      <w:pPr>
        <w:pStyle w:val="TextBody"/>
        <w:bidi w:val="0"/>
        <w:spacing w:before="0" w:after="240"/>
        <w:ind w:left="0" w:right="0" w:firstLine="720"/>
        <w:jc w:val="both"/>
        <w:rPr/>
      </w:pPr>
      <w:r>
        <w:rPr/>
        <w:t>“</w:t>
      </w:r>
      <w:r>
        <w:rPr>
          <w:rFonts w:ascii="Times New Roman;Times;serif" w:hAnsi="Times New Roman;Times;serif"/>
          <w:sz w:val="22"/>
          <w:u w:val="single"/>
        </w:rPr>
        <w:t>Scheduled Unavailability Date</w:t>
      </w:r>
      <w:r>
        <w:rPr>
          <w:rFonts w:ascii="Times New Roman;Times;serif" w:hAnsi="Times New Roman;Times;serif"/>
          <w:sz w:val="20"/>
        </w:rPr>
        <w:t xml:space="preserve">” </w:t>
      </w:r>
      <w:r>
        <w:rPr>
          <w:rFonts w:ascii="Times New Roman;Times;serif" w:hAnsi="Times New Roman;Times;serif"/>
          <w:sz w:val="22"/>
        </w:rPr>
        <w:t xml:space="preserve">has the meaning set forth in </w:t>
      </w:r>
      <w:r>
        <w:rPr>
          <w:rFonts w:ascii="Times New Roman;Times;serif" w:hAnsi="Times New Roman;Times;serif"/>
          <w:sz w:val="22"/>
          <w:u w:val="single"/>
        </w:rPr>
        <w:t>Section 3.03(c)(ii)</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SEC</w:t>
      </w:r>
      <w:r>
        <w:rPr>
          <w:rFonts w:ascii="Times New Roman;Times;serif" w:hAnsi="Times New Roman;Times;serif"/>
          <w:sz w:val="20"/>
        </w:rPr>
        <w:t xml:space="preserve">” </w:t>
      </w:r>
      <w:r>
        <w:rPr>
          <w:rFonts w:ascii="Times New Roman;Times;serif" w:hAnsi="Times New Roman;Times;serif"/>
          <w:sz w:val="22"/>
        </w:rPr>
        <w:t>means the Securities and Exchange Commission, or any Governmental Authority succeeding to any of its principal functions.</w:t>
      </w:r>
    </w:p>
    <w:p>
      <w:pPr>
        <w:pStyle w:val="TextBody"/>
        <w:bidi w:val="0"/>
        <w:spacing w:before="0" w:after="240"/>
        <w:ind w:left="0" w:right="0" w:firstLine="720"/>
        <w:jc w:val="both"/>
        <w:rPr/>
      </w:pPr>
      <w:r>
        <w:rPr/>
        <w:t>“</w:t>
      </w:r>
      <w:r>
        <w:rPr>
          <w:rFonts w:ascii="Times New Roman;Times;serif" w:hAnsi="Times New Roman;Times;serif"/>
          <w:sz w:val="22"/>
          <w:u w:val="single"/>
        </w:rPr>
        <w:t>Securities Exchange Act</w:t>
      </w:r>
      <w:r>
        <w:rPr>
          <w:rFonts w:ascii="Times New Roman;Times;serif" w:hAnsi="Times New Roman;Times;serif"/>
          <w:sz w:val="20"/>
        </w:rPr>
        <w:t xml:space="preserve">” </w:t>
      </w:r>
      <w:r>
        <w:rPr>
          <w:rFonts w:ascii="Times New Roman;Times;serif" w:hAnsi="Times New Roman;Times;serif"/>
          <w:sz w:val="22"/>
        </w:rPr>
        <w:t>means the Securities Exchange Act of 1934.</w:t>
      </w:r>
    </w:p>
    <w:p>
      <w:pPr>
        <w:pStyle w:val="TextBody"/>
        <w:bidi w:val="0"/>
        <w:spacing w:before="0" w:after="240"/>
        <w:ind w:left="0" w:right="0" w:firstLine="720"/>
        <w:jc w:val="both"/>
        <w:rPr/>
      </w:pPr>
      <w:r>
        <w:rPr/>
        <w:t>“</w:t>
      </w:r>
      <w:r>
        <w:rPr>
          <w:rFonts w:ascii="Times New Roman;Times;serif" w:hAnsi="Times New Roman;Times;serif"/>
          <w:sz w:val="22"/>
          <w:u w:val="single"/>
        </w:rPr>
        <w:t>Securities Laws</w:t>
      </w:r>
      <w:r>
        <w:rPr>
          <w:rFonts w:ascii="Times New Roman;Times;serif" w:hAnsi="Times New Roman;Times;serif"/>
          <w:sz w:val="20"/>
        </w:rPr>
        <w:t xml:space="preserve">” </w:t>
      </w:r>
      <w:r>
        <w:rPr>
          <w:rFonts w:ascii="Times New Roman;Times;serif" w:hAnsi="Times New Roman;Times;serif"/>
          <w:sz w:val="22"/>
        </w:rPr>
        <w:t>means the Securities Act of 1933, the Securities Exchange Act, Sarbanes-Oxley and the applicable accounting and auditing principles, rules, standards and practices promulgated, approved or incorporated by the SEC or the Public Company Accounting Oversight Board, as each of the foregoing may be amended and in effect on any applicable date hereunder.</w:t>
      </w:r>
    </w:p>
    <w:p>
      <w:pPr>
        <w:pStyle w:val="TextBody"/>
        <w:bidi w:val="0"/>
        <w:spacing w:before="0" w:after="240"/>
        <w:ind w:left="0" w:right="0" w:firstLine="720"/>
        <w:jc w:val="both"/>
        <w:rPr/>
      </w:pPr>
      <w:r>
        <w:rPr/>
        <w:t>“</w:t>
      </w:r>
      <w:r>
        <w:rPr>
          <w:rFonts w:ascii="Times New Roman;Times;serif" w:hAnsi="Times New Roman;Times;serif"/>
          <w:sz w:val="22"/>
          <w:u w:val="single"/>
        </w:rPr>
        <w:t>Shareholders’ Equity</w:t>
      </w:r>
      <w:r>
        <w:rPr>
          <w:rFonts w:ascii="Times New Roman;Times;serif" w:hAnsi="Times New Roman;Times;serif"/>
          <w:sz w:val="20"/>
        </w:rPr>
        <w:t xml:space="preserve">” </w:t>
      </w:r>
      <w:r>
        <w:rPr>
          <w:rFonts w:ascii="Times New Roman;Times;serif" w:hAnsi="Times New Roman;Times;serif"/>
          <w:sz w:val="22"/>
        </w:rPr>
        <w:t>means, as of any date of determination, consolidated shareholders’ equity of the Company and its Subsidiaries as of that date determined in accordance with GAAP.</w:t>
      </w:r>
    </w:p>
    <w:p>
      <w:pPr>
        <w:pStyle w:val="TextBody"/>
        <w:bidi w:val="0"/>
        <w:spacing w:before="0" w:after="240"/>
        <w:ind w:left="0" w:right="0" w:firstLine="720"/>
        <w:jc w:val="both"/>
        <w:rPr/>
      </w:pPr>
      <w:r>
        <w:rPr/>
        <w:t>“</w:t>
      </w:r>
      <w:r>
        <w:rPr>
          <w:rFonts w:ascii="Times New Roman;Times;serif" w:hAnsi="Times New Roman;Times;serif"/>
          <w:sz w:val="22"/>
          <w:u w:val="single"/>
        </w:rPr>
        <w:t>SOFR</w:t>
      </w:r>
      <w:r>
        <w:rPr>
          <w:rFonts w:ascii="Times New Roman;Times;serif" w:hAnsi="Times New Roman;Times;serif"/>
          <w:sz w:val="20"/>
        </w:rPr>
        <w:t xml:space="preserve">” </w:t>
      </w:r>
      <w:r>
        <w:rPr>
          <w:rFonts w:ascii="Times New Roman;Times;serif" w:hAnsi="Times New Roman;Times;serif"/>
          <w:sz w:val="22"/>
        </w:rPr>
        <w:t>means the Secured Overnight Financing Rate as administered by the SOFR Administrator.</w:t>
      </w:r>
    </w:p>
    <w:p>
      <w:pPr>
        <w:pStyle w:val="TextBody"/>
        <w:bidi w:val="0"/>
        <w:spacing w:before="0" w:after="240"/>
        <w:ind w:left="0" w:right="0" w:firstLine="720"/>
        <w:jc w:val="both"/>
        <w:rPr/>
      </w:pPr>
      <w:r>
        <w:rPr>
          <w:color w:val="FF0000"/>
        </w:rPr>
        <w:t>“</w:t>
      </w:r>
      <w:r>
        <w:rPr>
          <w:rFonts w:ascii="Times New Roman;Times;serif" w:hAnsi="Times New Roman;Times;serif"/>
          <w:color w:val="FF0000"/>
          <w:sz w:val="22"/>
          <w:u w:val="single"/>
        </w:rPr>
        <w:t>SOFR Adjustment</w:t>
      </w:r>
      <w:r>
        <w:rPr>
          <w:rFonts w:ascii="Times New Roman;Times;serif" w:hAnsi="Times New Roman;Times;serif"/>
          <w:color w:val="FF0000"/>
          <w:sz w:val="20"/>
        </w:rPr>
        <w:t xml:space="preserve">” </w:t>
      </w:r>
      <w:r>
        <w:rPr>
          <w:rFonts w:ascii="Times New Roman;Times;serif" w:hAnsi="Times New Roman;Times;serif"/>
          <w:color w:val="FF0000"/>
          <w:sz w:val="22"/>
        </w:rPr>
        <w:t>0.10% (10.0 basis points).</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SOFR Administrator</w:t>
      </w:r>
      <w:r>
        <w:rPr>
          <w:rFonts w:ascii="Times New Roman;Times;serif" w:hAnsi="Times New Roman;Times;serif"/>
          <w:sz w:val="20"/>
        </w:rPr>
        <w:t xml:space="preserve">” </w:t>
      </w:r>
      <w:r>
        <w:rPr>
          <w:rFonts w:ascii="Times New Roman;Times;serif" w:hAnsi="Times New Roman;Times;serif"/>
          <w:sz w:val="22"/>
        </w:rPr>
        <w:t>means the Federal Reserve Bank of New York, as the administrator of SOFR, or any successor administrator of SOFR designated by the Federal Reserve Bank of New York or other Person acting as the SOFR Administrator at such time.</w:t>
      </w:r>
    </w:p>
    <w:p>
      <w:pPr>
        <w:pStyle w:val="TextBody"/>
        <w:bidi w:val="0"/>
        <w:spacing w:before="0" w:after="240"/>
        <w:ind w:left="0" w:right="0" w:firstLine="720"/>
        <w:jc w:val="both"/>
        <w:rPr/>
      </w:pPr>
      <w:r>
        <w:rPr/>
        <w:t>“</w:t>
      </w:r>
      <w:r>
        <w:rPr>
          <w:rFonts w:ascii="Times New Roman;Times;serif" w:hAnsi="Times New Roman;Times;serif"/>
          <w:sz w:val="22"/>
          <w:u w:val="single"/>
        </w:rPr>
        <w:t>SOFR Daily Floating Rate</w:t>
      </w:r>
      <w:r>
        <w:rPr>
          <w:rFonts w:ascii="Times New Roman;Times;serif" w:hAnsi="Times New Roman;Times;serif"/>
          <w:sz w:val="20"/>
        </w:rPr>
        <w:t xml:space="preserve">” </w:t>
      </w:r>
      <w:r>
        <w:rPr>
          <w:rFonts w:ascii="Times New Roman;Times;serif" w:hAnsi="Times New Roman;Times;serif"/>
          <w:sz w:val="22"/>
        </w:rPr>
        <w:t xml:space="preserve">means, for any day, a fluctuating rate of interest, which can change on each Business Day, equal to the Term SOFR Screen Rate two U.S. Government Securities Business Days prior to such day, with a term equivalent to one month beginning on that date; </w:t>
      </w:r>
      <w:r>
        <w:rPr>
          <w:rFonts w:ascii="Times New Roman;Times;serif" w:hAnsi="Times New Roman;Times;serif"/>
          <w:sz w:val="22"/>
          <w:u w:val="single"/>
        </w:rPr>
        <w:t>provided</w:t>
      </w:r>
      <w:r>
        <w:rPr>
          <w:rFonts w:ascii="Times New Roman;Times;serif" w:hAnsi="Times New Roman;Times;serif"/>
          <w:sz w:val="22"/>
        </w:rPr>
        <w:t>, that, if the rate is not published prior to 11:00 a.m. on such determination date then the SOFR Daily Floating Rate means such Term SOFR Screen Rate on the first U.S. Government Securities Business Day immediately prior thereto</w:t>
      </w:r>
      <w:r>
        <w:rPr>
          <w:rFonts w:ascii="Times New Roman;Times;serif" w:hAnsi="Times New Roman;Times;serif"/>
          <w:color w:val="FF0000"/>
          <w:sz w:val="22"/>
        </w:rPr>
        <w:t xml:space="preserve">, in each case, </w:t>
      </w:r>
      <w:r>
        <w:rPr>
          <w:rFonts w:ascii="Times New Roman;Times;serif" w:hAnsi="Times New Roman;Times;serif"/>
          <w:color w:val="FF0000"/>
          <w:sz w:val="22"/>
          <w:u w:val="single"/>
        </w:rPr>
        <w:t>plus</w:t>
      </w:r>
      <w:r>
        <w:rPr>
          <w:rFonts w:ascii="Times New Roman;Times;serif" w:hAnsi="Times New Roman;Times;serif"/>
          <w:color w:val="FF0000"/>
          <w:sz w:val="20"/>
        </w:rPr>
        <w:t xml:space="preserve"> </w:t>
      </w:r>
      <w:r>
        <w:rPr>
          <w:rFonts w:ascii="Times New Roman;Times;serif" w:hAnsi="Times New Roman;Times;serif"/>
          <w:color w:val="FF0000"/>
          <w:sz w:val="22"/>
        </w:rPr>
        <w:t>the SOFR Adjustment</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2"/>
        </w:rPr>
        <w:t>, further, that, if the SOFR Daily Floating Rate shall be less than zero, such rate shall be deemed zero for purposes 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SOFR Daily Floating Rate Loan</w:t>
      </w:r>
      <w:r>
        <w:rPr>
          <w:rFonts w:ascii="Times New Roman;Times;serif" w:hAnsi="Times New Roman;Times;serif"/>
          <w:sz w:val="20"/>
        </w:rPr>
        <w:t xml:space="preserve">” </w:t>
      </w:r>
      <w:r>
        <w:rPr>
          <w:rFonts w:ascii="Times New Roman;Times;serif" w:hAnsi="Times New Roman;Times;serif"/>
          <w:sz w:val="22"/>
        </w:rPr>
        <w:t>means a Committed Loan that bears interest at a rate based on the definition of SOFR Daily Floating Rate.</w:t>
      </w:r>
    </w:p>
    <w:p>
      <w:pPr>
        <w:pStyle w:val="TextBody"/>
        <w:bidi w:val="0"/>
        <w:spacing w:before="0" w:after="240"/>
        <w:ind w:left="0" w:right="0" w:firstLine="720"/>
        <w:jc w:val="both"/>
        <w:rPr/>
      </w:pPr>
      <w:r>
        <w:rPr/>
        <w:t>“</w:t>
      </w:r>
      <w:r>
        <w:rPr>
          <w:rFonts w:ascii="Times New Roman;Times;serif" w:hAnsi="Times New Roman;Times;serif"/>
          <w:sz w:val="22"/>
          <w:u w:val="single"/>
        </w:rPr>
        <w:t>Solvent</w:t>
      </w:r>
      <w:r>
        <w:rPr>
          <w:rFonts w:ascii="Times New Roman;Times;serif" w:hAnsi="Times New Roman;Times;serif"/>
          <w:sz w:val="20"/>
        </w:rPr>
        <w:t xml:space="preserve">” </w:t>
      </w:r>
      <w:r>
        <w:rPr>
          <w:rFonts w:ascii="Times New Roman;Times;serif" w:hAnsi="Times New Roman;Times;serif"/>
          <w:sz w:val="22"/>
        </w:rPr>
        <w:t>means, with respect to any Person, that the value of the assets of such Person (both at fair value and present fair saleable value) is, on the date of determination, greater than the total amount of liabilities (including contingent and unliquidated liabilities) of such Person as of such date and that, as of such date, such Person is able to pay all liabilities of such Person as such liabilities mature and does not have unreasonably small capital. In computing the amount of contingent or unliquidated liabilities at any time, such liabilities will be computed at the amount which, in light of all the facts and circumstances existing at such time, represents the amount that can reasonably be expected to become an actual or matured liability.</w:t>
      </w:r>
    </w:p>
    <w:p>
      <w:pPr>
        <w:pStyle w:val="TextBody"/>
        <w:bidi w:val="0"/>
        <w:spacing w:before="0" w:after="240"/>
        <w:ind w:left="0" w:right="0" w:firstLine="720"/>
        <w:jc w:val="both"/>
        <w:rPr/>
      </w:pPr>
      <w:r>
        <w:rPr/>
        <w:t>“</w:t>
      </w:r>
      <w:r>
        <w:rPr>
          <w:rFonts w:ascii="Times New Roman;Times;serif" w:hAnsi="Times New Roman;Times;serif"/>
          <w:sz w:val="22"/>
          <w:u w:val="single"/>
        </w:rPr>
        <w:t>SONIA</w:t>
      </w:r>
      <w:r>
        <w:rPr>
          <w:rFonts w:ascii="Times New Roman;Times;serif" w:hAnsi="Times New Roman;Times;serif"/>
          <w:sz w:val="20"/>
        </w:rPr>
        <w:t xml:space="preserve">” </w:t>
      </w:r>
      <w:r>
        <w:rPr>
          <w:rFonts w:ascii="Times New Roman;Times;serif" w:hAnsi="Times New Roman;Times;serif"/>
          <w:sz w:val="22"/>
        </w:rPr>
        <w:t xml:space="preserve">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however that if such determination date is not a Business Day, SONIA means such rate that applied on the first Business Day immediately prior thereto.</w:t>
      </w:r>
    </w:p>
    <w:p>
      <w:pPr>
        <w:pStyle w:val="TextBody"/>
        <w:bidi w:val="0"/>
        <w:spacing w:before="0" w:after="240"/>
        <w:ind w:left="0" w:right="0" w:firstLine="720"/>
        <w:jc w:val="both"/>
        <w:rPr/>
      </w:pPr>
      <w:r>
        <w:rPr/>
        <w:t>“</w:t>
      </w:r>
      <w:r>
        <w:rPr>
          <w:rFonts w:ascii="Times New Roman;Times;serif" w:hAnsi="Times New Roman;Times;serif"/>
          <w:sz w:val="22"/>
          <w:u w:val="single"/>
        </w:rPr>
        <w:t>Special Notice Currency</w:t>
      </w:r>
      <w:r>
        <w:rPr>
          <w:rFonts w:ascii="Times New Roman;Times;serif" w:hAnsi="Times New Roman;Times;serif"/>
          <w:sz w:val="20"/>
        </w:rPr>
        <w:t xml:space="preserve">” </w:t>
      </w:r>
      <w:r>
        <w:rPr>
          <w:rFonts w:ascii="Times New Roman;Times;serif" w:hAnsi="Times New Roman;Times;serif"/>
          <w:sz w:val="22"/>
        </w:rPr>
        <w:t>means at any time an Alternative Currency, other than the currency of a country that is a member of the Organization for Economic Cooperation and Development at such time and located in North America or Europe, and, for the avoidance of doubt, both the Euro and Sterling shall be deemed not to be a Special Notice Currency.</w:t>
      </w:r>
    </w:p>
    <w:p>
      <w:pPr>
        <w:pStyle w:val="TextBody"/>
        <w:bidi w:val="0"/>
        <w:spacing w:before="0" w:after="240"/>
        <w:ind w:left="0" w:right="0" w:firstLine="720"/>
        <w:jc w:val="both"/>
        <w:rPr/>
      </w:pPr>
      <w:r>
        <w:rPr/>
        <w:t>“</w:t>
      </w:r>
      <w:r>
        <w:rPr>
          <w:rFonts w:ascii="Times New Roman;Times;serif" w:hAnsi="Times New Roman;Times;serif"/>
          <w:sz w:val="22"/>
          <w:u w:val="single"/>
        </w:rPr>
        <w:t>Special Purpose Finance Subsidiary</w:t>
      </w:r>
      <w:r>
        <w:rPr>
          <w:rFonts w:ascii="Times New Roman;Times;serif" w:hAnsi="Times New Roman;Times;serif"/>
          <w:sz w:val="20"/>
        </w:rPr>
        <w:t xml:space="preserve">” </w:t>
      </w:r>
      <w:r>
        <w:rPr>
          <w:rFonts w:ascii="Times New Roman;Times;serif" w:hAnsi="Times New Roman;Times;serif"/>
          <w:sz w:val="22"/>
        </w:rPr>
        <w:t>means any Subsidiary of the Company created solely for the purposes of, and whose sole activity shall consist of, acquiring and financing accounts receivable of the Company and its Subsidiaries pursuant to a Permitted Securitization Facility.</w:t>
      </w:r>
    </w:p>
    <w:p>
      <w:pPr>
        <w:pStyle w:val="TextBody"/>
        <w:bidi w:val="0"/>
        <w:spacing w:before="0" w:after="240"/>
        <w:ind w:left="0" w:right="0" w:firstLine="720"/>
        <w:jc w:val="both"/>
        <w:rPr/>
      </w:pPr>
      <w:r>
        <w:rPr/>
        <w:t>“</w:t>
      </w:r>
      <w:r>
        <w:rPr>
          <w:rFonts w:ascii="Times New Roman;Times;serif" w:hAnsi="Times New Roman;Times;serif"/>
          <w:sz w:val="22"/>
          <w:u w:val="single"/>
        </w:rPr>
        <w:t>Spot Rate</w:t>
      </w:r>
      <w:r>
        <w:rPr>
          <w:rFonts w:ascii="Times New Roman;Times;serif" w:hAnsi="Times New Roman;Times;serif"/>
          <w:sz w:val="20"/>
        </w:rPr>
        <w:t xml:space="preserve">” </w:t>
      </w:r>
      <w:r>
        <w:rPr>
          <w:rFonts w:ascii="Times New Roman;Times;serif" w:hAnsi="Times New Roman;Times;serif"/>
          <w:sz w:val="22"/>
        </w:rPr>
        <w:t xml:space="preserve">for a currency means the rate determined by the Administrative Agent to be the rate quoted by the Person acting in such capacity as the spot rate for the purchase by such Person of such currency with another currency through its principal foreign exchange trading office at approximately 9:00 a.m. on the date two Business Days prior to the date as of which the foreign exchange computation is made;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Administrative Agent may obtain such spot rate from another financial institution designated by the Administrative Agent if the Person acting in such capacity does not have as of the date of determination a spot buying rate for any such currency.</w:t>
      </w:r>
    </w:p>
    <w:p>
      <w:pPr>
        <w:pStyle w:val="TextBody"/>
        <w:bidi w:val="0"/>
        <w:spacing w:before="0" w:after="240"/>
        <w:ind w:left="0" w:right="0" w:firstLine="720"/>
        <w:jc w:val="both"/>
        <w:rPr/>
      </w:pPr>
      <w:r>
        <w:rPr/>
        <w:t>“</w:t>
      </w:r>
      <w:r>
        <w:rPr>
          <w:rFonts w:ascii="Times New Roman;Times;serif" w:hAnsi="Times New Roman;Times;serif"/>
          <w:sz w:val="22"/>
          <w:u w:val="single"/>
        </w:rPr>
        <w:t>Sterling</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sz w:val="22"/>
          <w:u w:val="single"/>
        </w:rPr>
        <w:t>£</w:t>
      </w:r>
      <w:r>
        <w:rPr>
          <w:rFonts w:ascii="Times New Roman;Times;serif" w:hAnsi="Times New Roman;Times;serif"/>
          <w:sz w:val="20"/>
        </w:rPr>
        <w:t xml:space="preserve">” </w:t>
      </w:r>
      <w:r>
        <w:rPr>
          <w:rFonts w:ascii="Times New Roman;Times;serif" w:hAnsi="Times New Roman;Times;serif"/>
          <w:sz w:val="22"/>
        </w:rPr>
        <w:t>mean the lawful currency of the United Kingdom.</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Subsidiary</w:t>
      </w:r>
      <w:r>
        <w:rPr>
          <w:rFonts w:ascii="Times New Roman;Times;serif" w:hAnsi="Times New Roman;Times;serif"/>
          <w:sz w:val="20"/>
        </w:rPr>
        <w:t xml:space="preserve">” </w:t>
      </w:r>
      <w:r>
        <w:rPr>
          <w:rFonts w:ascii="Times New Roman;Times;serif" w:hAnsi="Times New Roman;Times;serif"/>
          <w:sz w:val="22"/>
        </w:rPr>
        <w:t>of a Person means a corporation, partnership, joint venture, limited liability company or other business entity (a)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or (b) the accounts of which are consolidated with those of the Company in its consolidated financial statements. Unless otherwise specified, all references herein to a “Subsidiary” or to “Subsidiaries” shall refer to a Subsidiary or Subsidiaries of the Company.</w:t>
      </w:r>
    </w:p>
    <w:p>
      <w:pPr>
        <w:pStyle w:val="TextBody"/>
        <w:bidi w:val="0"/>
        <w:spacing w:before="0" w:after="240"/>
        <w:ind w:left="0" w:right="0" w:firstLine="720"/>
        <w:jc w:val="both"/>
        <w:rPr/>
      </w:pPr>
      <w:r>
        <w:rPr/>
        <w:t>“</w:t>
      </w:r>
      <w:r>
        <w:rPr>
          <w:rFonts w:ascii="Times New Roman;Times;serif" w:hAnsi="Times New Roman;Times;serif"/>
          <w:sz w:val="22"/>
          <w:u w:val="single"/>
        </w:rPr>
        <w:t>Successor Rate</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3.03(c)</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Summary of Terms</w:t>
      </w:r>
      <w:r>
        <w:rPr>
          <w:rFonts w:ascii="Times New Roman;Times;serif" w:hAnsi="Times New Roman;Times;serif"/>
          <w:sz w:val="20"/>
        </w:rPr>
        <w:t xml:space="preserve">” </w:t>
      </w:r>
      <w:r>
        <w:rPr>
          <w:rFonts w:ascii="Times New Roman;Times;serif" w:hAnsi="Times New Roman;Times;serif"/>
          <w:sz w:val="22"/>
        </w:rPr>
        <w:t>means the Summary of Terms and Conditions attached as Exhibit A to the Commitment Letter.</w:t>
      </w:r>
    </w:p>
    <w:p>
      <w:pPr>
        <w:pStyle w:val="TextBody"/>
        <w:bidi w:val="0"/>
        <w:spacing w:before="0" w:after="240"/>
        <w:ind w:left="0" w:right="0" w:firstLine="720"/>
        <w:jc w:val="both"/>
        <w:rPr/>
      </w:pPr>
      <w:r>
        <w:rPr/>
        <w:t>“</w:t>
      </w:r>
      <w:r>
        <w:rPr>
          <w:rFonts w:ascii="Times New Roman;Times;serif" w:hAnsi="Times New Roman;Times;serif"/>
          <w:sz w:val="22"/>
          <w:u w:val="single"/>
        </w:rPr>
        <w:t>Swap Contract</w:t>
      </w:r>
      <w:r>
        <w:rPr>
          <w:rFonts w:ascii="Times New Roman;Times;serif" w:hAnsi="Times New Roman;Times;serif"/>
          <w:sz w:val="20"/>
        </w:rPr>
        <w:t xml:space="preserve">” </w:t>
      </w:r>
      <w:r>
        <w:rPr>
          <w:rFonts w:ascii="Times New Roman;Times;serif" w:hAnsi="Times New Roman;Times;serif"/>
          <w:sz w:val="22"/>
        </w:rPr>
        <w:t>means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bond hedging transactions or capped call transactions entered into substantially concurrently with any convertible notes issued by the Company,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w:t>
      </w:r>
    </w:p>
    <w:p>
      <w:pPr>
        <w:pStyle w:val="TextBody"/>
        <w:bidi w:val="0"/>
        <w:spacing w:before="0" w:after="240"/>
        <w:ind w:left="0" w:right="0" w:firstLine="720"/>
        <w:jc w:val="both"/>
        <w:rPr/>
      </w:pPr>
      <w:r>
        <w:rPr/>
        <w:t>“</w:t>
      </w:r>
      <w:r>
        <w:rPr>
          <w:rFonts w:ascii="Times New Roman;Times;serif" w:hAnsi="Times New Roman;Times;serif"/>
          <w:sz w:val="22"/>
          <w:u w:val="single"/>
        </w:rPr>
        <w:t>Swap Termination Value</w:t>
      </w:r>
      <w:r>
        <w:rPr>
          <w:rFonts w:ascii="Times New Roman;Times;serif" w:hAnsi="Times New Roman;Times;serif"/>
          <w:sz w:val="20"/>
        </w:rPr>
        <w:t xml:space="preserve">” </w:t>
      </w:r>
      <w:r>
        <w:rPr>
          <w:rFonts w:ascii="Times New Roman;Times;serif" w:hAnsi="Times New Roman;Times;serif"/>
          <w:sz w:val="22"/>
        </w:rPr>
        <w:t xml:space="preserve">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Times;serif" w:hAnsi="Times New Roman;Times;serif"/>
          <w:sz w:val="22"/>
          <w:u w:val="single"/>
        </w:rPr>
        <w:t>clause (a)</w:t>
      </w:r>
      <w:r>
        <w:rPr>
          <w:rFonts w:ascii="Times New Roman;Times;serif" w:hAnsi="Times New Roman;Times;serif"/>
          <w:sz w:val="22"/>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bidi w:val="0"/>
        <w:spacing w:before="0" w:after="240"/>
        <w:ind w:left="0" w:right="0" w:firstLine="720"/>
        <w:jc w:val="both"/>
        <w:rPr/>
      </w:pPr>
      <w:r>
        <w:rPr/>
        <w:t>“</w:t>
      </w:r>
      <w:r>
        <w:rPr>
          <w:rFonts w:ascii="Times New Roman;Times;serif" w:hAnsi="Times New Roman;Times;serif"/>
          <w:sz w:val="22"/>
          <w:u w:val="single"/>
        </w:rPr>
        <w:t>Swing Line</w:t>
      </w:r>
      <w:r>
        <w:rPr>
          <w:rFonts w:ascii="Times New Roman;Times;serif" w:hAnsi="Times New Roman;Times;serif"/>
          <w:sz w:val="20"/>
        </w:rPr>
        <w:t xml:space="preserve">” </w:t>
      </w:r>
      <w:r>
        <w:rPr>
          <w:rFonts w:ascii="Times New Roman;Times;serif" w:hAnsi="Times New Roman;Times;serif"/>
          <w:sz w:val="22"/>
        </w:rPr>
        <w:t xml:space="preserve">means the revolving credit facility made available by the Swing Line Lender pursuant to </w:t>
      </w:r>
      <w:r>
        <w:rPr>
          <w:rFonts w:ascii="Times New Roman;Times;serif" w:hAnsi="Times New Roman;Times;serif"/>
          <w:sz w:val="22"/>
          <w:u w:val="single"/>
        </w:rPr>
        <w:t>Section 2.04</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Swing Line Borrowing</w:t>
      </w:r>
      <w:r>
        <w:rPr>
          <w:rFonts w:ascii="Times New Roman;Times;serif" w:hAnsi="Times New Roman;Times;serif"/>
          <w:sz w:val="20"/>
        </w:rPr>
        <w:t xml:space="preserve">” </w:t>
      </w:r>
      <w:r>
        <w:rPr>
          <w:rFonts w:ascii="Times New Roman;Times;serif" w:hAnsi="Times New Roman;Times;serif"/>
          <w:sz w:val="22"/>
        </w:rPr>
        <w:t xml:space="preserve">means a borrowing of a Swing Line Loan pursuant to </w:t>
      </w:r>
      <w:r>
        <w:rPr>
          <w:rFonts w:ascii="Times New Roman;Times;serif" w:hAnsi="Times New Roman;Times;serif"/>
          <w:sz w:val="22"/>
          <w:u w:val="single"/>
        </w:rPr>
        <w:t>Section 2.04</w:t>
      </w:r>
      <w:r>
        <w:rPr>
          <w:rFonts w:ascii="Times New Roman;Times;serif" w:hAnsi="Times New Roman;Times;serif"/>
          <w:sz w:val="22"/>
        </w:rPr>
        <w:t>. “</w:t>
      </w:r>
      <w:r>
        <w:rPr>
          <w:rFonts w:ascii="Times New Roman;Times;serif" w:hAnsi="Times New Roman;Times;serif"/>
          <w:sz w:val="22"/>
          <w:u w:val="single"/>
        </w:rPr>
        <w:t>Swing Line Dollar Sublimit</w:t>
      </w:r>
      <w:r>
        <w:rPr>
          <w:rFonts w:ascii="Times New Roman;Times;serif" w:hAnsi="Times New Roman;Times;serif"/>
          <w:sz w:val="20"/>
        </w:rPr>
        <w:t xml:space="preserve">” </w:t>
      </w:r>
      <w:r>
        <w:rPr>
          <w:rFonts w:ascii="Times New Roman;Times;serif" w:hAnsi="Times New Roman;Times;serif"/>
          <w:sz w:val="22"/>
        </w:rPr>
        <w:t>means an amount equal to the lesser of (a) $125,000,000 and (b) the Aggregate Commitments.  The Swing Line Dollar Sublimit is part of, and not in addition to, the Aggregate Commitments.</w:t>
      </w:r>
    </w:p>
    <w:p>
      <w:pPr>
        <w:pStyle w:val="TextBody"/>
        <w:bidi w:val="0"/>
        <w:spacing w:before="0" w:after="240"/>
        <w:ind w:left="0" w:right="0" w:firstLine="720"/>
        <w:jc w:val="both"/>
        <w:rPr/>
      </w:pPr>
      <w:r>
        <w:rPr/>
        <w:t>“</w:t>
      </w:r>
      <w:r>
        <w:rPr>
          <w:rFonts w:ascii="Times New Roman;Times;serif" w:hAnsi="Times New Roman;Times;serif"/>
          <w:sz w:val="22"/>
          <w:u w:val="single"/>
        </w:rPr>
        <w:t>Swing Line Euro Sublimit</w:t>
      </w:r>
      <w:r>
        <w:rPr>
          <w:rFonts w:ascii="Times New Roman;Times;serif" w:hAnsi="Times New Roman;Times;serif"/>
          <w:sz w:val="20"/>
        </w:rPr>
        <w:t xml:space="preserve">” </w:t>
      </w:r>
      <w:r>
        <w:rPr>
          <w:rFonts w:ascii="Times New Roman;Times;serif" w:hAnsi="Times New Roman;Times;serif"/>
          <w:sz w:val="22"/>
        </w:rPr>
        <w:t>means with respect to Euro Swing Line Loans, an amount equal to the lesser of (a) the Euro Equivalent of $125,000,000 and (b) the Aggregate Commitments. The Swing Line Euro Sublimit is part of, and not in addition to, the Aggregate Commitments.</w:t>
      </w:r>
    </w:p>
    <w:p>
      <w:pPr>
        <w:pStyle w:val="TextBody"/>
        <w:bidi w:val="0"/>
        <w:spacing w:before="0" w:after="240"/>
        <w:ind w:left="0" w:right="0" w:firstLine="720"/>
        <w:jc w:val="both"/>
        <w:rPr/>
      </w:pPr>
      <w:r>
        <w:rPr/>
        <w:t>“</w:t>
      </w:r>
      <w:r>
        <w:rPr>
          <w:rFonts w:ascii="Times New Roman;Times;serif" w:hAnsi="Times New Roman;Times;serif"/>
          <w:sz w:val="22"/>
          <w:u w:val="single"/>
        </w:rPr>
        <w:t>Swing Line Lender</w:t>
      </w:r>
      <w:r>
        <w:rPr>
          <w:rFonts w:ascii="Times New Roman;Times;serif" w:hAnsi="Times New Roman;Times;serif"/>
          <w:sz w:val="20"/>
        </w:rPr>
        <w:t xml:space="preserve">” </w:t>
      </w:r>
      <w:r>
        <w:rPr>
          <w:rFonts w:ascii="Times New Roman;Times;serif" w:hAnsi="Times New Roman;Times;serif"/>
          <w:sz w:val="22"/>
        </w:rPr>
        <w:t>means Bank of America in its capacity as provider of Swing Line Loans, or any successor swing line lender hereunder.</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Swing Line Loan</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2.04(a)</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Swing Line Loan Notice</w:t>
      </w:r>
      <w:r>
        <w:rPr>
          <w:rFonts w:ascii="Times New Roman;Times;serif" w:hAnsi="Times New Roman;Times;serif"/>
          <w:sz w:val="20"/>
        </w:rPr>
        <w:t xml:space="preserve">” </w:t>
      </w:r>
      <w:r>
        <w:rPr>
          <w:rFonts w:ascii="Times New Roman;Times;serif" w:hAnsi="Times New Roman;Times;serif"/>
          <w:sz w:val="22"/>
        </w:rPr>
        <w:t xml:space="preserve">means a notice of a Swing Line Borrowing pursuant to </w:t>
      </w:r>
      <w:r>
        <w:rPr>
          <w:rFonts w:ascii="Times New Roman;Times;serif" w:hAnsi="Times New Roman;Times;serif"/>
          <w:sz w:val="22"/>
          <w:u w:val="single"/>
        </w:rPr>
        <w:t>Section 2.04(b)</w:t>
      </w:r>
      <w:r>
        <w:rPr>
          <w:rFonts w:ascii="Times New Roman;Times;serif" w:hAnsi="Times New Roman;Times;serif"/>
          <w:sz w:val="22"/>
        </w:rPr>
        <w:t xml:space="preserve">, which, if in writing, shall be substantially in the form of </w:t>
      </w:r>
      <w:r>
        <w:rPr>
          <w:rFonts w:ascii="Times New Roman;Times;serif" w:hAnsi="Times New Roman;Times;serif"/>
          <w:sz w:val="22"/>
          <w:u w:val="single"/>
        </w:rPr>
        <w:t>Exhibit B</w:t>
      </w:r>
      <w:r>
        <w:rPr>
          <w:rFonts w:ascii="Times New Roman;Times;serif" w:hAnsi="Times New Roman;Times;serif"/>
          <w:sz w:val="20"/>
        </w:rPr>
        <w:t xml:space="preserve"> </w:t>
      </w:r>
      <w:r>
        <w:rPr>
          <w:rFonts w:ascii="Times New Roman;Times;serif" w:hAnsi="Times New Roman;Times;serif"/>
          <w:sz w:val="22"/>
        </w:rPr>
        <w:t>or such other form as approved by the Administrative Agent (including any form on an electronic platform or electronic transmission system as shall be approved by the Administrative Agent), appropriately completed and signed by a Responsible Officer of the applicable Borrower.</w:t>
      </w:r>
    </w:p>
    <w:p>
      <w:pPr>
        <w:pStyle w:val="TextBody"/>
        <w:bidi w:val="0"/>
        <w:spacing w:before="0" w:after="240"/>
        <w:ind w:left="0" w:right="0" w:firstLine="720"/>
        <w:jc w:val="both"/>
        <w:rPr/>
      </w:pPr>
      <w:r>
        <w:rPr/>
        <w:t>“</w:t>
      </w:r>
      <w:r>
        <w:rPr>
          <w:rFonts w:ascii="Times New Roman;Times;serif" w:hAnsi="Times New Roman;Times;serif"/>
          <w:sz w:val="22"/>
          <w:u w:val="single"/>
        </w:rPr>
        <w:t>Swing Line Sublimit</w:t>
      </w:r>
      <w:r>
        <w:rPr>
          <w:rFonts w:ascii="Times New Roman;Times;serif" w:hAnsi="Times New Roman;Times;serif"/>
          <w:sz w:val="20"/>
        </w:rPr>
        <w:t xml:space="preserve">” </w:t>
      </w:r>
      <w:r>
        <w:rPr>
          <w:rFonts w:ascii="Times New Roman;Times;serif" w:hAnsi="Times New Roman;Times;serif"/>
          <w:sz w:val="22"/>
        </w:rPr>
        <w:t>means an amount equal to the lesser of (a) the sum of (i) the Swing Line Dollar Sublimit and (ii) the Swing Line Euro Sublimit and (b) the Aggregate Commitments. The Swing Line Sublimit is part of, and not in addition to, the Aggregate Commitments.</w:t>
      </w:r>
    </w:p>
    <w:p>
      <w:pPr>
        <w:pStyle w:val="TextBody"/>
        <w:bidi w:val="0"/>
        <w:spacing w:before="0" w:after="240"/>
        <w:ind w:left="0" w:right="0" w:firstLine="720"/>
        <w:jc w:val="both"/>
        <w:rPr/>
      </w:pPr>
      <w:r>
        <w:rPr/>
        <w:t>“</w:t>
      </w:r>
      <w:r>
        <w:rPr>
          <w:rFonts w:ascii="Times New Roman;Times;serif" w:hAnsi="Times New Roman;Times;serif"/>
          <w:sz w:val="22"/>
          <w:u w:val="single"/>
        </w:rPr>
        <w:t>Synthetic Lease Obligation</w:t>
      </w:r>
      <w:r>
        <w:rPr>
          <w:rFonts w:ascii="Times New Roman;Times;serif" w:hAnsi="Times New Roman;Times;serif"/>
          <w:sz w:val="20"/>
        </w:rPr>
        <w:t xml:space="preserve">” </w:t>
      </w:r>
      <w:r>
        <w:rPr>
          <w:rFonts w:ascii="Times New Roman;Times;serif" w:hAnsi="Times New Roman;Times;serif"/>
          <w:sz w:val="22"/>
        </w:rPr>
        <w:t>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pStyle w:val="TextBody"/>
        <w:bidi w:val="0"/>
        <w:spacing w:before="0" w:after="240"/>
        <w:ind w:left="0" w:right="0" w:firstLine="720"/>
        <w:jc w:val="both"/>
        <w:rPr/>
      </w:pPr>
      <w:r>
        <w:rPr/>
        <w:t>“</w:t>
      </w:r>
      <w:r>
        <w:rPr>
          <w:rFonts w:ascii="Times New Roman;Times;serif" w:hAnsi="Times New Roman;Times;serif"/>
          <w:sz w:val="22"/>
          <w:u w:val="single"/>
        </w:rPr>
        <w:t>T2</w:t>
      </w:r>
      <w:r>
        <w:rPr>
          <w:rFonts w:ascii="Times New Roman;Times;serif" w:hAnsi="Times New Roman;Times;serif"/>
          <w:sz w:val="20"/>
        </w:rPr>
        <w:t xml:space="preserve">” </w:t>
      </w:r>
      <w:r>
        <w:rPr>
          <w:rFonts w:ascii="Times New Roman;Times;serif" w:hAnsi="Times New Roman;Times;serif"/>
          <w:sz w:val="22"/>
        </w:rPr>
        <w:t>means the real time gross settlement system operated by the Eurosystem, or any successor system.</w:t>
      </w:r>
    </w:p>
    <w:p>
      <w:pPr>
        <w:pStyle w:val="TextBody"/>
        <w:bidi w:val="0"/>
        <w:spacing w:before="0" w:after="240"/>
        <w:ind w:left="0" w:right="0" w:firstLine="720"/>
        <w:jc w:val="both"/>
        <w:rPr/>
      </w:pPr>
      <w:r>
        <w:rPr/>
        <w:t>“</w:t>
      </w:r>
      <w:r>
        <w:rPr>
          <w:rFonts w:ascii="Times New Roman;Times;serif" w:hAnsi="Times New Roman;Times;serif"/>
          <w:sz w:val="22"/>
          <w:u w:val="single"/>
        </w:rPr>
        <w:t>TARGET Day</w:t>
      </w:r>
      <w:r>
        <w:rPr>
          <w:rFonts w:ascii="Times New Roman;Times;serif" w:hAnsi="Times New Roman;Times;serif"/>
          <w:sz w:val="20"/>
        </w:rPr>
        <w:t xml:space="preserve">” </w:t>
      </w:r>
      <w:r>
        <w:rPr>
          <w:rFonts w:ascii="Times New Roman;Times;serif" w:hAnsi="Times New Roman;Times;serif"/>
          <w:sz w:val="22"/>
        </w:rPr>
        <w:t xml:space="preserve">means any day on which T2 is open for the settlement of payments in Euro. </w:t>
      </w:r>
    </w:p>
    <w:p>
      <w:pPr>
        <w:pStyle w:val="TextBody"/>
        <w:bidi w:val="0"/>
        <w:spacing w:before="0" w:after="240"/>
        <w:ind w:left="0" w:right="0" w:firstLine="720"/>
        <w:jc w:val="both"/>
        <w:rPr/>
      </w:pPr>
      <w:r>
        <w:rPr/>
        <w:t>“</w:t>
      </w:r>
      <w:r>
        <w:rPr>
          <w:rFonts w:ascii="Times New Roman;Times;serif" w:hAnsi="Times New Roman;Times;serif"/>
          <w:sz w:val="22"/>
          <w:u w:val="single"/>
        </w:rPr>
        <w:t>Taxes</w:t>
      </w:r>
      <w:r>
        <w:rPr>
          <w:rFonts w:ascii="Times New Roman;Times;serif" w:hAnsi="Times New Roman;Times;serif"/>
          <w:sz w:val="20"/>
        </w:rPr>
        <w:t xml:space="preserve">” </w:t>
      </w:r>
      <w:r>
        <w:rPr>
          <w:rFonts w:ascii="Times New Roman;Times;serif" w:hAnsi="Times New Roman;Times;serif"/>
          <w:sz w:val="22"/>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240"/>
        <w:ind w:left="0" w:right="0" w:firstLine="720"/>
        <w:jc w:val="both"/>
        <w:rPr/>
      </w:pPr>
      <w:r>
        <w:rPr/>
        <w:t>“</w:t>
      </w:r>
      <w:r>
        <w:rPr>
          <w:rFonts w:ascii="Times New Roman;Times;serif" w:hAnsi="Times New Roman;Times;serif"/>
          <w:sz w:val="22"/>
          <w:u w:val="single"/>
        </w:rPr>
        <w:t>Term SOFR</w:t>
      </w:r>
      <w:r>
        <w:rPr>
          <w:rFonts w:ascii="Times New Roman;Times;serif" w:hAnsi="Times New Roman;Times;serif"/>
          <w:sz w:val="20"/>
        </w:rPr>
        <w:t xml:space="preserve">” </w:t>
      </w:r>
      <w:r>
        <w:rPr>
          <w:rFonts w:ascii="Times New Roman;Times;serif" w:hAnsi="Times New Roman;Times;serif"/>
          <w:sz w:val="22"/>
        </w:rPr>
        <w:t>means: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for any Interest Period with respect to a Term SOFR Loan, the rate per annum equal to the Term SOFR Screen Rate two U.S. Government Securities Business Days prior to the commencement of such Interest Period with a term equivalent to such Interest Period;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if the rate is not published prior to 11:00 a.m. on such determination date then Term SOFR means the Term SOFR Screen Rate on the first U.S. Government Securities Business Day immediately prior thereto</w:t>
      </w:r>
      <w:r>
        <w:rPr>
          <w:rFonts w:ascii="Times New Roman;Times;serif" w:hAnsi="Times New Roman;Times;serif"/>
          <w:color w:val="FF0000"/>
          <w:sz w:val="22"/>
        </w:rPr>
        <w:t xml:space="preserve">, in each case, </w:t>
      </w:r>
      <w:r>
        <w:rPr>
          <w:rFonts w:ascii="Times New Roman;Times;serif" w:hAnsi="Times New Roman;Times;serif"/>
          <w:color w:val="FF0000"/>
          <w:sz w:val="22"/>
          <w:u w:val="single"/>
        </w:rPr>
        <w:t>plus</w:t>
      </w:r>
      <w:r>
        <w:rPr>
          <w:rFonts w:ascii="Times New Roman;Times;serif" w:hAnsi="Times New Roman;Times;serif"/>
          <w:color w:val="FF0000"/>
          <w:sz w:val="20"/>
        </w:rPr>
        <w:t xml:space="preserve"> </w:t>
      </w:r>
      <w:r>
        <w:rPr>
          <w:rFonts w:ascii="Times New Roman;Times;serif" w:hAnsi="Times New Roman;Times;serif"/>
          <w:color w:val="FF0000"/>
          <w:sz w:val="22"/>
        </w:rPr>
        <w:t>the SOFR Adjustment for such Interest Period</w:t>
      </w:r>
      <w:r>
        <w:rPr>
          <w:rFonts w:ascii="Times New Roman;Times;serif" w:hAnsi="Times New Roman;Times;serif"/>
          <w:sz w:val="22"/>
        </w:rPr>
        <w: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for any interest calculation with respect to a Base Rate Loan on any date, the rate per annum equal to the Term SOFR Screen Rate with a term of one month commencing that day;</w:t>
      </w:r>
      <w:r>
        <w:rPr>
          <w:rFonts w:ascii="Times New Roman;Times;serif" w:hAnsi="Times New Roman;Times;serif"/>
          <w:color w:val="0000FF"/>
          <w:sz w:val="20"/>
          <w:u w:val="single"/>
        </w:rPr>
        <w:t xml:space="preserve"> </w:t>
      </w:r>
      <w:r>
        <w:rPr>
          <w:rFonts w:ascii="Times New Roman;Times;serif" w:hAnsi="Times New Roman;Times;serif"/>
          <w:color w:val="0000FF"/>
          <w:sz w:val="22"/>
          <w:u w:val="single"/>
        </w:rPr>
        <w:t xml:space="preserve">provided that if the rate is not published prior to 11:00 a.m. on such determination date then Term SOFR means the Term SOFR Screen Rate on the first U.S. Government Securities Business Day immediately prior thereto; </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provided that if the Term SOFR determined in accordance with either of the foregoing provisions (a) or (b) of this definition would otherwise be less than zero, the Term SOFR shall be deemed zero for purposes of this Agreement.</w:t>
      </w:r>
    </w:p>
    <w:p>
      <w:pPr>
        <w:pStyle w:val="TextBody"/>
        <w:bidi w:val="0"/>
        <w:spacing w:before="0" w:after="240"/>
        <w:ind w:left="0" w:right="0" w:firstLine="720"/>
        <w:jc w:val="both"/>
        <w:rPr/>
      </w:pPr>
      <w:r>
        <w:rPr/>
        <w:t>“</w:t>
      </w:r>
      <w:r>
        <w:rPr>
          <w:rFonts w:ascii="Times New Roman;Times;serif" w:hAnsi="Times New Roman;Times;serif"/>
          <w:sz w:val="22"/>
          <w:u w:val="single"/>
        </w:rPr>
        <w:t>Term SOFR Loan”</w:t>
      </w:r>
      <w:r>
        <w:rPr>
          <w:rFonts w:ascii="Times New Roman;Times;serif" w:hAnsi="Times New Roman;Times;serif"/>
          <w:sz w:val="20"/>
        </w:rPr>
        <w:t xml:space="preserve"> </w:t>
      </w:r>
      <w:r>
        <w:rPr>
          <w:rFonts w:ascii="Times New Roman;Times;serif" w:hAnsi="Times New Roman;Times;serif"/>
          <w:sz w:val="22"/>
        </w:rPr>
        <w:t>means a Committed Loan that bears interest at a rate based on clause (a) of the definition of Term SOFR.</w:t>
      </w:r>
    </w:p>
    <w:p>
      <w:pPr>
        <w:pStyle w:val="TextBody"/>
        <w:bidi w:val="0"/>
        <w:spacing w:before="0" w:after="240"/>
        <w:ind w:left="0" w:right="0" w:firstLine="720"/>
        <w:jc w:val="both"/>
        <w:rPr/>
      </w:pPr>
      <w:r>
        <w:rPr/>
        <w:t>“</w:t>
      </w:r>
      <w:r>
        <w:rPr>
          <w:rFonts w:ascii="Times New Roman;Times;serif" w:hAnsi="Times New Roman;Times;serif"/>
          <w:sz w:val="22"/>
          <w:u w:val="single"/>
        </w:rPr>
        <w:t>Term SOFR Scheduled Unavailability Date</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3.03(b)(ii)</w:t>
      </w:r>
      <w:r>
        <w:rPr>
          <w:rFonts w:ascii="Times New Roman;Times;serif" w:hAnsi="Times New Roman;Times;serif"/>
          <w:sz w:val="22"/>
        </w:rPr>
        <w:t>.</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sz w:val="22"/>
          <w:u w:val="single"/>
        </w:rPr>
        <w:t>Term SOFR Screen Rate</w:t>
      </w:r>
      <w:r>
        <w:rPr>
          <w:rFonts w:ascii="Times New Roman;Times;serif" w:hAnsi="Times New Roman;Times;serif"/>
          <w:sz w:val="20"/>
        </w:rPr>
        <w:t xml:space="preserve">” </w:t>
      </w:r>
      <w:r>
        <w:rPr>
          <w:rFonts w:ascii="Times New Roman;Times;serif" w:hAnsi="Times New Roman;Times;serif"/>
          <w:sz w:val="22"/>
        </w:rPr>
        <w:t>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pStyle w:val="TextBody"/>
        <w:bidi w:val="0"/>
        <w:spacing w:before="0" w:after="240"/>
        <w:ind w:left="0" w:right="0" w:firstLine="720"/>
        <w:jc w:val="both"/>
        <w:rPr/>
      </w:pPr>
      <w:r>
        <w:rPr/>
        <w:t>“</w:t>
      </w:r>
      <w:r>
        <w:rPr>
          <w:rFonts w:ascii="Times New Roman;Times;serif" w:hAnsi="Times New Roman;Times;serif"/>
          <w:sz w:val="22"/>
          <w:u w:val="single"/>
        </w:rPr>
        <w:t>Term SOFR Successor Rate</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3.03(b)</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Total Credit Exposure</w:t>
      </w:r>
      <w:r>
        <w:rPr>
          <w:rFonts w:ascii="Times New Roman;Times;serif" w:hAnsi="Times New Roman;Times;serif"/>
          <w:sz w:val="20"/>
        </w:rPr>
        <w:t xml:space="preserve">” </w:t>
      </w:r>
      <w:r>
        <w:rPr>
          <w:rFonts w:ascii="Times New Roman;Times;serif" w:hAnsi="Times New Roman;Times;serif"/>
          <w:sz w:val="22"/>
        </w:rPr>
        <w:t>means, as to any Lender at any time, the unused Commitments and Revolving Credit Exposure of such Lender at such time.</w:t>
      </w:r>
    </w:p>
    <w:p>
      <w:pPr>
        <w:pStyle w:val="TextBody"/>
        <w:bidi w:val="0"/>
        <w:spacing w:before="0" w:after="240"/>
        <w:ind w:left="0" w:right="0" w:firstLine="720"/>
        <w:jc w:val="both"/>
        <w:rPr/>
      </w:pPr>
      <w:r>
        <w:rPr/>
        <w:t>“</w:t>
      </w:r>
      <w:r>
        <w:rPr>
          <w:rFonts w:ascii="Times New Roman;Times;serif" w:hAnsi="Times New Roman;Times;serif"/>
          <w:sz w:val="22"/>
          <w:u w:val="single"/>
        </w:rPr>
        <w:t>Total Outstandings</w:t>
      </w:r>
      <w:r>
        <w:rPr>
          <w:rFonts w:ascii="Times New Roman;Times;serif" w:hAnsi="Times New Roman;Times;serif"/>
          <w:sz w:val="20"/>
        </w:rPr>
        <w:t xml:space="preserve">” </w:t>
      </w:r>
      <w:r>
        <w:rPr>
          <w:rFonts w:ascii="Times New Roman;Times;serif" w:hAnsi="Times New Roman;Times;serif"/>
          <w:sz w:val="22"/>
        </w:rPr>
        <w:t>means the aggregate Outstanding Amount of all Loans and all L/C Obligations.</w:t>
      </w:r>
    </w:p>
    <w:p>
      <w:pPr>
        <w:pStyle w:val="TextBody"/>
        <w:bidi w:val="0"/>
        <w:spacing w:before="0" w:after="240"/>
        <w:ind w:left="0" w:right="0" w:firstLine="720"/>
        <w:jc w:val="both"/>
        <w:rPr/>
      </w:pPr>
      <w:r>
        <w:rPr/>
        <w:t>“</w:t>
      </w:r>
      <w:r>
        <w:rPr>
          <w:rFonts w:ascii="Times New Roman;Times;serif" w:hAnsi="Times New Roman;Times;serif"/>
          <w:sz w:val="22"/>
          <w:u w:val="single"/>
        </w:rPr>
        <w:t>Type</w:t>
      </w:r>
      <w:r>
        <w:rPr>
          <w:rFonts w:ascii="Times New Roman;Times;serif" w:hAnsi="Times New Roman;Times;serif"/>
          <w:sz w:val="20"/>
        </w:rPr>
        <w:t xml:space="preserve">” </w:t>
      </w:r>
      <w:r>
        <w:rPr>
          <w:rFonts w:ascii="Times New Roman;Times;serif" w:hAnsi="Times New Roman;Times;serif"/>
          <w:sz w:val="22"/>
        </w:rPr>
        <w:t>means, with respect to a Committed Loan, its character as a Base Rate Loan, a Term SOFR Loan, a SOFR Daily Floating Rate Loan, an Alternative Currency Daily Rate Loan or an Alternative Currency Term Rate Loan.</w:t>
      </w:r>
    </w:p>
    <w:p>
      <w:pPr>
        <w:pStyle w:val="TextBody"/>
        <w:bidi w:val="0"/>
        <w:spacing w:before="0" w:after="240"/>
        <w:ind w:left="0" w:right="0" w:firstLine="720"/>
        <w:jc w:val="both"/>
        <w:rPr/>
      </w:pPr>
      <w:r>
        <w:rPr/>
        <w:t>“</w:t>
      </w:r>
      <w:r>
        <w:rPr>
          <w:rFonts w:ascii="Times New Roman;Times;serif" w:hAnsi="Times New Roman;Times;serif"/>
          <w:sz w:val="22"/>
          <w:u w:val="single"/>
        </w:rPr>
        <w:t>UCP</w:t>
      </w:r>
      <w:r>
        <w:rPr>
          <w:rFonts w:ascii="Times New Roman;Times;serif" w:hAnsi="Times New Roman;Times;serif"/>
          <w:sz w:val="20"/>
        </w:rPr>
        <w:t xml:space="preserve">” </w:t>
      </w:r>
      <w:r>
        <w:rPr>
          <w:rFonts w:ascii="Times New Roman;Times;serif" w:hAnsi="Times New Roman;Times;serif"/>
          <w:sz w:val="22"/>
        </w:rPr>
        <w:t>means, with respect to any Letter of Credit, the Uniform Customs and Practice for Documentary Credits, International Chamber of Commerce (“ICC”) Publication No. 600 (or such later version thereof as may be in effect at the time of issuance).</w:t>
      </w:r>
    </w:p>
    <w:p>
      <w:pPr>
        <w:pStyle w:val="TextBody"/>
        <w:bidi w:val="0"/>
        <w:spacing w:before="0" w:after="240"/>
        <w:ind w:left="0" w:right="0" w:firstLine="720"/>
        <w:jc w:val="both"/>
        <w:rPr/>
      </w:pPr>
      <w:r>
        <w:rPr/>
        <w:t>“</w:t>
      </w:r>
      <w:r>
        <w:rPr>
          <w:rFonts w:ascii="Times New Roman;Times;serif" w:hAnsi="Times New Roman;Times;serif"/>
          <w:sz w:val="22"/>
          <w:u w:val="single"/>
        </w:rPr>
        <w:t>UK Financial Institution</w:t>
      </w:r>
      <w:r>
        <w:rPr>
          <w:rFonts w:ascii="Times New Roman;Times;serif" w:hAnsi="Times New Roman;Times;serif"/>
          <w:sz w:val="20"/>
        </w:rPr>
        <w:t xml:space="preserve">” </w:t>
      </w:r>
      <w:r>
        <w:rPr>
          <w:rFonts w:ascii="Times New Roman;Times;serif" w:hAnsi="Times New Roman;Times;serif"/>
          <w:sz w:val="22"/>
        </w:rPr>
        <w:t>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ind w:left="0" w:right="0" w:firstLine="720"/>
        <w:jc w:val="both"/>
        <w:rPr/>
      </w:pPr>
      <w:r>
        <w:rPr/>
        <w:t>“</w:t>
      </w:r>
      <w:r>
        <w:rPr>
          <w:rFonts w:ascii="Times New Roman;Times;serif" w:hAnsi="Times New Roman;Times;serif"/>
          <w:sz w:val="22"/>
          <w:u w:val="single"/>
        </w:rPr>
        <w:t>UK Resolution Authority</w:t>
      </w:r>
      <w:r>
        <w:rPr>
          <w:rFonts w:ascii="Times New Roman;Times;serif" w:hAnsi="Times New Roman;Times;serif"/>
          <w:sz w:val="20"/>
        </w:rPr>
        <w:t xml:space="preserve">” </w:t>
      </w:r>
      <w:r>
        <w:rPr>
          <w:rFonts w:ascii="Times New Roman;Times;serif" w:hAnsi="Times New Roman;Times;serif"/>
          <w:sz w:val="22"/>
        </w:rPr>
        <w:t>means the Bank of England or any other public administrative authority having responsibility for the resolution of any UK Financial Institution.</w:t>
      </w:r>
    </w:p>
    <w:p>
      <w:pPr>
        <w:pStyle w:val="TextBody"/>
        <w:bidi w:val="0"/>
        <w:spacing w:before="0" w:after="240"/>
        <w:ind w:left="0" w:right="0" w:firstLine="720"/>
        <w:jc w:val="both"/>
        <w:rPr/>
      </w:pPr>
      <w:r>
        <w:rPr/>
        <w:t>“</w:t>
      </w:r>
      <w:r>
        <w:rPr>
          <w:rFonts w:ascii="Times New Roman;Times;serif" w:hAnsi="Times New Roman;Times;serif"/>
          <w:sz w:val="22"/>
          <w:u w:val="single"/>
        </w:rPr>
        <w:t>Unencumbered Cash and Cash Equivalents</w:t>
      </w:r>
      <w:r>
        <w:rPr>
          <w:rFonts w:ascii="Times New Roman;Times;serif" w:hAnsi="Times New Roman;Times;serif"/>
          <w:sz w:val="20"/>
        </w:rPr>
        <w:t xml:space="preserve">” </w:t>
      </w:r>
      <w:r>
        <w:rPr>
          <w:rFonts w:ascii="Times New Roman;Times;serif" w:hAnsi="Times New Roman;Times;serif"/>
          <w:sz w:val="22"/>
        </w:rPr>
        <w:t>means cash or cash equivalents owned by Company and its Subsidiaries on a consolidated basis (excluding assets of any retirement plan) which (a) are not the subject of any Lien, and (b) may be converted to cash within 30 days.</w:t>
      </w:r>
    </w:p>
    <w:p>
      <w:pPr>
        <w:pStyle w:val="TextBody"/>
        <w:bidi w:val="0"/>
        <w:spacing w:before="0" w:after="240"/>
        <w:ind w:left="0" w:right="0" w:firstLine="720"/>
        <w:jc w:val="both"/>
        <w:rPr/>
      </w:pPr>
      <w:r>
        <w:rPr/>
        <w:t>“</w:t>
      </w:r>
      <w:r>
        <w:rPr>
          <w:rFonts w:ascii="Times New Roman;Times;serif" w:hAnsi="Times New Roman;Times;serif"/>
          <w:sz w:val="22"/>
          <w:u w:val="single"/>
        </w:rPr>
        <w:t>United States</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sz w:val="22"/>
          <w:u w:val="single"/>
        </w:rPr>
        <w:t>U.S.</w:t>
      </w:r>
      <w:r>
        <w:rPr>
          <w:rFonts w:ascii="Times New Roman;Times;serif" w:hAnsi="Times New Roman;Times;serif"/>
          <w:sz w:val="20"/>
        </w:rPr>
        <w:t xml:space="preserve">” </w:t>
      </w:r>
      <w:r>
        <w:rPr>
          <w:rFonts w:ascii="Times New Roman;Times;serif" w:hAnsi="Times New Roman;Times;serif"/>
          <w:sz w:val="22"/>
        </w:rPr>
        <w:t xml:space="preserve">mean the United States of America. </w:t>
      </w:r>
    </w:p>
    <w:p>
      <w:pPr>
        <w:pStyle w:val="TextBody"/>
        <w:bidi w:val="0"/>
        <w:spacing w:before="0" w:after="240"/>
        <w:ind w:left="0" w:right="0" w:firstLine="720"/>
        <w:jc w:val="both"/>
        <w:rPr/>
      </w:pPr>
      <w:r>
        <w:rPr/>
        <w:t>“</w:t>
      </w:r>
      <w:r>
        <w:rPr>
          <w:rFonts w:ascii="Times New Roman;Times;serif" w:hAnsi="Times New Roman;Times;serif"/>
          <w:sz w:val="22"/>
          <w:u w:val="single"/>
        </w:rPr>
        <w:t>Unreimbursed Amount</w:t>
      </w:r>
      <w:r>
        <w:rPr>
          <w:rFonts w:ascii="Times New Roman;Times;serif" w:hAnsi="Times New Roman;Times;serif"/>
          <w:sz w:val="20"/>
        </w:rPr>
        <w:t xml:space="preserve">” </w:t>
      </w:r>
      <w:r>
        <w:rPr>
          <w:rFonts w:ascii="Times New Roman;Times;serif" w:hAnsi="Times New Roman;Times;serif"/>
          <w:sz w:val="22"/>
        </w:rPr>
        <w:t xml:space="preserve">has the meaning specified in </w:t>
      </w:r>
      <w:r>
        <w:rPr>
          <w:rFonts w:ascii="Times New Roman;Times;serif" w:hAnsi="Times New Roman;Times;serif"/>
          <w:sz w:val="22"/>
          <w:u w:val="single"/>
        </w:rPr>
        <w:t>Section 2.03(c)(i)</w:t>
      </w:r>
      <w:r>
        <w:rPr>
          <w:rFonts w:ascii="Times New Roman;Times;serif" w:hAnsi="Times New Roman;Times;serif"/>
          <w:sz w:val="22"/>
        </w:rPr>
        <w:t>.</w:t>
      </w:r>
    </w:p>
    <w:p>
      <w:pPr>
        <w:pStyle w:val="TextBody"/>
        <w:bidi w:val="0"/>
        <w:spacing w:before="0" w:after="240"/>
        <w:ind w:left="0" w:right="0" w:firstLine="720"/>
        <w:jc w:val="both"/>
        <w:rPr/>
      </w:pPr>
      <w:r>
        <w:rPr/>
        <w:t>“</w:t>
      </w:r>
      <w:r>
        <w:rPr>
          <w:rFonts w:ascii="Times New Roman;Times;serif" w:hAnsi="Times New Roman;Times;serif"/>
          <w:sz w:val="22"/>
          <w:u w:val="single"/>
        </w:rPr>
        <w:t>U.S. Government Securities Business Day</w:t>
      </w:r>
      <w:r>
        <w:rPr>
          <w:rFonts w:ascii="Times New Roman;Times;serif" w:hAnsi="Times New Roman;Times;serif"/>
          <w:sz w:val="20"/>
        </w:rPr>
        <w:t xml:space="preserve">” </w:t>
      </w:r>
      <w:r>
        <w:rPr>
          <w:rFonts w:ascii="Times New Roman;Times;serif" w:hAnsi="Times New Roman;Times;serif"/>
          <w:sz w:val="22"/>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ind w:left="0" w:right="0" w:firstLine="720"/>
        <w:jc w:val="both"/>
        <w:rPr/>
      </w:pPr>
      <w:r>
        <w:rPr/>
        <w:t>“</w:t>
      </w:r>
      <w:r>
        <w:rPr>
          <w:rFonts w:ascii="Times New Roman;Times;serif" w:hAnsi="Times New Roman;Times;serif"/>
          <w:sz w:val="22"/>
          <w:u w:val="single"/>
        </w:rPr>
        <w:t>U.S. Person</w:t>
      </w:r>
      <w:r>
        <w:rPr>
          <w:rFonts w:ascii="Times New Roman;Times;serif" w:hAnsi="Times New Roman;Times;serif"/>
          <w:sz w:val="20"/>
        </w:rPr>
        <w:t xml:space="preserve">” </w:t>
      </w:r>
      <w:r>
        <w:rPr>
          <w:rFonts w:ascii="Times New Roman;Times;serif" w:hAnsi="Times New Roman;Times;serif"/>
          <w:sz w:val="22"/>
        </w:rPr>
        <w:t>means any Person that is a “United States Person” as defined in Section 7701(a)(30) of the Code.</w:t>
      </w:r>
    </w:p>
    <w:p>
      <w:pPr>
        <w:pStyle w:val="TextBody"/>
        <w:bidi w:val="0"/>
        <w:spacing w:before="0" w:after="240"/>
        <w:ind w:left="0" w:right="0" w:firstLine="720"/>
        <w:jc w:val="both"/>
        <w:rPr/>
      </w:pPr>
      <w:r>
        <w:rPr/>
        <w:t>“</w:t>
      </w:r>
      <w:r>
        <w:rPr>
          <w:rFonts w:ascii="Times New Roman;Times;serif" w:hAnsi="Times New Roman;Times;serif"/>
          <w:sz w:val="22"/>
          <w:u w:val="single"/>
        </w:rPr>
        <w:t>U.S. Tax Compliance Certificate</w:t>
      </w:r>
      <w:r>
        <w:rPr>
          <w:rFonts w:ascii="Times New Roman;Times;serif" w:hAnsi="Times New Roman;Times;serif"/>
          <w:sz w:val="20"/>
        </w:rPr>
        <w:t xml:space="preserve">” </w:t>
      </w:r>
      <w:r>
        <w:rPr>
          <w:rFonts w:ascii="Times New Roman;Times;serif" w:hAnsi="Times New Roman;Times;serif"/>
          <w:sz w:val="22"/>
        </w:rPr>
        <w:t xml:space="preserve">has the meaning specified in Section </w:t>
      </w:r>
      <w:r>
        <w:rPr>
          <w:rFonts w:ascii="Times New Roman;Times;serif" w:hAnsi="Times New Roman;Times;serif"/>
          <w:sz w:val="22"/>
          <w:u w:val="single"/>
        </w:rPr>
        <w:t>3.01(e)(ii)(B)(III)</w:t>
      </w:r>
      <w:r>
        <w:rPr>
          <w:rFonts w:ascii="Times New Roman;Times;serif" w:hAnsi="Times New Roman;Times;serif"/>
          <w:sz w:val="22"/>
        </w:rPr>
        <w:t>. “</w:t>
      </w:r>
      <w:r>
        <w:rPr>
          <w:rFonts w:ascii="Times New Roman;Times;serif" w:hAnsi="Times New Roman;Times;serif"/>
          <w:sz w:val="22"/>
          <w:u w:val="single"/>
        </w:rPr>
        <w:t>Write-Down and Conversion Powers</w:t>
      </w:r>
      <w:r>
        <w:rPr>
          <w:rFonts w:ascii="Times New Roman;Times;serif" w:hAnsi="Times New Roman;Times;serif"/>
          <w:sz w:val="20"/>
        </w:rPr>
        <w:t xml:space="preserve">” </w:t>
      </w:r>
      <w:r>
        <w:rPr>
          <w:rFonts w:ascii="Times New Roman;Times;serif" w:hAnsi="Times New Roman;Times;serif"/>
          <w:sz w:val="22"/>
        </w:rPr>
        <w:t>means, (a) with respect to any EEA Resolution Authority, the write-down and conversion powers of such EEA Resolution Authority from time to time under the</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1.02</w:t>
      </w:r>
      <w:r>
        <w:rPr>
          <w:rFonts w:ascii="Times New Roman;Times;serif" w:hAnsi="Times New Roman;Times;serif"/>
          <w:b/>
          <w:sz w:val="22"/>
        </w:rPr>
        <w:t>Other Interpretive Provisions</w:t>
      </w:r>
      <w:r>
        <w:rPr>
          <w:rFonts w:ascii="Times New Roman;Times;serif" w:hAnsi="Times New Roman;Times;serif"/>
          <w:sz w:val="22"/>
        </w:rPr>
        <w:t>. With reference to this Agreement and each other Loan Document, unless otherwise specified herein or in such other Loan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definitions of terms herein shall apply equally to the singular and plural forms of the terms defined. Whenever the context may require, any pronoun shall include the corresponding masculine, feminine and neuter forms. The words “</w:t>
      </w:r>
      <w:r>
        <w:rPr>
          <w:rFonts w:ascii="Times New Roman;Times;serif" w:hAnsi="Times New Roman;Times;serif"/>
          <w:sz w:val="22"/>
          <w:u w:val="single"/>
        </w:rPr>
        <w:t>include</w:t>
      </w:r>
      <w:r>
        <w:rPr>
          <w:rFonts w:ascii="Times New Roman;Times;serif" w:hAnsi="Times New Roman;Times;serif"/>
          <w:sz w:val="22"/>
        </w:rPr>
        <w:t>,” “</w:t>
      </w:r>
      <w:r>
        <w:rPr>
          <w:rFonts w:ascii="Times New Roman;Times;serif" w:hAnsi="Times New Roman;Times;serif"/>
          <w:sz w:val="22"/>
          <w:u w:val="single"/>
        </w:rPr>
        <w:t>includes</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sz w:val="22"/>
          <w:u w:val="single"/>
        </w:rPr>
        <w:t>including</w:t>
      </w:r>
      <w:r>
        <w:rPr>
          <w:rFonts w:ascii="Times New Roman;Times;serif" w:hAnsi="Times New Roman;Times;serif"/>
          <w:sz w:val="20"/>
        </w:rPr>
        <w:t xml:space="preserve">” </w:t>
      </w:r>
      <w:r>
        <w:rPr>
          <w:rFonts w:ascii="Times New Roman;Times;serif" w:hAnsi="Times New Roman;Times;serif"/>
          <w:sz w:val="22"/>
        </w:rPr>
        <w:t>shall be deemed to be followed by the phrase “without limitation.” The word “</w:t>
      </w:r>
      <w:r>
        <w:rPr>
          <w:rFonts w:ascii="Times New Roman;Times;serif" w:hAnsi="Times New Roman;Times;serif"/>
          <w:sz w:val="22"/>
          <w:u w:val="single"/>
        </w:rPr>
        <w:t>will</w:t>
      </w:r>
      <w:r>
        <w:rPr>
          <w:rFonts w:ascii="Times New Roman;Times;serif" w:hAnsi="Times New Roman;Times;serif"/>
          <w:sz w:val="20"/>
        </w:rPr>
        <w:t xml:space="preserve">” </w:t>
      </w:r>
      <w:r>
        <w:rPr>
          <w:rFonts w:ascii="Times New Roman;Times;serif" w:hAnsi="Times New Roman;Times;serif"/>
          <w:sz w:val="22"/>
        </w:rPr>
        <w:t>shall be construed to have the same meaning and effect as the word “</w:t>
      </w:r>
      <w:r>
        <w:rPr>
          <w:rFonts w:ascii="Times New Roman;Times;serif" w:hAnsi="Times New Roman;Times;serif"/>
          <w:sz w:val="22"/>
          <w:u w:val="single"/>
        </w:rPr>
        <w:t>shall</w:t>
      </w:r>
      <w:r>
        <w:rPr>
          <w:rFonts w:ascii="Times New Roman;Times;serif" w:hAnsi="Times New Roman;Times;serif"/>
          <w:sz w:val="22"/>
        </w:rPr>
        <w:t>.” Unless the context requires otherwise, (i) any definition of or reference to any agreement, instrument or other document (including any Organization Document) shall be construed as referring to such agreement, instrument or other document as from time to time amended, restated, supplemented or otherwise modified (subject to any restrictions on such amendments, restatements, supplements or modifications set forth herein or in any other Loan Document), (ii) any reference herein to any Person shall be construed to include such Person’s successors and assigns, (iii) the words “</w:t>
      </w:r>
      <w:r>
        <w:rPr>
          <w:rFonts w:ascii="Times New Roman;Times;serif" w:hAnsi="Times New Roman;Times;serif"/>
          <w:sz w:val="22"/>
          <w:u w:val="single"/>
        </w:rPr>
        <w:t>hereto</w:t>
      </w:r>
      <w:r>
        <w:rPr>
          <w:rFonts w:ascii="Times New Roman;Times;serif" w:hAnsi="Times New Roman;Times;serif"/>
          <w:sz w:val="20"/>
        </w:rPr>
        <w:t>”</w:t>
      </w:r>
      <w:r>
        <w:rPr>
          <w:rFonts w:ascii="Times New Roman;Times;serif" w:hAnsi="Times New Roman;Times;serif"/>
          <w:sz w:val="22"/>
        </w:rPr>
        <w:t>, “</w:t>
      </w:r>
      <w:r>
        <w:rPr>
          <w:rFonts w:ascii="Times New Roman;Times;serif" w:hAnsi="Times New Roman;Times;serif"/>
          <w:sz w:val="22"/>
          <w:u w:val="single"/>
        </w:rPr>
        <w:t>herein</w:t>
      </w:r>
      <w:r>
        <w:rPr>
          <w:rFonts w:ascii="Times New Roman;Times;serif" w:hAnsi="Times New Roman;Times;serif"/>
          <w:sz w:val="22"/>
        </w:rPr>
        <w:t>,” “</w:t>
      </w:r>
      <w:r>
        <w:rPr>
          <w:rFonts w:ascii="Times New Roman;Times;serif" w:hAnsi="Times New Roman;Times;serif"/>
          <w:sz w:val="22"/>
          <w:u w:val="single"/>
        </w:rPr>
        <w:t>hereof</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sz w:val="22"/>
          <w:u w:val="single"/>
        </w:rPr>
        <w:t>hereunder</w:t>
      </w:r>
      <w:r>
        <w:rPr>
          <w:rFonts w:ascii="Times New Roman;Times;serif" w:hAnsi="Times New Roman;Times;serif"/>
          <w:sz w:val="22"/>
        </w:rPr>
        <w:t>,” and words of similar import when used in any Loan Document, shall be construed to refer to such Loan Document in its entirety and not to any particular provision thereof, (iv) all references in a Loan Document to Articles, Sections, Exhibits and Schedules shall be construed to refer to Articles and Sections of, and Exhibits and Schedules to, the Loan Document in which such references appear, (v) any reference to any law shall include all statutory and regulatory provisions consolidating, amending, replacing or interpreting such law and any reference to any law, rule or regulation shall, unless otherwise specified, refer to such law, rule or regulation as amended, modified or supplemented from time to time, and (vi) the words “</w:t>
      </w:r>
      <w:r>
        <w:rPr>
          <w:rFonts w:ascii="Times New Roman;Times;serif" w:hAnsi="Times New Roman;Times;serif"/>
          <w:sz w:val="22"/>
          <w:u w:val="single"/>
        </w:rPr>
        <w:t>asset</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sz w:val="22"/>
          <w:u w:val="single"/>
        </w:rPr>
        <w:t>property</w:t>
      </w:r>
      <w:r>
        <w:rPr>
          <w:rFonts w:ascii="Times New Roman;Times;serif" w:hAnsi="Times New Roman;Times;serif"/>
          <w:sz w:val="20"/>
        </w:rPr>
        <w:t xml:space="preserve">” </w:t>
      </w:r>
      <w:r>
        <w:rPr>
          <w:rFonts w:ascii="Times New Roman;Times;serif" w:hAnsi="Times New Roman;Times;serif"/>
          <w:sz w:val="22"/>
        </w:rPr>
        <w:t>shall be construed to have the same meaning and effect and to refer to any and all tangible and intangible assets and properties, including cash, securities, accounts and contract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In the computation of periods of time from a specified date to a later specified date, the word “</w:t>
      </w:r>
      <w:r>
        <w:rPr>
          <w:rFonts w:ascii="Times New Roman;Times;serif" w:hAnsi="Times New Roman;Times;serif"/>
          <w:sz w:val="22"/>
          <w:u w:val="single"/>
        </w:rPr>
        <w:t>from</w:t>
      </w:r>
      <w:r>
        <w:rPr>
          <w:rFonts w:ascii="Times New Roman;Times;serif" w:hAnsi="Times New Roman;Times;serif"/>
          <w:sz w:val="20"/>
        </w:rPr>
        <w:t xml:space="preserve">” </w:t>
      </w:r>
      <w:r>
        <w:rPr>
          <w:rFonts w:ascii="Times New Roman;Times;serif" w:hAnsi="Times New Roman;Times;serif"/>
          <w:sz w:val="22"/>
        </w:rPr>
        <w:t>means “</w:t>
      </w:r>
      <w:r>
        <w:rPr>
          <w:rFonts w:ascii="Times New Roman;Times;serif" w:hAnsi="Times New Roman;Times;serif"/>
          <w:sz w:val="22"/>
          <w:u w:val="single"/>
        </w:rPr>
        <w:t>from and including</w:t>
      </w:r>
      <w:r>
        <w:rPr>
          <w:rFonts w:ascii="Times New Roman;Times;serif" w:hAnsi="Times New Roman;Times;serif"/>
          <w:sz w:val="22"/>
        </w:rPr>
        <w:t>;” the words “</w:t>
      </w:r>
      <w:r>
        <w:rPr>
          <w:rFonts w:ascii="Times New Roman;Times;serif" w:hAnsi="Times New Roman;Times;serif"/>
          <w:sz w:val="22"/>
          <w:u w:val="single"/>
        </w:rPr>
        <w:t>to</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sz w:val="22"/>
          <w:u w:val="single"/>
        </w:rPr>
        <w:t>until</w:t>
      </w:r>
      <w:r>
        <w:rPr>
          <w:rFonts w:ascii="Times New Roman;Times;serif" w:hAnsi="Times New Roman;Times;serif"/>
          <w:sz w:val="20"/>
        </w:rPr>
        <w:t xml:space="preserve">” </w:t>
      </w:r>
      <w:r>
        <w:rPr>
          <w:rFonts w:ascii="Times New Roman;Times;serif" w:hAnsi="Times New Roman;Times;serif"/>
          <w:sz w:val="22"/>
        </w:rPr>
        <w:t>each mean “</w:t>
      </w:r>
      <w:r>
        <w:rPr>
          <w:rFonts w:ascii="Times New Roman;Times;serif" w:hAnsi="Times New Roman;Times;serif"/>
          <w:sz w:val="22"/>
          <w:u w:val="single"/>
        </w:rPr>
        <w:t>to but excluding</w:t>
      </w:r>
      <w:r>
        <w:rPr>
          <w:rFonts w:ascii="Times New Roman;Times;serif" w:hAnsi="Times New Roman;Times;serif"/>
          <w:sz w:val="22"/>
        </w:rPr>
        <w:t>;” and the word “</w:t>
      </w:r>
      <w:r>
        <w:rPr>
          <w:rFonts w:ascii="Times New Roman;Times;serif" w:hAnsi="Times New Roman;Times;serif"/>
          <w:sz w:val="22"/>
          <w:u w:val="single"/>
        </w:rPr>
        <w:t>through</w:t>
      </w:r>
      <w:r>
        <w:rPr>
          <w:rFonts w:ascii="Times New Roman;Times;serif" w:hAnsi="Times New Roman;Times;serif"/>
          <w:sz w:val="20"/>
        </w:rPr>
        <w:t xml:space="preserve">” </w:t>
      </w:r>
      <w:r>
        <w:rPr>
          <w:rFonts w:ascii="Times New Roman;Times;serif" w:hAnsi="Times New Roman;Times;serif"/>
          <w:sz w:val="22"/>
        </w:rPr>
        <w:t>means “</w:t>
      </w:r>
      <w:r>
        <w:rPr>
          <w:rFonts w:ascii="Times New Roman;Times;serif" w:hAnsi="Times New Roman;Times;serif"/>
          <w:sz w:val="22"/>
          <w:u w:val="single"/>
        </w:rPr>
        <w:t>to and including</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Section headings herein and in the other Loan Documents are included for convenience of reference only and shall not affect the interpretation of this Agreement or any other Loan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Any reference herein to a merger, consolidation, amalgamation, conveyance, assignment, sale, disposition or transfer, or similar term, shall be deemed to apply to a division of or by a limited liability company or a limited partnership, as applicable, or an allocation of assets to a series of a limited liability company or a limited partnership, as applicable (or the unwinding of such a division or allocation), as if it were a merger, consolidation, amalgamation, conveyance, assignment, sale, disposition or transfer, or similar term, as applicable, to, of or with a separate Person. Any division of a limited liability company or a limited partnership, as applicable, shall constitute a separate Person hereunder (and each division of any limited liability company or any limited partnership, as applicable, that is a Subsidiary, joint venture or any other like term shall also constitute such a Person or entity).</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tbl>
      <w:tblPr>
        <w:tblW w:w="2343" w:type="dxa"/>
        <w:jc w:val="left"/>
        <w:tblInd w:w="0" w:type="dxa"/>
        <w:tblLayout w:type="fixed"/>
        <w:tblCellMar>
          <w:top w:w="0" w:type="dxa"/>
          <w:left w:w="0" w:type="dxa"/>
          <w:bottom w:w="0" w:type="dxa"/>
          <w:right w:w="0" w:type="dxa"/>
        </w:tblCellMar>
      </w:tblPr>
      <w:tblGrid>
        <w:gridCol w:w="23"/>
        <w:gridCol w:w="440"/>
        <w:gridCol w:w="188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40"/>
              <w:jc w:val="left"/>
              <w:rPr>
                <w:rFonts w:ascii="Times New Roman;Times;serif" w:hAnsi="Times New Roman;Times;serif"/>
                <w:b/>
                <w:sz w:val="22"/>
              </w:rPr>
            </w:pPr>
            <w:r>
              <w:rPr>
                <w:rFonts w:ascii="Times New Roman;Times;serif" w:hAnsi="Times New Roman;Times;serif"/>
                <w:b/>
                <w:sz w:val="22"/>
              </w:rPr>
              <w:t>1.03</w:t>
            </w:r>
          </w:p>
        </w:tc>
        <w:tc>
          <w:tcPr>
            <w:tcW w:w="18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2"/>
              </w:rPr>
              <w:t>Accounting Terms</w:t>
            </w:r>
            <w:r>
              <w:rPr>
                <w:rFonts w:ascii="Times New Roman;Times;serif" w:hAnsi="Times New Roman;Times;serif"/>
                <w:sz w:val="22"/>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Generally</w:t>
      </w:r>
      <w:r>
        <w:rPr>
          <w:rFonts w:ascii="Times New Roman;Times;serif" w:hAnsi="Times New Roman;Times;serif"/>
          <w:sz w:val="22"/>
        </w:rPr>
        <w:t xml:space="preserve">.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as in effect from time to time, applied in a manner consistent with that used in preparing the Audited Financial Statements, </w:t>
      </w:r>
      <w:r>
        <w:rPr>
          <w:rFonts w:ascii="Times New Roman;Times;serif" w:hAnsi="Times New Roman;Times;serif"/>
          <w:sz w:val="22"/>
          <w:u w:val="single"/>
        </w:rPr>
        <w:t>except</w:t>
      </w:r>
      <w:r>
        <w:rPr>
          <w:rFonts w:ascii="Times New Roman;Times;serif" w:hAnsi="Times New Roman;Times;serif"/>
          <w:sz w:val="20"/>
        </w:rPr>
        <w:t xml:space="preserve"> </w:t>
      </w:r>
      <w:r>
        <w:rPr>
          <w:rFonts w:ascii="Times New Roman;Times;serif" w:hAnsi="Times New Roman;Times;serif"/>
          <w:sz w:val="22"/>
        </w:rPr>
        <w:t>as otherwise specifically prescribed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Changes in GAAP</w:t>
      </w:r>
      <w:r>
        <w:rPr>
          <w:rFonts w:ascii="Times New Roman;Times;serif" w:hAnsi="Times New Roman;Times;serif"/>
          <w:sz w:val="22"/>
        </w:rPr>
        <w:t xml:space="preserve">. If at any time any change in GAAP would affect the computation of any financial ratio or requirement set forth in any Loan Document, and either the Company or the Required Lenders shall so request, the Administrative Agent, the Lenders and the Company shall negotiate in good faith to amend such ratio or requirement to preserve the original intent thereof in light of such change in GAAP (subject to the approval of the Required Lenders); </w:t>
      </w:r>
      <w:r>
        <w:rPr>
          <w:rFonts w:ascii="Times New Roman;Times;serif" w:hAnsi="Times New Roman;Times;serif"/>
          <w:sz w:val="22"/>
          <w:u w:val="single"/>
        </w:rPr>
        <w:t>provided that</w:t>
      </w:r>
      <w:r>
        <w:rPr>
          <w:rFonts w:ascii="Times New Roman;Times;serif" w:hAnsi="Times New Roman;Times;serif"/>
          <w:sz w:val="22"/>
        </w:rPr>
        <w:t>, until so amended, (i) such ratio or requirement shall continue to be computed in accordance with GAAP prior to such change therein and (ii) the Company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Consolidation of Variable Interest Entities</w:t>
      </w:r>
      <w:r>
        <w:rPr>
          <w:rFonts w:ascii="Times New Roman;Times;serif" w:hAnsi="Times New Roman;Times;serif"/>
          <w:sz w:val="22"/>
        </w:rPr>
        <w:t xml:space="preserve">. All references herein to consolidated financial statements of the Company and its Subsidiaries or to the determination of any amount for the Company and its Subsidiaries on a consolidated basis or any similar reference shall, in each case, be deemed to include each variable interest entity that the Company is required to consolidate pursuant to </w:t>
      </w:r>
      <w:r>
        <w:rPr>
          <w:rFonts w:ascii="Times New Roman;Times;serif" w:hAnsi="Times New Roman;Times;serif"/>
          <w:sz w:val="22"/>
          <w:u w:val="single"/>
        </w:rPr>
        <w:t>Financial Accounting Standards Board’s Accounting Standards Codification 810</w:t>
      </w:r>
      <w:r>
        <w:rPr>
          <w:rFonts w:ascii="Times New Roman;Times;serif" w:hAnsi="Times New Roman;Times;serif"/>
          <w:sz w:val="20"/>
        </w:rPr>
        <w:t xml:space="preserve"> </w:t>
      </w:r>
      <w:r>
        <w:rPr>
          <w:rFonts w:ascii="Times New Roman;Times;serif" w:hAnsi="Times New Roman;Times;serif"/>
          <w:sz w:val="22"/>
        </w:rPr>
        <w:t>as if such variable interest entity were a Subsidiary as defined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Pro Forma Basis</w:t>
      </w:r>
      <w:r>
        <w:rPr>
          <w:rFonts w:ascii="Times New Roman;Times;serif" w:hAnsi="Times New Roman;Times;serif"/>
          <w:sz w:val="22"/>
        </w:rPr>
        <w:t>. For purposes of computing the Consolidated Leverage Ratio, such ratio (and any financial calculations or components required to be made or included therein) shall be determined, with respect to the relevant period, after giving pro forma effect to each Acquisition consummated during such period (including any incurrence, assumption, refinancing or repayment of Indebtedness), as if such Acquisition had been consummated on the first day of such period, based on historical results accounted for in accordance with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1.04</w:t>
      </w:r>
      <w:r>
        <w:rPr>
          <w:rFonts w:ascii="Times New Roman;Times;serif" w:hAnsi="Times New Roman;Times;serif"/>
          <w:b/>
          <w:sz w:val="22"/>
        </w:rPr>
        <w:t>Exchange Rates; Currency Equivalents</w:t>
      </w:r>
      <w:r>
        <w:rPr>
          <w:rFonts w:ascii="Times New Roman;Times;serif" w:hAnsi="Times New Roman;Times;serif"/>
          <w:sz w:val="22"/>
        </w:rPr>
        <w:t>. (a) The Administrative Agent shall determine the Spot Rates as of each Revaluation Date to be used for calculating Dollar Equivalent amounts of Credit Extensions and Outstanding Amounts denominated in Alternative Currencies. Such Spot Rates shall become effective as of such Revaluation Date and shall be the Spot Rates employed in converting any amounts between the applicable currencies until the next Revaluation Date to occur. Except for purposes of financial statements delivered by Loan Parties hereunder or calculating the financial covenant hereunder or except as otherwise provided herein, the applicable amount of any currency (other than Dollars) for purposes of the Loan Documents shall be such Dollar Equivalent amount as so determined by the Administrative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Wherever in this Agreement in connection with a Committed Borrowing, conversion, continuation or prepayment of an Alternative Currency Loan, an amount, such as a required minimum or multiple amount, is expressed in Dollars, but such Committed Borrowing is denominated in an Alternative Currency, such amount shall be the relevant Alternative Currency Equivalent of such Dollar amount (rounded to the nearest unit of such Alternative Currency, with 0.5 of a unit being rounded upward), as determined by the Administrative Agent.</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tbl>
      <w:tblPr>
        <w:tblW w:w="3873" w:type="dxa"/>
        <w:jc w:val="left"/>
        <w:tblInd w:w="0" w:type="dxa"/>
        <w:tblLayout w:type="fixed"/>
        <w:tblCellMar>
          <w:top w:w="0" w:type="dxa"/>
          <w:left w:w="0" w:type="dxa"/>
          <w:bottom w:w="0" w:type="dxa"/>
          <w:right w:w="0" w:type="dxa"/>
        </w:tblCellMar>
      </w:tblPr>
      <w:tblGrid>
        <w:gridCol w:w="23"/>
        <w:gridCol w:w="440"/>
        <w:gridCol w:w="341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40"/>
              <w:jc w:val="left"/>
              <w:rPr>
                <w:rFonts w:ascii="Times New Roman;Times;serif" w:hAnsi="Times New Roman;Times;serif"/>
                <w:b/>
                <w:sz w:val="22"/>
              </w:rPr>
            </w:pPr>
            <w:r>
              <w:rPr>
                <w:rFonts w:ascii="Times New Roman;Times;serif" w:hAnsi="Times New Roman;Times;serif"/>
                <w:b/>
                <w:sz w:val="22"/>
              </w:rPr>
              <w:t>1.05</w:t>
            </w:r>
          </w:p>
        </w:tc>
        <w:tc>
          <w:tcPr>
            <w:tcW w:w="341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2"/>
              </w:rPr>
              <w:t>Additional Alternative Currencies</w:t>
            </w:r>
            <w:r>
              <w:rPr>
                <w:rFonts w:ascii="Times New Roman;Times;serif" w:hAnsi="Times New Roman;Times;serif"/>
                <w:sz w:val="22"/>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The Company may from time to time request that Alternative Currency Loans be made in a currency other than those specifically listed in the definition of Alternative Currency;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requested currency is an Eligible Currency. Any such request shall be subject to the approval of the Administrative Agent and the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Any such request shall be made to the Administrative Agent not later than 11:00 a.m., 20 Business Days prior to the date of the desired Credit Extension (or such other time or date as may be agreed by the Administrative Agent). In the case of any such request, the Administrative Agent shall promptly notify each Lender thereof. Each Lender shall notify the Administrative Agent, not later than 11:00 a.m., 10 Business Days after receipt of such request whether it consents, in its sole discretion, to the making of Alternative Currency Loans in such requested currency.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Any failure by a Lender to respond to such request within the time period specified in the preceding sentence shall be deemed to be a refusal by such Lender to permit Alternative Currency Loans to be made in such requested currency. If the Administrative Agent and all the Lenders consent to making Alternative Currency Loans in such requested currency and the Administrative Agent and such Lenders reasonably determine that an appropriate interest rate is available to be used for such requested currency, the Administrative Agent shall so notify the Company and (i) the Administrative Agent and such Lenders may amend the definition of Alternative Currency Daily Rate or Alternative Currency Term Rate to the extent necessary to add the applicable rate for such currency and any applicable adjustment for such rate and (ii) to the extent the definition of Alternative Currency Daily Rate or Alternative Currency Term Rate, as applicable, has been amended to reflect the appropriate rate for such currency, such currency shall thereupon be deemed for all purposes to be an Alternative Currency for purposes of any Borrowings of Alternative Currency Loans. If the Administrative Agent shall fail to obtain consent to any request for an additional currency under this </w:t>
      </w:r>
      <w:r>
        <w:rPr>
          <w:rFonts w:ascii="Times New Roman;Times;serif" w:hAnsi="Times New Roman;Times;serif"/>
          <w:sz w:val="22"/>
          <w:u w:val="single"/>
        </w:rPr>
        <w:t>Section 1.05</w:t>
      </w:r>
      <w:r>
        <w:rPr>
          <w:rFonts w:ascii="Times New Roman;Times;serif" w:hAnsi="Times New Roman;Times;serif"/>
          <w:sz w:val="22"/>
        </w:rPr>
        <w:t>, the Administrative Agent shall promptly so notify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1.06</w:t>
      </w:r>
      <w:r>
        <w:rPr>
          <w:rFonts w:ascii="Times New Roman;Times;serif" w:hAnsi="Times New Roman;Times;serif"/>
          <w:b/>
          <w:sz w:val="22"/>
        </w:rPr>
        <w:t>Change of Currency</w:t>
      </w:r>
      <w:r>
        <w:rPr>
          <w:rFonts w:ascii="Times New Roman;Times;serif" w:hAnsi="Times New Roman;Times;serif"/>
          <w:sz w:val="22"/>
        </w:rPr>
        <w:t xml:space="preserve">. (a) Each obligation of the Borrowers to make a payment denominated in the national currency unit of any member state of the European Union that adopts the Euro as its lawful currency after the date hereof shall be redenominated into Euro at the time of such adoption (in accordance with the EMU Legislation). If, in relation to the currency of any such member state, the basis of accrual of interest expressed in this Agreement in respect of that currency shall be inconsistent with any convention or practice in the interbank market for the basis of accrual of interest in respect of the Euro, such expressed basis shall be replaced by such convention or practice with effect from the date on which such member state adopts the Euro as its lawful currency;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if any Committed Borrowing in the currency of such member state is outstanding immediately prior to such date, such replacement shall take effect, with respect to such Committed Borrowing, at the end of the then current Interest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Each provision of this Agreement shall be subject to such reasonable changes of construction as the Administrative Agent may from time to time specify to be appropriate to reflect the adoption of the Euro by any member state of the European Union and any relevant market conventions or practices relating to the Euro.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Each provision of this Agreement also shall be subject to such reasonable changes of construction as the Administrative Agent may from time to time specify to be appropriate to reflect a change in currency of any other country and any relevant market conventions or practices relating to the change in currency.</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1.07</w:t>
      </w:r>
      <w:r>
        <w:rPr>
          <w:rFonts w:ascii="Times New Roman;Times;serif" w:hAnsi="Times New Roman;Times;serif"/>
          <w:b/>
          <w:sz w:val="22"/>
        </w:rPr>
        <w:t>Times of Day</w:t>
      </w:r>
      <w:r>
        <w:rPr>
          <w:rFonts w:ascii="Times New Roman;Times;serif" w:hAnsi="Times New Roman;Times;serif"/>
          <w:sz w:val="22"/>
        </w:rPr>
        <w:t>. Unless otherwise specified, all references herein to times of day shall be references to Pacific time (daylight or standard,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1.08</w:t>
      </w:r>
      <w:r>
        <w:rPr>
          <w:rFonts w:ascii="Times New Roman;Times;serif" w:hAnsi="Times New Roman;Times;serif"/>
          <w:b/>
          <w:sz w:val="22"/>
        </w:rPr>
        <w:t>Letter of Credit Amounts</w:t>
      </w:r>
      <w:r>
        <w:rPr>
          <w:rFonts w:ascii="Times New Roman;Times;serif" w:hAnsi="Times New Roman;Times;serif"/>
          <w:sz w:val="22"/>
        </w:rPr>
        <w:t xml:space="preserve">. Unless otherwise specified herein, the amount of a Letter of Credit at any time shall be deemed to be the Dollar Equivalent of the stated amount of such Letter of Credit in effect at such time;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with respect to any Letter of Credit that, by its terms or the terms of any Issuer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1.09</w:t>
      </w:r>
      <w:r>
        <w:rPr>
          <w:rFonts w:ascii="Times New Roman;Times;serif" w:hAnsi="Times New Roman;Times;serif"/>
          <w:b/>
          <w:sz w:val="22"/>
        </w:rPr>
        <w:t>Rounding</w:t>
      </w:r>
      <w:r>
        <w:rPr>
          <w:rFonts w:ascii="Times New Roman;Times;serif" w:hAnsi="Times New Roman;Times;serif"/>
          <w:sz w:val="22"/>
        </w:rPr>
        <w:t>. Any financial ratios required to be maintained by the Company and its Subsidiaries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 up if there is no nearest number).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1.10</w:t>
      </w:r>
      <w:r>
        <w:rPr>
          <w:rFonts w:ascii="Times New Roman;Times;serif" w:hAnsi="Times New Roman;Times;serif"/>
          <w:b/>
          <w:sz w:val="22"/>
        </w:rPr>
        <w:t xml:space="preserve">Interest Rates. </w:t>
      </w:r>
      <w:r>
        <w:rPr>
          <w:rFonts w:ascii="Times New Roman;Times;serif" w:hAnsi="Times New Roman;Times;serif"/>
          <w:sz w:val="22"/>
        </w:rPr>
        <w:t xml:space="preserve">The Administrative Agent does not warrant, nor accept responsibility, nor shall the Administrative Agent have any liability with respect to the administration, submission or any other matter related to any reference rate referred to herein or with respect to any rate (including, for the avoidance of doubt, the selection of such rate and any related spread or other adjustment) that is an alternative or replacement for or successor to any such rate (including, without limitation, any Successor Rate) (or any component of any of the foregoing) or the effect of any of the foregoing, or of any Conforming Changes, in each case in the absence of the Administrative Agent’s own gross negligence or willful misconduct as determined by a court of competent jurisdiction by final and nonappealable judgment. The Administrative Agent and its affiliates or other related entities may engage in transactions or other activities that affect any reference rate referred to herein, or any alternative, successor or replacement rate (including, without limitation, any Successor Rate) (or any component of any of the foregoing) or any related spread or other adjustments thereto, in each case, in a manner adverse to the Borrowers. The Administrative Agent may select information sources or services in its reasonable discretion to ascertain any reference rate referred to herein or any alternative, successor or replacement rate (including, without limitation, any Successor Rate) </w:t>
      </w:r>
      <w:r>
        <w:rPr>
          <w:rFonts w:ascii="Times New Roman;Times;serif" w:hAnsi="Times New Roman;Times;serif"/>
          <w:b/>
          <w:sz w:val="22"/>
        </w:rPr>
        <w:t>(</w:t>
      </w:r>
      <w:r>
        <w:rPr>
          <w:rFonts w:ascii="Times New Roman;Times;serif" w:hAnsi="Times New Roman;Times;serif"/>
          <w:sz w:val="22"/>
        </w:rPr>
        <w:t>or any component of any of the foregoing), in each case pursuant to the terms of this Agreement, 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 in each case in the absence of the Administrative Agent’s own gross negligence or willful misconduct as determined by a court of competent jurisdiction by final and nonappealable judgment.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1.11</w:t>
      </w:r>
      <w:r>
        <w:rPr>
          <w:rFonts w:ascii="Times New Roman;Times;serif" w:hAnsi="Times New Roman;Times;serif"/>
          <w:b/>
          <w:sz w:val="22"/>
        </w:rPr>
        <w:t>Belgian Civil Code</w:t>
      </w:r>
      <w:r>
        <w:rPr>
          <w:rFonts w:ascii="Times New Roman;Times;serif" w:hAnsi="Times New Roman;Times;serif"/>
          <w:sz w:val="22"/>
        </w:rPr>
        <w:t>. Each party hereto hereby agrees that the provisions of Article 6.3 of the Belgian Civil Code shall, to the fullest extent permitted by law, not apply under or in connection with the Loan Documents and that it shall not be entitled to, and as far as necessary waives any right it may have to, make any extra-contractual liability claim against any other party hereto or any auxiliary (</w:t>
      </w:r>
      <w:r>
        <w:rPr>
          <w:rFonts w:ascii="Times New Roman;Times;serif" w:hAnsi="Times New Roman;Times;serif"/>
          <w:i/>
          <w:sz w:val="22"/>
        </w:rPr>
        <w:t>hulppersoon/auxiliaire</w:t>
      </w:r>
      <w:r>
        <w:rPr>
          <w:rFonts w:ascii="Times New Roman;Times;serif" w:hAnsi="Times New Roman;Times;serif"/>
          <w:sz w:val="22"/>
        </w:rPr>
        <w:t>) of (any Affiliate of) such party with regard to facts, acts or omissions that may potentially give rise to extra-contractual liability and that directly or indirectly arise out of or relate to the negotiation, conclusion, performance or termination of the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1.12</w:t>
      </w:r>
      <w:r>
        <w:rPr>
          <w:rFonts w:ascii="Times New Roman;Times;serif" w:hAnsi="Times New Roman;Times;serif"/>
          <w:b/>
          <w:sz w:val="22"/>
        </w:rPr>
        <w:t>Amendment and Restatement; No Novation; Reallocations and Break Funding</w:t>
      </w:r>
      <w:r>
        <w:rPr>
          <w:rFonts w:ascii="Times New Roman;Times;serif" w:hAnsi="Times New Roman;Times;serif"/>
          <w:sz w:val="22"/>
        </w:rPr>
        <w:t>.</w:t>
      </w:r>
    </w:p>
    <w:p>
      <w:pPr>
        <w:pStyle w:val="TextBody"/>
        <w:bidi w:val="0"/>
        <w:spacing w:before="0" w:after="240"/>
        <w:ind w:left="0" w:right="0" w:hanging="719"/>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The parties hereto agree that this Agreement shall, and is intended to, constitute an amendment and restatement of the Existing Credit Agreement, effective from and after the Closing Date, and that the execution and delivery of this Agreement shall not constitute a novation of any indebtedness or other obligations owing to the Lenders or the Administrative Agent under the Existing Credit Agreement. On the Closing Date, the credit facilities described in the Existing Credit Agreement shall be amended, supplemented, modified and restated in their entirety by the facilities described herein, and all loans and other obligations of the Borrowers outstanding as of such date under the Existing Credit Agreement shall be deemed to be Loans and Obligations outstanding under the corresponding facilities of this Agreement, without any further action by any Person, except that the Administrative Agent, the Lenders and the lenders under the Existing Credit Agreement that are not Lenders under this Agreement (if any) shall make such transfers and advances of funds, repayments of loans and obligations under the Existing Credit Agreement, and other adjustments as are necessary in the opinion of the Administrative Agent so that the outstanding balance of all Loans and Obligations hereunder on the Closing Date, including any Loans funded on the Closing Date hereunder, reflect the Commitments of each of the Lenders hereunder on the Closing Date. Notwithstanding anything to the contrary in the Existing Credit Agreement or in this Agreement, no other documents or instruments, including any Assignment and Assumption, shall be, or shall be required to be, executed in connection with any such assignments (all of which requirements are hereby waived), and such assignments shall be deemed to be made with all applicable representations, warranties and covenants as if evidenced by an Assignment and Assumption. On the Closing Date, the applicable Lenders shall make full cash settlement with one another either directly or through the Administrative Agent, as the Administrative Agent may direct or approve, with respect to all assignments, reallocations and other changes in Commitments and the portion of the Outstanding Amount of the Loans allocable to each Lender, such that after giving effect to such settlements the Commitment of each Lender shall be as set forth on </w:t>
      </w:r>
      <w:r>
        <w:rPr>
          <w:rFonts w:ascii="Times New Roman;Times;serif" w:hAnsi="Times New Roman;Times;serif"/>
          <w:sz w:val="22"/>
          <w:u w:val="single"/>
        </w:rPr>
        <w:t>Schedule 2.01</w:t>
      </w:r>
      <w:r>
        <w:rPr>
          <w:rFonts w:ascii="Times New Roman;Times;serif" w:hAnsi="Times New Roman;Times;serif"/>
          <w:sz w:val="22"/>
        </w:rPr>
        <w:t>; the Borrowers shall not be required to repay any loans under the Existing Credit Agreement in connection with the execution and delivery of this Agreement but on the Closing Date will pay all outstanding interest and fees then accrued under the Existing Credit Agreement, and, for the avoidance of doubt, at the end of the first Interest Period immediately following the Closing Date for each Loan, the Borrowers shall only be required to pay interest on such Loan that has accrued from the Closing Date to the end of such Interest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In connection therewith, to the extent necessary, the Borrowers will make all payments required by the Lenders and the lenders under the Existing Credit Agreement pursuant to </w:t>
      </w:r>
      <w:r>
        <w:rPr>
          <w:rFonts w:ascii="Times New Roman;Times;serif" w:hAnsi="Times New Roman;Times;serif"/>
          <w:sz w:val="22"/>
          <w:u w:val="single"/>
        </w:rPr>
        <w:t>Section 3.05</w:t>
      </w:r>
      <w:r>
        <w:rPr>
          <w:rFonts w:ascii="Times New Roman;Times;serif" w:hAnsi="Times New Roman;Times;serif"/>
          <w:sz w:val="20"/>
        </w:rPr>
        <w:t xml:space="preserve"> </w:t>
      </w:r>
      <w:r>
        <w:rPr>
          <w:rFonts w:ascii="Times New Roman;Times;serif" w:hAnsi="Times New Roman;Times;serif"/>
          <w:sz w:val="22"/>
        </w:rPr>
        <w:t>of the Existing Credit Agreement and/or of this Agreement, as applicable.</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II.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THE COMMITMENTS AND CREDIT EXTENSIONS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2.01</w:t>
      </w:r>
      <w:r>
        <w:rPr>
          <w:rFonts w:ascii="Times New Roman;Times;serif" w:hAnsi="Times New Roman;Times;serif"/>
          <w:b/>
          <w:sz w:val="22"/>
        </w:rPr>
        <w:t xml:space="preserve">Committed Loans. </w:t>
      </w:r>
      <w:r>
        <w:rPr>
          <w:rFonts w:ascii="Times New Roman;Times;serif" w:hAnsi="Times New Roman;Times;serif"/>
          <w:sz w:val="22"/>
        </w:rPr>
        <w:t>Subject to the terms and conditions set forth herein, each Lender severally agrees to make loans (each such loan, a “</w:t>
      </w:r>
      <w:r>
        <w:rPr>
          <w:rFonts w:ascii="Times New Roman;Times;serif" w:hAnsi="Times New Roman;Times;serif"/>
          <w:sz w:val="22"/>
          <w:u w:val="single"/>
        </w:rPr>
        <w:t>Committed Loan</w:t>
      </w:r>
      <w:r>
        <w:rPr>
          <w:rFonts w:ascii="Times New Roman;Times;serif" w:hAnsi="Times New Roman;Times;serif"/>
          <w:sz w:val="20"/>
        </w:rPr>
        <w:t>”</w:t>
      </w:r>
      <w:r>
        <w:rPr>
          <w:rFonts w:ascii="Times New Roman;Times;serif" w:hAnsi="Times New Roman;Times;serif"/>
          <w:sz w:val="22"/>
        </w:rPr>
        <w:t xml:space="preserve">) to the Borrowers in Dollars or in one or more Alternative Currencies from time to time, on any Business Day during the Availability Period, in an aggregate amount not to exceed at any time outstanding the amount of such Lender’s Commitment;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after giving effect to any Committed Borrowing, (i) the Total Outstandings shall not exceed the Aggregate Commitments, (ii) the aggregate Outstanding Amount of the Committed Loans of any Lender,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such Lender’s Applicable Percentage of the Outstanding Amount of all L/C Obligations,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such Lender’s Applicable Percentage of the Outstanding Amount of all Swing Line Loans shall not exceed such Lender’s Commitment and (iii) the aggregate Outstanding Amount of all Committed Loans denominated in Alternative Currencies (other than Euro and Sterling, either of which shall be available in an amount up to the unused Aggregate Commitments) shall not exceed the Alternative Currency Sublimit. Within the limits of each Lender’s Commitment, and subject</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to the other terms and conditions hereof, the Borrowers may borrow under this </w:t>
      </w:r>
      <w:r>
        <w:rPr>
          <w:rFonts w:ascii="Times New Roman;Times;serif" w:hAnsi="Times New Roman;Times;serif"/>
          <w:sz w:val="22"/>
          <w:u w:val="single"/>
        </w:rPr>
        <w:t>Section 2.01</w:t>
      </w:r>
      <w:r>
        <w:rPr>
          <w:rFonts w:ascii="Times New Roman;Times;serif" w:hAnsi="Times New Roman;Times;serif"/>
          <w:sz w:val="22"/>
        </w:rPr>
        <w:t xml:space="preserve">, prepay under </w:t>
      </w:r>
      <w:r>
        <w:rPr>
          <w:rFonts w:ascii="Times New Roman;Times;serif" w:hAnsi="Times New Roman;Times;serif"/>
          <w:sz w:val="22"/>
          <w:u w:val="single"/>
        </w:rPr>
        <w:t>Section 2.05</w:t>
      </w:r>
      <w:r>
        <w:rPr>
          <w:rFonts w:ascii="Times New Roman;Times;serif" w:hAnsi="Times New Roman;Times;serif"/>
          <w:sz w:val="22"/>
        </w:rPr>
        <w:t xml:space="preserve">, and reborrow under this </w:t>
      </w:r>
      <w:r>
        <w:rPr>
          <w:rFonts w:ascii="Times New Roman;Times;serif" w:hAnsi="Times New Roman;Times;serif"/>
          <w:sz w:val="22"/>
          <w:u w:val="single"/>
        </w:rPr>
        <w:t>Section 2.01</w:t>
      </w:r>
      <w:r>
        <w:rPr>
          <w:rFonts w:ascii="Times New Roman;Times;serif" w:hAnsi="Times New Roman;Times;serif"/>
          <w:sz w:val="22"/>
        </w:rPr>
        <w:t>. Committed Loans may be Base Rate Loans, Term SOFR Loans, SOFR Daily Floating Rate Loans, Alternative Currency Daily Rate Loans or Alternative Currency Term Rate Loans, as further provided herein.</w:t>
      </w:r>
    </w:p>
    <w:tbl>
      <w:tblPr>
        <w:tblW w:w="6933" w:type="dxa"/>
        <w:jc w:val="left"/>
        <w:tblInd w:w="0" w:type="dxa"/>
        <w:tblLayout w:type="fixed"/>
        <w:tblCellMar>
          <w:top w:w="0" w:type="dxa"/>
          <w:left w:w="0" w:type="dxa"/>
          <w:bottom w:w="0" w:type="dxa"/>
          <w:right w:w="0" w:type="dxa"/>
        </w:tblCellMar>
      </w:tblPr>
      <w:tblGrid>
        <w:gridCol w:w="23"/>
        <w:gridCol w:w="440"/>
        <w:gridCol w:w="647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40"/>
              <w:jc w:val="left"/>
              <w:rPr>
                <w:rFonts w:ascii="Times New Roman;Times;serif" w:hAnsi="Times New Roman;Times;serif"/>
                <w:b/>
                <w:sz w:val="22"/>
              </w:rPr>
            </w:pPr>
            <w:r>
              <w:rPr>
                <w:rFonts w:ascii="Times New Roman;Times;serif" w:hAnsi="Times New Roman;Times;serif"/>
                <w:b/>
                <w:sz w:val="22"/>
              </w:rPr>
              <w:t>2.02</w:t>
            </w:r>
          </w:p>
        </w:tc>
        <w:tc>
          <w:tcPr>
            <w:tcW w:w="64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2"/>
              </w:rPr>
              <w:t>Borrowings, Conversions and Continuations of Committed Loans</w:t>
            </w:r>
            <w:r>
              <w:rPr>
                <w:rFonts w:ascii="Times New Roman;Times;serif" w:hAnsi="Times New Roman;Times;serif"/>
                <w:sz w:val="22"/>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Each Committed Borrowing, each conversion of Committed Loans from one Type to the other, and each continuation of Term SOFR Loans and Alternative Currency Term Rate Loans shall be made upon the applicable Borrower’s irrevocable notice to the Administrative Agent, which may be given by telephone. Each such notice must be received by the Administrative Agent not later than 9:00 a.m. (i) two Business Days prior to the requested date of any Borrowing of, conversion to or continuation of Term SOFR Loans or of any conversion of Term SOFR Loans to Base Rate Committed Loans, (ii) three Business Days (or four Business Days in the case of a Special Notice Currency) prior to the requested date of any Borrowing or continuation of Alternative Currency Loans, (iii) on the requested date of any Borrowing of or conversion to SOFR Daily Floating Rate Loans or of any conversion of SOFR Daily Floating Rate Loans to Base Rate Loans and (iv) on the requested date of any Borrowing of Base Rate Committed Loans. Each telephonic notice by the applicable Borrower pursuant to this </w:t>
      </w:r>
      <w:r>
        <w:rPr>
          <w:rFonts w:ascii="Times New Roman;Times;serif" w:hAnsi="Times New Roman;Times;serif"/>
          <w:sz w:val="22"/>
          <w:u w:val="single"/>
        </w:rPr>
        <w:t>Section 2.02(a)</w:t>
      </w:r>
      <w:r>
        <w:rPr>
          <w:rFonts w:ascii="Times New Roman;Times;serif" w:hAnsi="Times New Roman;Times;serif"/>
          <w:sz w:val="20"/>
        </w:rPr>
        <w:t xml:space="preserve"> </w:t>
      </w:r>
      <w:r>
        <w:rPr>
          <w:rFonts w:ascii="Times New Roman;Times;serif" w:hAnsi="Times New Roman;Times;serif"/>
          <w:sz w:val="22"/>
        </w:rPr>
        <w:t xml:space="preserve">must be confirmed promptly by delivery to the Administrative Agent of a written Committed Loan Notice. Each Borrowing of, conversion to or continuation of Term SOFR Loans, SOFR Daily Floating Rate Loans or Alternative Currency Loans shall be in a principal amount of the Dollar Equivalent of $5,000,000 or a whole multiple of the Dollar Equivalent of $1,000,000 in excess thereof. Except as provided in </w:t>
      </w:r>
      <w:r>
        <w:rPr>
          <w:rFonts w:ascii="Times New Roman;Times;serif" w:hAnsi="Times New Roman;Times;serif"/>
          <w:sz w:val="22"/>
          <w:u w:val="single"/>
        </w:rPr>
        <w:t>Sections 2.03(c)</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2.04(c)</w:t>
      </w:r>
      <w:r>
        <w:rPr>
          <w:rFonts w:ascii="Times New Roman;Times;serif" w:hAnsi="Times New Roman;Times;serif"/>
          <w:sz w:val="22"/>
        </w:rPr>
        <w:t xml:space="preserve">, each Committed Borrowing of or conversion to Base Rate Committed Loans shall be in a principal amount of $5,000,000 or a whole multiple of $1,000,000 in excess thereof. Each Committed Loan Notice shall specify (i) the name of the applicable Borrower and whether such Borrower is requesting a Committed Borrowing, a conversion of Committed Loans from one Type to the other, or a continuation of Term SOFR Loans or Alternative Currency Term Rate Loans, (ii) the requested date of the Borrowing, conversion or continuation, as the case may be (which shall be a Business Day), (iii) the principal amount of Committed Loans to be borrowed, converted or continued, (iv) the Type of Committed Loans to be borrowed or to which existing Committed Loans are to be converted, (v) if applicable, the duration of the Interest Period with respect thereto and (vi) the currency of the Committed Loans to be borrowed. If the applicable Borrower fails to specify a currency in a Committed Loan Notice requesting a Borrowing, then the Committed Loans so requested shall be made in Dollars. If the applicable Borrower fails to specify a Type of Committed Loan in a Committed Loan Notice or if the applicable Borrower fails to give a timely notice requesting a conversion or continuation, then the applicable Committed Loans shall be made as, or converted to, Base Rate Loans;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in the case of a failure to timely request a continuation of Alternative Currency Term Rate Loans, such Loans shall be continued as Alternative Currency Term Rate Loans in their original currency with an Interest Period of one month. Any automatic conversion to Base Rate Loans shall be effective as of the last day of the Interest Period then in effect with respect to the applicable Loans. If the applicable Borrower requests a Borrowing of, conversion to, or continuation of Term SOFR Loans, SOFR Daily Floating Rate Loans or Alternative Currency Term Rate Loans in any such Committed Loan Notice, but fails to specify an Interest Period, it will be deemed to have specified an Interest Period of one month. No Committed Loan may be converted into or continued as a Committed Loan denominated in a different currency, but instead must be prepaid in the original currency of such Committed Loan and reborrowed in the other currency.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Following receipt of a Committed Loan Notice, the Administrative Agent shall promptly notify each Lender of the amount (and currency) of its Applicable Percentage of the applicable Committed Loans, and if no timely notice of a conversion or continuation is provided by the applicable Borrower, the Administrative Agent shall notify each Lender of the details of any automatic conversion</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to Base Rate Loans or continuation of Alternative Currency Term Rate Loans, in each case as described in the preceding subsection. In the case of a Committed Borrowing, each Lender shall make the amount of its Committed Loan available to the Administrative Agent in Same Day Funds at the Administrative Agent’s Office for the applicable currency not later than 11:00 a.m., in the case of any Committed Loan denominated in Dollars, and not later than the Applicable Time specified by the Administrative Agent in the case of any Committed Loan in an Alternative Currency, in each case on the Business Day specified in the applicable Committed Loan Notice. Upon satisfaction of the applicable conditions set forth in </w:t>
      </w:r>
      <w:r>
        <w:rPr>
          <w:rFonts w:ascii="Times New Roman;Times;serif" w:hAnsi="Times New Roman;Times;serif"/>
          <w:sz w:val="22"/>
          <w:u w:val="single"/>
        </w:rPr>
        <w:t>Section 4.02</w:t>
      </w:r>
      <w:r>
        <w:rPr>
          <w:rFonts w:ascii="Times New Roman;Times;serif" w:hAnsi="Times New Roman;Times;serif"/>
          <w:sz w:val="20"/>
        </w:rPr>
        <w:t xml:space="preserve"> </w:t>
      </w:r>
      <w:r>
        <w:rPr>
          <w:rFonts w:ascii="Times New Roman;Times;serif" w:hAnsi="Times New Roman;Times;serif"/>
          <w:sz w:val="22"/>
        </w:rPr>
        <w:t xml:space="preserve">(and, if such Borrowing is the initial Credit Extension, </w:t>
      </w:r>
      <w:r>
        <w:rPr>
          <w:rFonts w:ascii="Times New Roman;Times;serif" w:hAnsi="Times New Roman;Times;serif"/>
          <w:sz w:val="22"/>
          <w:u w:val="single"/>
        </w:rPr>
        <w:t>Section 4.01</w:t>
      </w:r>
      <w:r>
        <w:rPr>
          <w:rFonts w:ascii="Times New Roman;Times;serif" w:hAnsi="Times New Roman;Times;serif"/>
          <w:sz w:val="22"/>
        </w:rPr>
        <w:t xml:space="preserve">), the Administrative Agent shall make all funds so received available to the Company or the other applicable Borrower in like funds as received by the Administrative Agent either by (i) crediting the account of such Borrower on the books of Bank of America with the amount of such funds or (ii) wire transfer of such funds, in each case in accordance with instructions provided to (and reasonably acceptable to) the Administrative Agent by the applicable Borrower;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if, on the date the Committed Loan Notice with respect to such Borrowing denominated in Dollars is given by the applicable Borrower, there are L/C Borrowings outstanding, then the proceeds of such Borrowing, </w:t>
      </w:r>
      <w:r>
        <w:rPr>
          <w:rFonts w:ascii="Times New Roman;Times;serif" w:hAnsi="Times New Roman;Times;serif"/>
          <w:sz w:val="22"/>
          <w:u w:val="single"/>
        </w:rPr>
        <w:t>first</w:t>
      </w:r>
      <w:r>
        <w:rPr>
          <w:rFonts w:ascii="Times New Roman;Times;serif" w:hAnsi="Times New Roman;Times;serif"/>
          <w:sz w:val="22"/>
        </w:rPr>
        <w:t xml:space="preserve">, shall be applied to the payment in full of any such L/C Borrowings, and, </w:t>
      </w:r>
      <w:r>
        <w:rPr>
          <w:rFonts w:ascii="Times New Roman;Times;serif" w:hAnsi="Times New Roman;Times;serif"/>
          <w:sz w:val="22"/>
          <w:u w:val="single"/>
        </w:rPr>
        <w:t>second</w:t>
      </w:r>
      <w:r>
        <w:rPr>
          <w:rFonts w:ascii="Times New Roman;Times;serif" w:hAnsi="Times New Roman;Times;serif"/>
          <w:sz w:val="22"/>
        </w:rPr>
        <w:t>, shall be made available to the applicable Borrower as provided 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Except as otherwise provided herein, a Term SOFR Loan or Alternative Currency Term Rate Loan may be continued or converted only on the last day of an Interest Period for such Term SOFR Loan or Alternative Currency Term Rate Loan. During the existence of a Default, no Loans may be requested as, converted to or continued, if applicable, as Term SOFR Loans, SOFR Daily Floating Rate Loans or Alternative Currency Term Rate Loans without the consent of the Required Lenders, and the Required Lenders may demand that any or all of the then outstanding Term SOFR Loans or Alternative Currency Term Rate Loans be prepaid, or redenominated into Dollars in the amount of the Dollar Equivalent thereof, on the last day of the then current Interest Period with respect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The Administrative Agent shall promptly notify the applicable Borrower and the Lenders of the interest rate applicable to any Interest Period for Term SOFR Loans, SOFR Daily Floating Rate Loans or Alternative Currency Loans upon determination of such interest rate. At any time that Base Rate Loans are outstanding, the Administrative Agent shall notify the applicable Borrower and the Lenders of any change in Bank of America’s prime rate used in determining the Base Rate promptly following the public announcement of such 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After giving effect to all Committed Borrowings, all conversions of Committed Loans from one Type to the other, and all continuations of Committed Loans as the same Type, there shall not be more than ten Interest Periods in effect with respect to Committed Loans.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Notwithstanding anything to the contrary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Company, the Administrative Agent, and such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 xml:space="preserve">With respect to any Alternative Currency Daily Rate, Alternative Currency Term Rate, Term SOFR, SOFR Daily Floating Rate or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with respect to any such amendment effected, the Administrative Agent shall post each</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such amendment implementing such Conforming Changes to the Borrowers and the Lenders reasonably promptly after such amendment becomes effective</w:t>
      </w:r>
    </w:p>
    <w:tbl>
      <w:tblPr>
        <w:tblW w:w="2193" w:type="dxa"/>
        <w:jc w:val="left"/>
        <w:tblInd w:w="0" w:type="dxa"/>
        <w:tblLayout w:type="fixed"/>
        <w:tblCellMar>
          <w:top w:w="0" w:type="dxa"/>
          <w:left w:w="0" w:type="dxa"/>
          <w:bottom w:w="0" w:type="dxa"/>
          <w:right w:w="0" w:type="dxa"/>
        </w:tblCellMar>
      </w:tblPr>
      <w:tblGrid>
        <w:gridCol w:w="23"/>
        <w:gridCol w:w="440"/>
        <w:gridCol w:w="173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40"/>
              <w:jc w:val="left"/>
              <w:rPr>
                <w:rFonts w:ascii="Times New Roman;Times;serif" w:hAnsi="Times New Roman;Times;serif"/>
                <w:b/>
                <w:sz w:val="22"/>
              </w:rPr>
            </w:pPr>
            <w:r>
              <w:rPr>
                <w:rFonts w:ascii="Times New Roman;Times;serif" w:hAnsi="Times New Roman;Times;serif"/>
                <w:b/>
                <w:sz w:val="22"/>
              </w:rPr>
              <w:t>2.03</w:t>
            </w:r>
          </w:p>
        </w:tc>
        <w:tc>
          <w:tcPr>
            <w:tcW w:w="17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2"/>
              </w:rPr>
              <w:t>Letters of Credit</w:t>
            </w:r>
            <w:r>
              <w:rPr>
                <w:rFonts w:ascii="Times New Roman;Times;serif" w:hAnsi="Times New Roman;Times;serif"/>
                <w:sz w:val="22"/>
              </w:rPr>
              <w:t>.</w:t>
            </w:r>
          </w:p>
        </w:tc>
      </w:tr>
    </w:tbl>
    <w:tbl>
      <w:tblPr>
        <w:tblW w:w="3498" w:type="dxa"/>
        <w:jc w:val="left"/>
        <w:tblInd w:w="0" w:type="dxa"/>
        <w:tblLayout w:type="fixed"/>
        <w:tblCellMar>
          <w:top w:w="0" w:type="dxa"/>
          <w:left w:w="0" w:type="dxa"/>
          <w:bottom w:w="0" w:type="dxa"/>
          <w:right w:w="0" w:type="dxa"/>
        </w:tblCellMar>
      </w:tblPr>
      <w:tblGrid>
        <w:gridCol w:w="23"/>
        <w:gridCol w:w="275"/>
        <w:gridCol w:w="320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w:t>
            </w:r>
          </w:p>
        </w:tc>
        <w:tc>
          <w:tcPr>
            <w:tcW w:w="320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2"/>
                <w:u w:val="single"/>
              </w:rPr>
              <w:t>The Letter of Credit Commitment</w:t>
            </w:r>
            <w:r>
              <w:rPr>
                <w:rFonts w:ascii="Times New Roman;Times;serif" w:hAnsi="Times New Roman;Times;serif"/>
                <w:sz w:val="22"/>
              </w:rPr>
              <w: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 xml:space="preserve">Subject to the terms and conditions set forth herein, (A) each L/C Issuer agrees, in reliance upon the agreements of the Lenders set forth in this </w:t>
      </w:r>
      <w:r>
        <w:rPr>
          <w:rFonts w:ascii="Times New Roman;Times;serif" w:hAnsi="Times New Roman;Times;serif"/>
          <w:sz w:val="22"/>
          <w:u w:val="single"/>
        </w:rPr>
        <w:t>Section 2.03</w:t>
      </w:r>
      <w:r>
        <w:rPr>
          <w:rFonts w:ascii="Times New Roman;Times;serif" w:hAnsi="Times New Roman;Times;serif"/>
          <w:sz w:val="22"/>
        </w:rPr>
        <w:t xml:space="preserve">, (1) from time to time on any Business Day during the period from the Closing Date until the Letter of Credit Expiration Date, to issue Letters of Credit denominated in Dollars for the account of the Company or any Designated Borrower, and to amend or extend Letters of Credit previously issued by it, in accordance with </w:t>
      </w:r>
      <w:r>
        <w:rPr>
          <w:rFonts w:ascii="Times New Roman;Times;serif" w:hAnsi="Times New Roman;Times;serif"/>
          <w:sz w:val="22"/>
          <w:u w:val="single"/>
        </w:rPr>
        <w:t>subsection (b)</w:t>
      </w:r>
      <w:r>
        <w:rPr>
          <w:rFonts w:ascii="Times New Roman;Times;serif" w:hAnsi="Times New Roman;Times;serif"/>
          <w:sz w:val="20"/>
        </w:rPr>
        <w:t xml:space="preserve"> </w:t>
      </w:r>
      <w:r>
        <w:rPr>
          <w:rFonts w:ascii="Times New Roman;Times;serif" w:hAnsi="Times New Roman;Times;serif"/>
          <w:sz w:val="22"/>
        </w:rPr>
        <w:t xml:space="preserve">below, and (2) to honor drawings under the Letters of Credit issued by it; and (B) the Lenders severally agree to participate in Letters of Credit issued for the account of the Company or any Designated Borrower and any drawings thereunder;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after giving effect to any L/C Credit Extension with respect to any Letter of Credit, (w) the Total Outstandings shall not exceed the Aggregate Commitments, (x) the aggregate Outstanding Amount of the Committed Loans of any Lender,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such Lender’s Applicable Percentage of the Outstanding Amount of all L/C Obligations,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such Lender’s Applicable Percentage of the Outstanding Amount of all Swing Line Loans shall not exceed such Lender’s Commitment, (y) unless otherwise agreed by the applicable L/C Issuer, the aggregate amount available to be drawn under all Letters of Credit issued by the applicable L/C Issuer issuing such Letter of Credit shall not exceed such L/C Issuer’s Letter of Credit Sublimit and (z) the Outstanding Amount of the L/C Obligations shall not exceed the aggregate Letter of Credit Sublimit. Each request by a Borrower for the issuance or amendment of a Letter of Credit shall be deemed to be a representation by such Borrower that the L/C Credit Extension so requested complies with the conditions set forth in the proviso to the preceding sentence. Within the foregoing limits, and subject to the terms and conditions hereof, the ability of the Borrowers to obtain Letters of Credit shall be fully revolving, and accordingly the Company and any Designated Borrower may, during the foregoing period, obtain Letters of Credit to replace Letters of Credit that have expired or that have been drawn upon and reimbursed. All Existing Letters of Credit shall be deemed to have been issued pursuant hereto, and from and after the Closing Date shall be subject to and governed by the terms and conditions 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No L/C Issuer shall issue any Letter of Credit, if:</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z w:val="22"/>
        </w:rPr>
        <w:t xml:space="preserve">subject to </w:t>
      </w:r>
      <w:r>
        <w:rPr>
          <w:rFonts w:ascii="Times New Roman;Times;serif" w:hAnsi="Times New Roman;Times;serif"/>
          <w:sz w:val="22"/>
          <w:u w:val="single"/>
        </w:rPr>
        <w:t>Section 2.03(b)(iii)</w:t>
      </w:r>
      <w:r>
        <w:rPr>
          <w:rFonts w:ascii="Times New Roman;Times;serif" w:hAnsi="Times New Roman;Times;serif"/>
          <w:sz w:val="22"/>
        </w:rPr>
        <w:t>, the expiry date of such requested Letter of Credit would occur more than twelve months after the date of issuance or last extension, unless the Required Lenders have approved such expiry date;</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2"/>
        </w:rPr>
        <w:t>the expiry date of such requested Letter of Credit would occur after the Letter of Credit Expiration Date, unless all the Lenders have approved such expiry date; or</w:t>
      </w:r>
    </w:p>
    <w:p>
      <w:pPr>
        <w:pStyle w:val="TextBody"/>
        <w:bidi w:val="0"/>
        <w:spacing w:before="0" w:after="240"/>
        <w:ind w:left="1440" w:right="0" w:firstLine="720"/>
        <w:jc w:val="left"/>
        <w:rPr>
          <w:rFonts w:ascii="Times New Roman;Times;serif" w:hAnsi="Times New Roman;Times;serif"/>
          <w:sz w:val="20"/>
        </w:rPr>
      </w:pPr>
      <w:r>
        <w:rPr>
          <w:rFonts w:ascii="Times New Roman;Times;serif" w:hAnsi="Times New Roman;Times;serif"/>
          <w:sz w:val="20"/>
        </w:rPr>
        <w:t>(C)</w:t>
      </w:r>
      <w:r>
        <w:rPr>
          <w:rFonts w:ascii="Times New Roman;Times;serif" w:hAnsi="Times New Roman;Times;serif"/>
          <w:sz w:val="22"/>
        </w:rPr>
        <w:t>such Letter of Credit is to be denominated in a currency other than Dollars.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No L/C Issuer shall be under any obligation to issue any Letter of Credit if:</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z w:val="22"/>
        </w:rPr>
        <w:t>any order, judgment or decree of any Governmental Authority or arbitrator shall by its terms purport to enjoin or restrain such L/C Issuer from issuing</w:t>
      </w:r>
    </w:p>
    <w:p>
      <w:pPr>
        <w:pStyle w:val="TextBody"/>
        <w:bidi w:val="0"/>
        <w:spacing w:before="0" w:after="240"/>
        <w:ind w:left="0" w:right="0" w:firstLine="72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pBdr>
          <w:bottom w:val="double" w:sz="2" w:space="0" w:color="808080"/>
        </w:pBdr>
        <w:bidi w:val="0"/>
        <w:spacing w:before="0" w:after="283"/>
        <w:jc w:val="left"/>
        <w:rPr/>
      </w:pPr>
      <w:r>
        <w:rPr/>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2"/>
        </w:rPr>
        <w:t>the issuance of such Letter of Credit would violate one or more policies of such L/C Issuer applicable to letters of credit generally;</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(C)</w:t>
      </w:r>
      <w:r>
        <w:rPr>
          <w:rFonts w:ascii="Times New Roman;Times;serif" w:hAnsi="Times New Roman;Times;serif"/>
          <w:sz w:val="22"/>
        </w:rPr>
        <w:t>except as otherwise agreed by the Administrative Agent and such L/C Issuer, such Letter of Credit is in an initial face amount less than $500,000;</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(D)</w:t>
      </w:r>
      <w:r>
        <w:rPr>
          <w:rFonts w:ascii="Times New Roman;Times;serif" w:hAnsi="Times New Roman;Times;serif"/>
          <w:sz w:val="22"/>
        </w:rPr>
        <w:t>such Letter of Credit contains any provisions for automatic reinstatement of the face amount after any drawing thereunder (an “</w:t>
      </w:r>
      <w:r>
        <w:rPr>
          <w:rFonts w:ascii="Times New Roman;Times;serif" w:hAnsi="Times New Roman;Times;serif"/>
          <w:sz w:val="22"/>
          <w:u w:val="single"/>
        </w:rPr>
        <w:t>Auto-Reinstatement Letter of Credit</w:t>
      </w:r>
      <w:r>
        <w:rPr>
          <w:rFonts w:ascii="Times New Roman;Times;serif" w:hAnsi="Times New Roman;Times;serif"/>
          <w:sz w:val="20"/>
        </w:rPr>
        <w:t>”</w:t>
      </w:r>
      <w:r>
        <w:rPr>
          <w:rFonts w:ascii="Times New Roman;Times;serif" w:hAnsi="Times New Roman;Times;serif"/>
          <w:sz w:val="22"/>
        </w:rPr>
        <w:t>); or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(E)</w:t>
      </w:r>
      <w:r>
        <w:rPr>
          <w:rFonts w:ascii="Times New Roman;Times;serif" w:hAnsi="Times New Roman;Times;serif"/>
          <w:sz w:val="22"/>
        </w:rPr>
        <w:t xml:space="preserve">any Lender is at that time a Defaulting Lender, unless such L/C Issuer has entered into arrangements, including the delivery of Cash Collateral, satisfactory to such L/C Issuer (in its sole discretion) with the Company or such Lender to eliminate such L/C Issuer’s actual or potential Fronting Exposure (after giving effect to </w:t>
      </w:r>
      <w:r>
        <w:rPr>
          <w:rFonts w:ascii="Times New Roman;Times;serif" w:hAnsi="Times New Roman;Times;serif"/>
          <w:sz w:val="22"/>
          <w:u w:val="single"/>
        </w:rPr>
        <w:t>Section 2.17(a)(iv</w:t>
      </w:r>
      <w:r>
        <w:rPr>
          <w:rFonts w:ascii="Times New Roman;Times;serif" w:hAnsi="Times New Roman;Times;serif"/>
          <w:b/>
          <w:sz w:val="22"/>
        </w:rPr>
        <w:t>)</w:t>
      </w:r>
      <w:r>
        <w:rPr>
          <w:rFonts w:ascii="Times New Roman;Times;serif" w:hAnsi="Times New Roman;Times;serif"/>
          <w:sz w:val="22"/>
        </w:rPr>
        <w:t>) with respect to the Defaulting Lender arising from either the Letter of Credit then proposed to be issued or that Letter of Credit and all other L/C Obligations as to which such L/C Issuer has actual or potential Fronting Exposure, as it may elect in its sole discretion.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No L/C Issuer shall amend any Letter of Credit issued by it if such L/C Issuer would not be permitted at such time to issue such Letter of Credit in its amended form under the terms 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w:t>
      </w:r>
      <w:r>
        <w:rPr>
          <w:rFonts w:ascii="Times New Roman;Times;serif" w:hAnsi="Times New Roman;Times;serif"/>
          <w:sz w:val="22"/>
        </w:rPr>
        <w:t>No L/C Issuer shall be under any obligation to amend any Letter of Credit if (A) such L/C Issuer would have no obligation at such time to issue such Letter of Credit in its amended form under the terms hereof, or (B) the beneficiary of such Letter of Credit does not accept the proposed amendment to such Letter of Credit.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w:t>
      </w:r>
      <w:r>
        <w:rPr>
          <w:rFonts w:ascii="Times New Roman;Times;serif" w:hAnsi="Times New Roman;Times;serif"/>
          <w:sz w:val="22"/>
        </w:rPr>
        <w:t xml:space="preserve">Each L/C Issuer shall act on behalf of the Lenders with respect to any Letters of Credit issued by it and the documents associated therewith, and such L/C Issuer shall have all of the benefits and immunities (A) provided to the Administrative Agent in </w:t>
      </w:r>
      <w:r>
        <w:rPr>
          <w:rFonts w:ascii="Times New Roman;Times;serif" w:hAnsi="Times New Roman;Times;serif"/>
          <w:sz w:val="22"/>
          <w:u w:val="single"/>
        </w:rPr>
        <w:t>Article IX</w:t>
      </w:r>
      <w:r>
        <w:rPr>
          <w:rFonts w:ascii="Times New Roman;Times;serif" w:hAnsi="Times New Roman;Times;serif"/>
          <w:sz w:val="20"/>
        </w:rPr>
        <w:t xml:space="preserve"> </w:t>
      </w:r>
      <w:r>
        <w:rPr>
          <w:rFonts w:ascii="Times New Roman;Times;serif" w:hAnsi="Times New Roman;Times;serif"/>
          <w:sz w:val="22"/>
        </w:rPr>
        <w:t xml:space="preserve">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Times New Roman;Times;serif" w:hAnsi="Times New Roman;Times;serif"/>
          <w:sz w:val="22"/>
          <w:u w:val="single"/>
        </w:rPr>
        <w:t>Article IX</w:t>
      </w:r>
      <w:r>
        <w:rPr>
          <w:rFonts w:ascii="Times New Roman;Times;serif" w:hAnsi="Times New Roman;Times;serif"/>
          <w:sz w:val="20"/>
        </w:rPr>
        <w:t xml:space="preserve"> </w:t>
      </w:r>
      <w:r>
        <w:rPr>
          <w:rFonts w:ascii="Times New Roman;Times;serif" w:hAnsi="Times New Roman;Times;serif"/>
          <w:sz w:val="22"/>
        </w:rPr>
        <w:t>included such L/C Issuer with respect to such acts or omissions, and (B) as additionally provided herein with respect to such L/C Issuer.</w:t>
      </w:r>
    </w:p>
    <w:tbl>
      <w:tblPr>
        <w:tblW w:w="9243" w:type="dxa"/>
        <w:jc w:val="left"/>
        <w:tblInd w:w="0" w:type="dxa"/>
        <w:tblLayout w:type="fixed"/>
        <w:tblCellMar>
          <w:top w:w="0" w:type="dxa"/>
          <w:left w:w="0" w:type="dxa"/>
          <w:bottom w:w="0" w:type="dxa"/>
          <w:right w:w="0" w:type="dxa"/>
        </w:tblCellMar>
      </w:tblPr>
      <w:tblGrid>
        <w:gridCol w:w="23"/>
        <w:gridCol w:w="290"/>
        <w:gridCol w:w="893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(b)</w:t>
            </w:r>
          </w:p>
        </w:tc>
        <w:tc>
          <w:tcPr>
            <w:tcW w:w="89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2"/>
                <w:u w:val="single"/>
              </w:rPr>
              <w:t>Procedures for Issuance and Amendment of Letters of Credit; Auto-Extension Letters of Credit</w:t>
            </w:r>
            <w:r>
              <w:rPr>
                <w:rFonts w:ascii="Times New Roman;Times;serif" w:hAnsi="Times New Roman;Times;serif"/>
                <w:sz w:val="22"/>
              </w:rPr>
              <w:t>.</w:t>
            </w:r>
          </w:p>
        </w:tc>
      </w:tr>
    </w:tbl>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Each Letter of Credit shall be issued or amended, as the case may be, upon the request of a Borrower delivered to an L/C Issuer (with a copy to the Administrative Agent) in the form of a Letter of Credit Application, appropriately completed and signed by a Responsible Officer of such Borrower. Such Letter of Credit Application may be sent by United States mail, by overnight courier, by electronic transmission using the system provided by such L/C Issuer, by personal delivery or by any other means acceptable to such L/C Issuer. Such Letter of Credit Application must be received by such L/C Issuer and the Administrative Agent not later than 8:00 a.m. at least two Business Days prior to the proposed issuance date or date of amendment, as the case may be, or such later date and time as the Administrative Agent and such L/C Issuer may agree in a particular instance in their sole discretion. In the case of a request for an initial issuance of a Letter of Credit, such Letter of Credit Application shall specify in form and detail satisfactory to such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such L/C Issuer may require. In the case of a request for an amendment of any outstanding Letter of Credit, such Letter of Credit Application shall specify in form and detail satisfactory to such L/C Issuer (A) the Letter of Credit to be amended; (B) the proposed date of amendment thereof (which shall be a Business Day); (C) the nature of the proposed amendment; and (D) such other matters as such L/C Issuer may require. Additionally, the applicable Borrower shall furnish to such L/C Issuer and the Administrative Agent such other documents and information pertaining to such requested Letter of Credit issuance or amendment, including any Issuer Documents, as such L/C Issuer or the Administrative Agent may require.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 xml:space="preserve">Promptly after receipt of any Letter of Credit Application, such L/C Issuer will confirm with the Administrative Agent (by telephone or in writing) that the Administrative Agent has received a copy of such Letter of Credit Application from the applicable Borrower and, if not, such L/C Issuer will provide the Administrative Agent with a copy thereof. Unless such L/C Issuer has received written notice from any Lender, the Administrative Agent or any Loan Party, at least one Business Day prior to the requested date of issuance or amendment of the applicable Letter of Credit, that one or more applicable conditions contained in </w:t>
      </w:r>
      <w:r>
        <w:rPr>
          <w:rFonts w:ascii="Times New Roman;Times;serif" w:hAnsi="Times New Roman;Times;serif"/>
          <w:sz w:val="22"/>
          <w:u w:val="single"/>
        </w:rPr>
        <w:t>Article IV</w:t>
      </w:r>
      <w:r>
        <w:rPr>
          <w:rFonts w:ascii="Times New Roman;Times;serif" w:hAnsi="Times New Roman;Times;serif"/>
          <w:sz w:val="20"/>
        </w:rPr>
        <w:t xml:space="preserve"> </w:t>
      </w:r>
      <w:r>
        <w:rPr>
          <w:rFonts w:ascii="Times New Roman;Times;serif" w:hAnsi="Times New Roman;Times;serif"/>
          <w:sz w:val="22"/>
        </w:rPr>
        <w:t xml:space="preserve">shall not then be satisfied, then, subject to the terms and conditions hereof, such L/C Issuer shall, on the requested date, issue a Letter of Credit for the account of the Company (or the applicable Designated Borrower) or enter into the applicable amendment, as the case may be, in each case in accordance with such L/C Issuer’s usual and customary business practices. Immediately upon the issuance of each Letter of Credit, each Lender shall be deemed to, and hereby irrevocably and unconditionally agrees to, purchase from such L/C Issuer a risk participation in such Letter of Credit in an amount equal to the product of such Lender’s Applicable Percentage </w:t>
      </w:r>
      <w:r>
        <w:rPr>
          <w:rFonts w:ascii="Times New Roman;Times;serif" w:hAnsi="Times New Roman;Times;serif"/>
          <w:sz w:val="22"/>
          <w:u w:val="single"/>
        </w:rPr>
        <w:t>times</w:t>
      </w:r>
      <w:r>
        <w:rPr>
          <w:rFonts w:ascii="Times New Roman;Times;serif" w:hAnsi="Times New Roman;Times;serif"/>
          <w:sz w:val="20"/>
        </w:rPr>
        <w:t xml:space="preserve"> </w:t>
      </w:r>
      <w:r>
        <w:rPr>
          <w:rFonts w:ascii="Times New Roman;Times;serif" w:hAnsi="Times New Roman;Times;serif"/>
          <w:sz w:val="22"/>
        </w:rPr>
        <w:t>the amount of such Letter of Credit.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If a Borrower so requests in any applicable Letter of Credit Application, such L/C Issuer may, in its sole and absolute discretion, agree to issue a Letter of Credit that has automatic extension provisions (each, an “</w:t>
      </w:r>
      <w:r>
        <w:rPr>
          <w:rFonts w:ascii="Times New Roman;Times;serif" w:hAnsi="Times New Roman;Times;serif"/>
          <w:sz w:val="22"/>
          <w:u w:val="single"/>
        </w:rPr>
        <w:t>Auto-Extension Letter of Credit</w:t>
      </w:r>
      <w:r>
        <w:rPr>
          <w:rFonts w:ascii="Times New Roman;Times;serif" w:hAnsi="Times New Roman;Times;serif"/>
          <w:sz w:val="20"/>
        </w:rPr>
        <w:t>”</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any such Auto-Extension Letter of Credit must permit such L/C Issuer to prevent any such extension at least once in each twelve-month period (commencing with the date of issuance of such Letter of Credit) by giving prior notice to the beneficiary thereof not later than a day (the “</w:t>
      </w:r>
      <w:r>
        <w:rPr>
          <w:rFonts w:ascii="Times New Roman;Times;serif" w:hAnsi="Times New Roman;Times;serif"/>
          <w:sz w:val="22"/>
          <w:u w:val="single"/>
        </w:rPr>
        <w:t>Non-Extension Notice Date</w:t>
      </w:r>
      <w:r>
        <w:rPr>
          <w:rFonts w:ascii="Times New Roman;Times;serif" w:hAnsi="Times New Roman;Times;serif"/>
          <w:sz w:val="20"/>
        </w:rPr>
        <w:t>”</w:t>
      </w:r>
      <w:r>
        <w:rPr>
          <w:rFonts w:ascii="Times New Roman;Times;serif" w:hAnsi="Times New Roman;Times;serif"/>
          <w:sz w:val="22"/>
        </w:rPr>
        <w:t>) in each such twelve-month period to be agreed upon at the time such Letter of Credit is issued. Unless otherwise directed by such L/C Issuer, the applicable Borrower shall not be required to make a specific request to such L/C Issuer for any such</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extension. Once an Auto-Extension Letter of Credit has been issued, the Lenders shall be deemed to have authorized (but may not require) such L/C Issuer to permit the extension of such Letter of Credit at any time to an expiry date not later than the Letter of Credit Expiration Date;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such L/C Issuer shall not permit any such extension if (A) such L/C Issuer has determined that it would not be permitted, or would have no obligation, at such time to issue such Letter of Credit in its revised form (as extended) under the terms hereof (by reason of the provisions of </w:t>
      </w:r>
      <w:r>
        <w:rPr>
          <w:rFonts w:ascii="Times New Roman;Times;serif" w:hAnsi="Times New Roman;Times;serif"/>
          <w:sz w:val="22"/>
          <w:u w:val="single"/>
        </w:rPr>
        <w:t>clause (ii)</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(iii)</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sz w:val="22"/>
          <w:u w:val="single"/>
        </w:rPr>
        <w:t>Section 2.03(a)</w:t>
      </w:r>
      <w:r>
        <w:rPr>
          <w:rFonts w:ascii="Times New Roman;Times;serif" w:hAnsi="Times New Roman;Times;serif"/>
          <w:sz w:val="20"/>
        </w:rPr>
        <w:t xml:space="preserve"> </w:t>
      </w:r>
      <w:r>
        <w:rPr>
          <w:rFonts w:ascii="Times New Roman;Times;serif" w:hAnsi="Times New Roman;Times;serif"/>
          <w:sz w:val="22"/>
        </w:rPr>
        <w:t xml:space="preserve">or otherwise), or (B) it has received notice (which may be by telephone or in writing) on or before the day that is five Business Days before the Non-Extension Notice Date (1) from the Administrative Agent that the Required Lenders have elected not to permit such extension or (2) from the Administrative Agent, any Lender or the Company that one or more of the applicable conditions specified in </w:t>
      </w:r>
      <w:r>
        <w:rPr>
          <w:rFonts w:ascii="Times New Roman;Times;serif" w:hAnsi="Times New Roman;Times;serif"/>
          <w:sz w:val="22"/>
          <w:u w:val="single"/>
        </w:rPr>
        <w:t>Section 4.02</w:t>
      </w:r>
      <w:r>
        <w:rPr>
          <w:rFonts w:ascii="Times New Roman;Times;serif" w:hAnsi="Times New Roman;Times;serif"/>
          <w:sz w:val="20"/>
        </w:rPr>
        <w:t xml:space="preserve"> </w:t>
      </w:r>
      <w:r>
        <w:rPr>
          <w:rFonts w:ascii="Times New Roman;Times;serif" w:hAnsi="Times New Roman;Times;serif"/>
          <w:sz w:val="22"/>
        </w:rPr>
        <w:t>is not then satisfied, and in each such case directing such L/C Issuer not to permit such extension.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If a Borrower so requests in any applicable Letter of Credit Application, an L/C Issuer may, in its sole and absolute discretion, agree to issue a Letter of Credit that permits the automatic reinstatement of all or a portion of the face amount thereof after any drawing thereunder. Unless otherwise directed by such L/C Issuer, the applicable Borrower shall not be required to make a specific request to such L/C Issuer to permit such reinstatement. Once an Auto-Reinstatement Letter of Credit has been issued, except as provided in the following sentence, the Lenders shall be deemed to have authorized (but may not require) such L/C Issuer to reinstate all or a portion of the face amount thereof in accordance with the provisions of such Letter of Credit. Notwithstanding the foregoing, if such Auto-Reinstatement Letter of Credit permits such L/C Issuer to decline to reinstate all or any portion of the face amount thereof after a drawing thereunder by giving notice of such non-reinstatement within a specified number of days after such drawing (the “</w:t>
      </w:r>
      <w:r>
        <w:rPr>
          <w:rFonts w:ascii="Times New Roman;Times;serif" w:hAnsi="Times New Roman;Times;serif"/>
          <w:sz w:val="22"/>
          <w:u w:val="single"/>
        </w:rPr>
        <w:t>Non-Reinstatement Deadline</w:t>
      </w:r>
      <w:r>
        <w:rPr>
          <w:rFonts w:ascii="Times New Roman;Times;serif" w:hAnsi="Times New Roman;Times;serif"/>
          <w:sz w:val="20"/>
        </w:rPr>
        <w:t>”</w:t>
      </w:r>
      <w:r>
        <w:rPr>
          <w:rFonts w:ascii="Times New Roman;Times;serif" w:hAnsi="Times New Roman;Times;serif"/>
          <w:sz w:val="22"/>
        </w:rPr>
        <w:t xml:space="preserve">), such L/C Issuer shall not permit such reinstatement if it has received a notice (which may be by telephone or in writing) on or before the day that is five Business Days before the Non-Reinstatement Deadline (A) from the Administrative Agent that the Required Lenders have elected not to permit such reinstatement or (B) from the Administrative Agent, any Lender or the Company that one or more of the applicable conditions specified in </w:t>
      </w:r>
      <w:r>
        <w:rPr>
          <w:rFonts w:ascii="Times New Roman;Times;serif" w:hAnsi="Times New Roman;Times;serif"/>
          <w:sz w:val="22"/>
          <w:u w:val="single"/>
        </w:rPr>
        <w:t>Section 4.02</w:t>
      </w:r>
      <w:r>
        <w:rPr>
          <w:rFonts w:ascii="Times New Roman;Times;serif" w:hAnsi="Times New Roman;Times;serif"/>
          <w:sz w:val="20"/>
        </w:rPr>
        <w:t xml:space="preserve"> </w:t>
      </w:r>
      <w:r>
        <w:rPr>
          <w:rFonts w:ascii="Times New Roman;Times;serif" w:hAnsi="Times New Roman;Times;serif"/>
          <w:sz w:val="22"/>
        </w:rPr>
        <w:t>is not then satisfied (treating such reinstatement as an L/C Credit Extension for purposes of this clause) and, in each case, directing such L/C Issuer not to permit such reinstatement.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w:t>
      </w:r>
      <w:r>
        <w:rPr>
          <w:rFonts w:ascii="Times New Roman;Times;serif" w:hAnsi="Times New Roman;Times;serif"/>
          <w:sz w:val="22"/>
        </w:rPr>
        <w:t>Promptly after its delivery of any Letter of Credit or any amendment to a Letter of Credit to an advising bank with respect thereto or to the beneficiary thereof, each L/C Issuer will also deliver to the applicable Borrower and the Administrative Agent a true and complete copy of such Letter of Credit or amendment.</w:t>
      </w:r>
    </w:p>
    <w:tbl>
      <w:tblPr>
        <w:tblW w:w="5778" w:type="dxa"/>
        <w:jc w:val="left"/>
        <w:tblInd w:w="0" w:type="dxa"/>
        <w:tblLayout w:type="fixed"/>
        <w:tblCellMar>
          <w:top w:w="0" w:type="dxa"/>
          <w:left w:w="0" w:type="dxa"/>
          <w:bottom w:w="0" w:type="dxa"/>
          <w:right w:w="0" w:type="dxa"/>
        </w:tblCellMar>
      </w:tblPr>
      <w:tblGrid>
        <w:gridCol w:w="23"/>
        <w:gridCol w:w="275"/>
        <w:gridCol w:w="548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(c)</w:t>
            </w:r>
          </w:p>
        </w:tc>
        <w:tc>
          <w:tcPr>
            <w:tcW w:w="548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u w:val="single"/>
              </w:rPr>
              <w:t>Drawings and Reimbursements; Funding of Participations</w:t>
            </w:r>
            <w:r>
              <w:rPr>
                <w:rFonts w:ascii="Times New Roman;Times;serif" w:hAnsi="Times New Roman;Times;serif"/>
                <w:sz w:val="22"/>
              </w:rPr>
              <w: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Upon receipt from the beneficiary of any Letter of Credit of any notice of a drawing under such Letter of Credit, each L/C Issuer shall notify the applicable Borrower and the Administrative Agent thereof. Not later than 10:00 a.m. on the date of any payment by such L/C Issuer under a Letter of Credit (each such date, an “</w:t>
      </w:r>
      <w:r>
        <w:rPr>
          <w:rFonts w:ascii="Times New Roman;Times;serif" w:hAnsi="Times New Roman;Times;serif"/>
          <w:sz w:val="22"/>
          <w:u w:val="single"/>
        </w:rPr>
        <w:t>Honor Date</w:t>
      </w:r>
      <w:r>
        <w:rPr>
          <w:rFonts w:ascii="Times New Roman;Times;serif" w:hAnsi="Times New Roman;Times;serif"/>
          <w:sz w:val="20"/>
        </w:rPr>
        <w:t>”</w:t>
      </w:r>
      <w:r>
        <w:rPr>
          <w:rFonts w:ascii="Times New Roman;Times;serif" w:hAnsi="Times New Roman;Times;serif"/>
          <w:sz w:val="22"/>
        </w:rPr>
        <w:t>), the applicable Borrower shall reimburse such L/C Issuer through the Administrative Agent in an amount equal to the amount of such drawing and in Dollars. If the applicable Borrower fails to so reimburse such L/C Issuer by such time, the Administrative Agent shall promptly notify each Lender of the Honor Date, the amount of the unreimbursed drawing (the “</w:t>
      </w:r>
      <w:r>
        <w:rPr>
          <w:rFonts w:ascii="Times New Roman;Times;serif" w:hAnsi="Times New Roman;Times;serif"/>
          <w:sz w:val="22"/>
          <w:u w:val="single"/>
        </w:rPr>
        <w:t>Unreimbursed Amount</w:t>
      </w:r>
      <w:r>
        <w:rPr>
          <w:rFonts w:ascii="Times New Roman;Times;serif" w:hAnsi="Times New Roman;Times;serif"/>
          <w:sz w:val="20"/>
        </w:rPr>
        <w:t>”</w:t>
      </w:r>
      <w:r>
        <w:rPr>
          <w:rFonts w:ascii="Times New Roman;Times;serif" w:hAnsi="Times New Roman;Times;serif"/>
          <w:sz w:val="22"/>
        </w:rPr>
        <w:t>), and the amount of such Lender’s Applicable Percentage thereof. In such event, the applicable Borrower shall be deemed to have requested a Committed Borrowing of Base Rate Loans to be disbursed on the Honor Date in an amount equal to the Unreimbursed Amount, without regard to the minimum and multiples</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specified in </w:t>
      </w:r>
      <w:r>
        <w:rPr>
          <w:rFonts w:ascii="Times New Roman;Times;serif" w:hAnsi="Times New Roman;Times;serif"/>
          <w:sz w:val="22"/>
          <w:u w:val="single"/>
        </w:rPr>
        <w:t>Section 2.02</w:t>
      </w:r>
      <w:r>
        <w:rPr>
          <w:rFonts w:ascii="Times New Roman;Times;serif" w:hAnsi="Times New Roman;Times;serif"/>
          <w:sz w:val="20"/>
        </w:rPr>
        <w:t xml:space="preserve"> </w:t>
      </w:r>
      <w:r>
        <w:rPr>
          <w:rFonts w:ascii="Times New Roman;Times;serif" w:hAnsi="Times New Roman;Times;serif"/>
          <w:sz w:val="22"/>
        </w:rPr>
        <w:t xml:space="preserve">for the principal amount of Base Rate Loans, but subject to the amount of the unutilized portion of the Aggregate Commitments and the conditions set forth in </w:t>
      </w:r>
      <w:r>
        <w:rPr>
          <w:rFonts w:ascii="Times New Roman;Times;serif" w:hAnsi="Times New Roman;Times;serif"/>
          <w:sz w:val="22"/>
          <w:u w:val="single"/>
        </w:rPr>
        <w:t>Section 4.02</w:t>
      </w:r>
      <w:r>
        <w:rPr>
          <w:rFonts w:ascii="Times New Roman;Times;serif" w:hAnsi="Times New Roman;Times;serif"/>
          <w:sz w:val="20"/>
        </w:rPr>
        <w:t xml:space="preserve"> </w:t>
      </w:r>
      <w:r>
        <w:rPr>
          <w:rFonts w:ascii="Times New Roman;Times;serif" w:hAnsi="Times New Roman;Times;serif"/>
          <w:sz w:val="22"/>
        </w:rPr>
        <w:t xml:space="preserve">(other than the delivery of a Committed Loan Notice). Any notice given by such L/C Issuer or the Administrative Agent pursuant to this </w:t>
      </w:r>
      <w:r>
        <w:rPr>
          <w:rFonts w:ascii="Times New Roman;Times;serif" w:hAnsi="Times New Roman;Times;serif"/>
          <w:sz w:val="22"/>
          <w:u w:val="single"/>
        </w:rPr>
        <w:t>Section 2.03(c)(i)</w:t>
      </w:r>
      <w:r>
        <w:rPr>
          <w:rFonts w:ascii="Times New Roman;Times;serif" w:hAnsi="Times New Roman;Times;serif"/>
          <w:sz w:val="20"/>
        </w:rPr>
        <w:t xml:space="preserve"> </w:t>
      </w:r>
      <w:r>
        <w:rPr>
          <w:rFonts w:ascii="Times New Roman;Times;serif" w:hAnsi="Times New Roman;Times;serif"/>
          <w:sz w:val="22"/>
        </w:rPr>
        <w:t xml:space="preserve">may be given by telephone if immediately confirmed in writing;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lack of such an immediate confirmation shall not affect the conclusiveness or binding effect of such notice.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 xml:space="preserve">Each Lender shall upon any notice pursuant to </w:t>
      </w:r>
      <w:r>
        <w:rPr>
          <w:rFonts w:ascii="Times New Roman;Times;serif" w:hAnsi="Times New Roman;Times;serif"/>
          <w:sz w:val="22"/>
          <w:u w:val="single"/>
        </w:rPr>
        <w:t>Section 2.03(c)(i)</w:t>
      </w:r>
      <w:r>
        <w:rPr>
          <w:rFonts w:ascii="Times New Roman;Times;serif" w:hAnsi="Times New Roman;Times;serif"/>
          <w:sz w:val="20"/>
        </w:rPr>
        <w:t xml:space="preserve"> </w:t>
      </w:r>
      <w:r>
        <w:rPr>
          <w:rFonts w:ascii="Times New Roman;Times;serif" w:hAnsi="Times New Roman;Times;serif"/>
          <w:sz w:val="22"/>
        </w:rPr>
        <w:t xml:space="preserve">make funds available (and the Administrative Agent may apply Cash Collateral provided for this purpose) for the account of such L/C Issuer, in Dollars, at the Administrative Agent’s Office for Dollar-denominated payments in an amount equal to its Applicable Percentage of the Unreimbursed Amount not later than 11:30 a.m. on the Business Day specified in such notice by the Administrative Agent, whereupon, subject to the provisions of </w:t>
      </w:r>
      <w:r>
        <w:rPr>
          <w:rFonts w:ascii="Times New Roman;Times;serif" w:hAnsi="Times New Roman;Times;serif"/>
          <w:sz w:val="22"/>
          <w:u w:val="single"/>
        </w:rPr>
        <w:t>Section 2.03(c)(iii)</w:t>
      </w:r>
      <w:r>
        <w:rPr>
          <w:rFonts w:ascii="Times New Roman;Times;serif" w:hAnsi="Times New Roman;Times;serif"/>
          <w:sz w:val="22"/>
        </w:rPr>
        <w:t>, each Lender that so makes funds available shall be deemed to have made a Base Rate Committed Loan to the applicable Borrower in such amount. The Administrative Agent shall remit the funds so received to such L/C Issuer.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 xml:space="preserve">With respect to any Unreimbursed Amount that is not fully refinanced by a Committed Borrowing of Base Rate Loans because the conditions set forth in </w:t>
      </w:r>
      <w:r>
        <w:rPr>
          <w:rFonts w:ascii="Times New Roman;Times;serif" w:hAnsi="Times New Roman;Times;serif"/>
          <w:sz w:val="22"/>
          <w:u w:val="single"/>
        </w:rPr>
        <w:t>Section 4.02</w:t>
      </w:r>
      <w:r>
        <w:rPr>
          <w:rFonts w:ascii="Times New Roman;Times;serif" w:hAnsi="Times New Roman;Times;serif"/>
          <w:sz w:val="20"/>
        </w:rPr>
        <w:t xml:space="preserve"> </w:t>
      </w:r>
      <w:r>
        <w:rPr>
          <w:rFonts w:ascii="Times New Roman;Times;serif" w:hAnsi="Times New Roman;Times;serif"/>
          <w:sz w:val="22"/>
        </w:rPr>
        <w:t xml:space="preserve">cannot be satisfied or for any other reason, the applicable Borrower shall be deemed to have incurred from the applicable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such L/C Issuer pursuant to </w:t>
      </w:r>
      <w:r>
        <w:rPr>
          <w:rFonts w:ascii="Times New Roman;Times;serif" w:hAnsi="Times New Roman;Times;serif"/>
          <w:sz w:val="22"/>
          <w:u w:val="single"/>
        </w:rPr>
        <w:t>Section 2.03(c)(ii)</w:t>
      </w:r>
      <w:r>
        <w:rPr>
          <w:rFonts w:ascii="Times New Roman;Times;serif" w:hAnsi="Times New Roman;Times;serif"/>
          <w:sz w:val="20"/>
        </w:rPr>
        <w:t xml:space="preserve"> </w:t>
      </w:r>
      <w:r>
        <w:rPr>
          <w:rFonts w:ascii="Times New Roman;Times;serif" w:hAnsi="Times New Roman;Times;serif"/>
          <w:sz w:val="22"/>
        </w:rPr>
        <w:t xml:space="preserve">shall be deemed payment in respect of its participation in such L/C Borrowing and shall constitute an L/C Advance from such Lender in satisfaction of its participation obligation under this </w:t>
      </w:r>
      <w:r>
        <w:rPr>
          <w:rFonts w:ascii="Times New Roman;Times;serif" w:hAnsi="Times New Roman;Times;serif"/>
          <w:sz w:val="22"/>
          <w:u w:val="single"/>
        </w:rPr>
        <w:t>Section 2.03</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 xml:space="preserve">Until each Lender funds its Committed Loan or L/C Advance pursuant to this </w:t>
      </w:r>
      <w:r>
        <w:rPr>
          <w:rFonts w:ascii="Times New Roman;Times;serif" w:hAnsi="Times New Roman;Times;serif"/>
          <w:sz w:val="22"/>
          <w:u w:val="single"/>
        </w:rPr>
        <w:t>Section 2.03(c)</w:t>
      </w:r>
      <w:r>
        <w:rPr>
          <w:rFonts w:ascii="Times New Roman;Times;serif" w:hAnsi="Times New Roman;Times;serif"/>
          <w:sz w:val="20"/>
        </w:rPr>
        <w:t xml:space="preserve"> </w:t>
      </w:r>
      <w:r>
        <w:rPr>
          <w:rFonts w:ascii="Times New Roman;Times;serif" w:hAnsi="Times New Roman;Times;serif"/>
          <w:sz w:val="22"/>
        </w:rPr>
        <w:t>to reimburse the applicable L/C Issuer for any amount drawn under any Letter of Credit, interest in respect of such Lender’s Applicable Percentage of such amount shall be solely for the account of such L/C Issuer.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w:t>
      </w:r>
      <w:r>
        <w:rPr>
          <w:rFonts w:ascii="Times New Roman;Times;serif" w:hAnsi="Times New Roman;Times;serif"/>
          <w:sz w:val="22"/>
        </w:rPr>
        <w:t xml:space="preserve">Each Lender’s obligation to make Committed Loans or L/C Advances to reimburse the applicable L/C Issuer for amounts drawn under Letters of Credit, as contemplated by this </w:t>
      </w:r>
      <w:r>
        <w:rPr>
          <w:rFonts w:ascii="Times New Roman;Times;serif" w:hAnsi="Times New Roman;Times;serif"/>
          <w:sz w:val="22"/>
          <w:u w:val="single"/>
        </w:rPr>
        <w:t>Section 2.03(c)</w:t>
      </w:r>
      <w:r>
        <w:rPr>
          <w:rFonts w:ascii="Times New Roman;Times;serif" w:hAnsi="Times New Roman;Times;serif"/>
          <w:sz w:val="22"/>
        </w:rPr>
        <w:t xml:space="preserve">, shall be absolute and unconditional and shall not be affected by any circumstance, including (A) any setoff, counterclaim, recoupment, defense or other right which such Lender may have against such L/C Issuer, the Company, any Subsidiary or any other Person for any reason whatsoever; (B) the occurrence or continuance of a Default, or (C) any other occurrence, event or condition, whether or not similar to any of the foregoing;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each Lender’s obligation to make Committed Loans pursuant to this </w:t>
      </w:r>
      <w:r>
        <w:rPr>
          <w:rFonts w:ascii="Times New Roman;Times;serif" w:hAnsi="Times New Roman;Times;serif"/>
          <w:sz w:val="22"/>
          <w:u w:val="single"/>
        </w:rPr>
        <w:t>Section 2.03(c)</w:t>
      </w:r>
      <w:r>
        <w:rPr>
          <w:rFonts w:ascii="Times New Roman;Times;serif" w:hAnsi="Times New Roman;Times;serif"/>
          <w:sz w:val="20"/>
        </w:rPr>
        <w:t xml:space="preserve"> </w:t>
      </w:r>
      <w:r>
        <w:rPr>
          <w:rFonts w:ascii="Times New Roman;Times;serif" w:hAnsi="Times New Roman;Times;serif"/>
          <w:sz w:val="22"/>
        </w:rPr>
        <w:t xml:space="preserve">is subject to the conditions set forth in </w:t>
      </w:r>
      <w:r>
        <w:rPr>
          <w:rFonts w:ascii="Times New Roman;Times;serif" w:hAnsi="Times New Roman;Times;serif"/>
          <w:sz w:val="22"/>
          <w:u w:val="single"/>
        </w:rPr>
        <w:t>Section 4.02</w:t>
      </w:r>
      <w:r>
        <w:rPr>
          <w:rFonts w:ascii="Times New Roman;Times;serif" w:hAnsi="Times New Roman;Times;serif"/>
          <w:sz w:val="20"/>
        </w:rPr>
        <w:t xml:space="preserve"> </w:t>
      </w:r>
      <w:r>
        <w:rPr>
          <w:rFonts w:ascii="Times New Roman;Times;serif" w:hAnsi="Times New Roman;Times;serif"/>
          <w:sz w:val="22"/>
        </w:rPr>
        <w:t>(other than delivery by the applicable Borrower of a Committed Loan Notice). No such making of an L/C Advance shall relieve or otherwise impair the obligation of the applicable Borrower to reimburse the applicable L/C Issuer for the amount of any payment made by such L/C Issuer under any Letter of Credit, together with interest as provided herein.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w:t>
      </w:r>
      <w:r>
        <w:rPr>
          <w:rFonts w:ascii="Times New Roman;Times;serif" w:hAnsi="Times New Roman;Times;serif"/>
          <w:sz w:val="22"/>
        </w:rPr>
        <w:t xml:space="preserve">If any Lender fails to make available to the Administrative Agent for the account of the applicable L/C Issuer any amount required to be paid by such Lender pursuant to the foregoing provisions of this </w:t>
      </w:r>
      <w:r>
        <w:rPr>
          <w:rFonts w:ascii="Times New Roman;Times;serif" w:hAnsi="Times New Roman;Times;serif"/>
          <w:sz w:val="22"/>
          <w:u w:val="single"/>
        </w:rPr>
        <w:t>Section 2.03(c)</w:t>
      </w:r>
      <w:r>
        <w:rPr>
          <w:rFonts w:ascii="Times New Roman;Times;serif" w:hAnsi="Times New Roman;Times;serif"/>
          <w:sz w:val="20"/>
        </w:rPr>
        <w:t xml:space="preserve"> </w:t>
      </w:r>
      <w:r>
        <w:rPr>
          <w:rFonts w:ascii="Times New Roman;Times;serif" w:hAnsi="Times New Roman;Times;serif"/>
          <w:sz w:val="22"/>
        </w:rPr>
        <w:t xml:space="preserve">by the time specified in </w:t>
      </w:r>
      <w:r>
        <w:rPr>
          <w:rFonts w:ascii="Times New Roman;Times;serif" w:hAnsi="Times New Roman;Times;serif"/>
          <w:sz w:val="22"/>
          <w:u w:val="single"/>
        </w:rPr>
        <w:t>Section 2.03(c)(ii)</w:t>
      </w:r>
      <w:r>
        <w:rPr>
          <w:rFonts w:ascii="Times New Roman;Times;serif" w:hAnsi="Times New Roman;Times;serif"/>
          <w:sz w:val="22"/>
        </w:rPr>
        <w:t>, then, without limiting the other provisions of this Agreement, such L/C Issuer shall be entitled to</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recover from such Lender (acting through the Administrative Agent), on demand, such amount with interest thereon for the period from the date such payment is required to the date on which such payment is immediately available to such L/C Issuer at a rate per annum equal to the applicable Overnight Rate from time to time in effect,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any administrative, processing or similar fees customarily charged by such L/C Issuer in connection with the foregoing. If such Lender pays such amount (with interest and fees as aforesaid), the amount so paid shall constitute such Lender’s Committed Loan included in the relevant Committed Borrowing or L/C Advance in respect of the relevant L/C Borrowing, as the case may be. A certificate of such L/C Issuer submitted to any Lender (through the Administrative Agent) with respect to any amounts owing under this </w:t>
      </w:r>
      <w:r>
        <w:rPr>
          <w:rFonts w:ascii="Times New Roman;Times;serif" w:hAnsi="Times New Roman;Times;serif"/>
          <w:sz w:val="22"/>
          <w:u w:val="single"/>
        </w:rPr>
        <w:t>clause (vi)</w:t>
      </w:r>
      <w:r>
        <w:rPr>
          <w:rFonts w:ascii="Times New Roman;Times;serif" w:hAnsi="Times New Roman;Times;serif"/>
          <w:sz w:val="20"/>
        </w:rPr>
        <w:t xml:space="preserve"> </w:t>
      </w:r>
      <w:r>
        <w:rPr>
          <w:rFonts w:ascii="Times New Roman;Times;serif" w:hAnsi="Times New Roman;Times;serif"/>
          <w:sz w:val="22"/>
        </w:rPr>
        <w:t>shall be conclusive absent manifest error.</w:t>
      </w:r>
    </w:p>
    <w:tbl>
      <w:tblPr>
        <w:tblW w:w="3033" w:type="dxa"/>
        <w:jc w:val="left"/>
        <w:tblInd w:w="0" w:type="dxa"/>
        <w:tblLayout w:type="fixed"/>
        <w:tblCellMar>
          <w:top w:w="0" w:type="dxa"/>
          <w:left w:w="0" w:type="dxa"/>
          <w:bottom w:w="0" w:type="dxa"/>
          <w:right w:w="0" w:type="dxa"/>
        </w:tblCellMar>
      </w:tblPr>
      <w:tblGrid>
        <w:gridCol w:w="23"/>
        <w:gridCol w:w="290"/>
        <w:gridCol w:w="272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(d)</w:t>
            </w:r>
          </w:p>
        </w:tc>
        <w:tc>
          <w:tcPr>
            <w:tcW w:w="27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2"/>
                <w:u w:val="single"/>
              </w:rPr>
              <w:t>Repayment of Participations</w:t>
            </w:r>
            <w:r>
              <w:rPr>
                <w:rFonts w:ascii="Times New Roman;Times;serif" w:hAnsi="Times New Roman;Times;serif"/>
                <w:sz w:val="22"/>
              </w:rPr>
              <w: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 xml:space="preserve">At any time after any L/C Issuer has made a payment under any Letter of Credit and has received from any Lender such Lender’s L/C Advance in respect of such payment in accordance with </w:t>
      </w:r>
      <w:r>
        <w:rPr>
          <w:rFonts w:ascii="Times New Roman;Times;serif" w:hAnsi="Times New Roman;Times;serif"/>
          <w:sz w:val="22"/>
          <w:u w:val="single"/>
        </w:rPr>
        <w:t>Section 2.03(c)</w:t>
      </w:r>
      <w:r>
        <w:rPr>
          <w:rFonts w:ascii="Times New Roman;Times;serif" w:hAnsi="Times New Roman;Times;serif"/>
          <w:sz w:val="22"/>
        </w:rPr>
        <w:t>, if the Administrative Agent receives for the account of such L/C Issuer any payment in respect of the related Unreimbursed Amount or interest thereon (whether directly from the Company or otherwise, including proceeds of Cash Collateral applied thereto by the Administrative Agent), the Administrative Agent will promptly distribute to such Lender its Applicable Percentage thereof (appropriately adjusted, in the case of interest payments, to reflect the period of time during which such Lender’s L/C Advance was outstanding) in Dollars and in the same funds as those received by the Administrative Agent.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 xml:space="preserve">If any payment received by the Administrative Agent for the account of such L/C Issuer pursuant to </w:t>
      </w:r>
      <w:r>
        <w:rPr>
          <w:rFonts w:ascii="Times New Roman;Times;serif" w:hAnsi="Times New Roman;Times;serif"/>
          <w:sz w:val="22"/>
          <w:u w:val="single"/>
        </w:rPr>
        <w:t>Section 2.03(c)(i)</w:t>
      </w:r>
      <w:r>
        <w:rPr>
          <w:rFonts w:ascii="Times New Roman;Times;serif" w:hAnsi="Times New Roman;Times;serif"/>
          <w:sz w:val="20"/>
        </w:rPr>
        <w:t xml:space="preserve"> </w:t>
      </w:r>
      <w:r>
        <w:rPr>
          <w:rFonts w:ascii="Times New Roman;Times;serif" w:hAnsi="Times New Roman;Times;serif"/>
          <w:sz w:val="22"/>
        </w:rPr>
        <w:t xml:space="preserve">is required to be returned under any of the circumstances described in </w:t>
      </w:r>
      <w:r>
        <w:rPr>
          <w:rFonts w:ascii="Times New Roman;Times;serif" w:hAnsi="Times New Roman;Times;serif"/>
          <w:sz w:val="22"/>
          <w:u w:val="single"/>
        </w:rPr>
        <w:t>Section 10.05</w:t>
      </w:r>
      <w:r>
        <w:rPr>
          <w:rFonts w:ascii="Times New Roman;Times;serif" w:hAnsi="Times New Roman;Times;serif"/>
          <w:sz w:val="20"/>
        </w:rPr>
        <w:t xml:space="preserve"> </w:t>
      </w:r>
      <w:r>
        <w:rPr>
          <w:rFonts w:ascii="Times New Roman;Times;serif" w:hAnsi="Times New Roman;Times;serif"/>
          <w:sz w:val="22"/>
        </w:rPr>
        <w:t xml:space="preserve">(including pursuant to any settlement entered into by such L/C Issuer in its discretion), each Lender shall pay to the Administrative Agent for the account of such L/C Issuer its Applicable Percentage thereof on demand of the Administrative Agent,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interest thereon from the date of such demand to the date such amount is returned by such Lender, at a rate per annum equal to the applicable Overnight Rate from time to time in effect. The obligations of the Lenders under this clause shall survive the payment in full of the Obligations and the termination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u w:val="single"/>
        </w:rPr>
        <w:t>Obligations Absolute</w:t>
      </w:r>
      <w:r>
        <w:rPr>
          <w:rFonts w:ascii="Times New Roman;Times;serif" w:hAnsi="Times New Roman;Times;serif"/>
          <w:sz w:val="22"/>
        </w:rPr>
        <w:t>. The obligation of the applicable Borrower to reimburse the applicable L/C Issuer for each drawing under each Letter of Credit and to repay the L/C Borrowing shall be absolute, unconditional and irrevocable, and shall be paid strictly in accordance with the terms of this Agreement under all circumstances, including the following: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any lack of validity or enforceability of such Letter of Credit, this Agreement, or any other Loan Document;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the existence of any claim, counterclaim, setoff, defense or other right that the Company or any Subsidiary may have at any time against any beneficiary or any transferee of such Letter of Credit (or any Person for whom any such beneficiary or any such transferee may be acting), such L/C Issuer or any other Person, whether in connection with this Agreement, the transactions contemplated hereby or by such Letter of Credit or any agreement or instrument relating thereto, or any unrelated transaction;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any draft, demand, certificate or other document presented under such Letter of Credit proving to be forged, fraudulent, invalid or insufficient in any respect or any statement</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sz w:val="22"/>
        </w:rPr>
        <w:t>therein being untrue or inaccurate in any respect; or any loss or delay in the transmission or otherwise of any document required in order to make a drawing under such Letter of Credit;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waiver by such L/C Issuer of any requirement that exists for such L/C Issuer’s protection and not the protection of any Borrower or any waiver by such L/C Issuer which does not in fact materially prejudice the Company;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w:t>
      </w:r>
      <w:r>
        <w:rPr>
          <w:rFonts w:ascii="Times New Roman;Times;serif" w:hAnsi="Times New Roman;Times;serif"/>
          <w:sz w:val="22"/>
        </w:rPr>
        <w:t>any payment by such L/C Issuer under such Letter of Credit against presentation of a draft or certificate that does not strictly comply with the terms of such Letter of Credit;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w:t>
      </w:r>
      <w:r>
        <w:rPr>
          <w:rFonts w:ascii="Times New Roman;Times;serif" w:hAnsi="Times New Roman;Times;serif"/>
          <w:sz w:val="22"/>
        </w:rPr>
        <w:t>any payment made by such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w:t>
      </w:r>
      <w:r>
        <w:rPr>
          <w:rFonts w:ascii="Times New Roman;Times;serif" w:hAnsi="Times New Roman;Times;serif"/>
          <w:sz w:val="22"/>
        </w:rPr>
        <w:t>any other circumstance or happening whatsoever, whether or not similar to any of the foregoing, including any other circumstance that might otherwise constitute a defense available to, or a discharge of, the Company or any Subsidiary.</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The applicable Borrower shall promptly examine a copy of each Letter of Credit and each amendment thereto that is delivered to it and, in the event of any claim of noncompliance with the applicable Borrower’s instructions or other irregularity, such applicable Borrower will promptly notify such L/C Issuer.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u w:val="single"/>
        </w:rPr>
        <w:t>Role of L/C Issuer</w:t>
      </w:r>
      <w:r>
        <w:rPr>
          <w:rFonts w:ascii="Times New Roman;Times;serif" w:hAnsi="Times New Roman;Times;serif"/>
          <w:sz w:val="22"/>
        </w:rPr>
        <w:t xml:space="preserve">. Each Lender and the applicable Borrower agree that, in paying any drawing under a Letter of Credit, no L/C Issuer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Neither any L/C Issuer, the Administrative Agent, any of their respective Related Parties nor any correspondent, participant or assignee of such L/C Issuer shall be liable to any Lender for (i) any action taken or omitted in connection herewith at the request or with the approval of the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applicable Borrower hereby assumes all risks of the acts or omissions of any beneficiary or transferee with respect to its use of any Letter of Credit;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this assumption is not intended to, and shall not, preclude the Company or the applicable Borrower’s pursuing such rights and remedies as it may have against the beneficiary or transferee at law or under any other agreement. Neither any L/C Issuer, the Administrative Agent, any of their respective Related Parties nor any correspondent, participant or assignee of any L/C Issuer shall be liable or responsible for any of the matters described in </w:t>
      </w:r>
      <w:r>
        <w:rPr>
          <w:rFonts w:ascii="Times New Roman;Times;serif" w:hAnsi="Times New Roman;Times;serif"/>
          <w:sz w:val="22"/>
          <w:u w:val="single"/>
        </w:rPr>
        <w:t>clauses (i)</w:t>
      </w:r>
      <w:r>
        <w:rPr>
          <w:rFonts w:ascii="Times New Roman;Times;serif" w:hAnsi="Times New Roman;Times;serif"/>
          <w:sz w:val="20"/>
        </w:rPr>
        <w:t xml:space="preserve"> </w:t>
      </w:r>
      <w:r>
        <w:rPr>
          <w:rFonts w:ascii="Times New Roman;Times;serif" w:hAnsi="Times New Roman;Times;serif"/>
          <w:sz w:val="22"/>
        </w:rPr>
        <w:t xml:space="preserve">through </w:t>
      </w:r>
      <w:r>
        <w:rPr>
          <w:rFonts w:ascii="Times New Roman;Times;serif" w:hAnsi="Times New Roman;Times;serif"/>
          <w:sz w:val="22"/>
          <w:u w:val="single"/>
        </w:rPr>
        <w:t>(vii)</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sz w:val="22"/>
          <w:u w:val="single"/>
        </w:rPr>
        <w:t>Section 2.03(e)</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anything in such clauses to the contrary notwithstanding, the applicable Borrower may have a claim against such L/C Issuer, and such L/C Issuer may be liable to the applicable Borrower, to the extent, but only to the extent, of any direct, as opposed to consequential or exemplary, damages suffered by the applicable Borrower which the applicable Borrower proves were caused by such L/C Issuer’s willful misconduct or gross negligence or such L/C Issuer’s willful failure to pay under any Letter of Credit issued by it after the presentation to it by the beneficiary of a sight draft and certificate(s) strictly complying with the terms and conditions of such Letter of Credit. In furtherance and not in limitation of the foregoing, such L/C Issuer may accept documents that appear on their face to be in order, without responsibility for further investigation, regardless of any notice or information to the contrary, and such L/C Issuer shall not be responsible for</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the validity or sufficiency of any instrument transferring or assigning or purporting to transfer or assign a Letter of Credit or the rights or benefits thereunder or proceeds thereof, in whole or in part, which may prove to be invalid or ineffective for any reason. Such L/C Issuer may send a Letter of Credit or conduct any communication to or from the beneficiary via the Society for Worldwide Interbank Financial Telecommunication (“</w:t>
      </w:r>
      <w:r>
        <w:rPr>
          <w:rFonts w:ascii="Times New Roman;Times;serif" w:hAnsi="Times New Roman;Times;serif"/>
          <w:sz w:val="22"/>
          <w:u w:val="single"/>
        </w:rPr>
        <w:t>SWIFT</w:t>
      </w:r>
      <w:r>
        <w:rPr>
          <w:rFonts w:ascii="Times New Roman;Times;serif" w:hAnsi="Times New Roman;Times;serif"/>
          <w:sz w:val="20"/>
        </w:rPr>
        <w:t>”</w:t>
      </w:r>
      <w:r>
        <w:rPr>
          <w:rFonts w:ascii="Times New Roman;Times;serif" w:hAnsi="Times New Roman;Times;serif"/>
          <w:sz w:val="22"/>
        </w:rPr>
        <w:t>) message or overnight courier, or any other commercially reasonable means of communicating with a beneficiary.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u w:val="single"/>
        </w:rPr>
        <w:t>Applicability of ISP and UCP; Limitation of Liability</w:t>
      </w:r>
      <w:r>
        <w:rPr>
          <w:rFonts w:ascii="Times New Roman;Times;serif" w:hAnsi="Times New Roman;Times;serif"/>
          <w:sz w:val="22"/>
        </w:rPr>
        <w:t>.Unless otherwise expressly agreed by the applicable L/C Issuer and the Company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no L/C Issuer shall be responsible to any Borrower for, and no L/C Issuer’s rights and remedies against any Borrower shall be impaired by, any action or inaction of such L/C Issuer required or permitted under any law, order, or practice that is required or permitted to be applied to any Letter of Credit or this Agreement, including the Law or any order of a jurisdiction where such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(h)</w:t>
      </w:r>
      <w:r>
        <w:rPr>
          <w:rFonts w:ascii="Times New Roman;Times;serif" w:hAnsi="Times New Roman;Times;serif"/>
          <w:sz w:val="22"/>
          <w:u w:val="single"/>
        </w:rPr>
        <w:t>Letter of Credit Fees</w:t>
      </w:r>
      <w:r>
        <w:rPr>
          <w:rFonts w:ascii="Times New Roman;Times;serif" w:hAnsi="Times New Roman;Times;serif"/>
          <w:sz w:val="22"/>
        </w:rPr>
        <w:t xml:space="preserve">. The respective Borrower shall pay to the Administrative Agent for the account of each Lender in accordance, subject to adjustment as provided in </w:t>
      </w:r>
      <w:r>
        <w:rPr>
          <w:rFonts w:ascii="Times New Roman;Times;serif" w:hAnsi="Times New Roman;Times;serif"/>
          <w:sz w:val="22"/>
          <w:u w:val="single"/>
        </w:rPr>
        <w:t>Section 2.17</w:t>
      </w:r>
      <w:r>
        <w:rPr>
          <w:rFonts w:ascii="Times New Roman;Times;serif" w:hAnsi="Times New Roman;Times;serif"/>
          <w:sz w:val="22"/>
        </w:rPr>
        <w:t>, with its Applicable Percentage, a Letter of Credit fee (the “</w:t>
      </w:r>
      <w:r>
        <w:rPr>
          <w:rFonts w:ascii="Times New Roman;Times;serif" w:hAnsi="Times New Roman;Times;serif"/>
          <w:sz w:val="22"/>
          <w:u w:val="single"/>
        </w:rPr>
        <w:t>Letter of Credit Fee</w:t>
      </w:r>
      <w:r>
        <w:rPr>
          <w:rFonts w:ascii="Times New Roman;Times;serif" w:hAnsi="Times New Roman;Times;serif"/>
          <w:sz w:val="20"/>
        </w:rPr>
        <w:t>”</w:t>
      </w:r>
      <w:r>
        <w:rPr>
          <w:rFonts w:ascii="Times New Roman;Times;serif" w:hAnsi="Times New Roman;Times;serif"/>
          <w:sz w:val="22"/>
        </w:rPr>
        <w:t xml:space="preserve">) for each Letter of Credit equal to the Applicable Rate </w:t>
      </w:r>
      <w:r>
        <w:rPr>
          <w:rFonts w:ascii="Times New Roman;Times;serif" w:hAnsi="Times New Roman;Times;serif"/>
          <w:sz w:val="22"/>
          <w:u w:val="single"/>
        </w:rPr>
        <w:t>times</w:t>
      </w:r>
      <w:r>
        <w:rPr>
          <w:rFonts w:ascii="Times New Roman;Times;serif" w:hAnsi="Times New Roman;Times;serif"/>
          <w:sz w:val="20"/>
        </w:rPr>
        <w:t xml:space="preserve"> </w:t>
      </w:r>
      <w:r>
        <w:rPr>
          <w:rFonts w:ascii="Times New Roman;Times;serif" w:hAnsi="Times New Roman;Times;serif"/>
          <w:sz w:val="22"/>
        </w:rPr>
        <w:t xml:space="preserve">the actual daily maximum amount available to be drawn under such Letter of Credit (whether or not such maximum amount is then in effect under such Letter of Credit); </w:t>
      </w:r>
      <w:r>
        <w:rPr>
          <w:rFonts w:ascii="Times New Roman;Times;serif" w:hAnsi="Times New Roman;Times;serif"/>
          <w:sz w:val="22"/>
          <w:u w:val="single"/>
        </w:rPr>
        <w:t>provided</w:t>
      </w:r>
      <w:r>
        <w:rPr>
          <w:rFonts w:ascii="Times New Roman;Times;serif" w:hAnsi="Times New Roman;Times;serif"/>
          <w:sz w:val="22"/>
        </w:rPr>
        <w:t xml:space="preserve">, however, any Letter of Credit Fees otherwise payable for the account of a Defaulting Lender with respect to any Letter of Credit as to which such Defaulting Lender has not provided Cash Collateral satisfactory to the applicable L/C Issuer pursuant to this </w:t>
      </w:r>
      <w:r>
        <w:rPr>
          <w:rFonts w:ascii="Times New Roman;Times;serif" w:hAnsi="Times New Roman;Times;serif"/>
          <w:sz w:val="22"/>
          <w:u w:val="single"/>
        </w:rPr>
        <w:t>Section 2.03</w:t>
      </w:r>
      <w:r>
        <w:rPr>
          <w:rFonts w:ascii="Times New Roman;Times;serif" w:hAnsi="Times New Roman;Times;serif"/>
          <w:sz w:val="20"/>
        </w:rPr>
        <w:t xml:space="preserve"> </w:t>
      </w:r>
      <w:r>
        <w:rPr>
          <w:rFonts w:ascii="Times New Roman;Times;serif" w:hAnsi="Times New Roman;Times;serif"/>
          <w:sz w:val="22"/>
        </w:rPr>
        <w:t xml:space="preserve">shall be payable, to the maximum extent permitted by applicable Law, to the other Lenders in accordance with the upward adjustments in their respective Applicable Percentages allocable to such Letter of Credit pursuant to </w:t>
      </w:r>
      <w:r>
        <w:rPr>
          <w:rFonts w:ascii="Times New Roman;Times;serif" w:hAnsi="Times New Roman;Times;serif"/>
          <w:sz w:val="22"/>
          <w:u w:val="single"/>
        </w:rPr>
        <w:t>Section 2.17(a)(iv)</w:t>
      </w:r>
      <w:r>
        <w:rPr>
          <w:rFonts w:ascii="Times New Roman;Times;serif" w:hAnsi="Times New Roman;Times;serif"/>
          <w:sz w:val="22"/>
        </w:rPr>
        <w:t xml:space="preserve">, with the balance of such fee, if any, payable to such L/C Issuer for its own account. For purposes of computing the daily amount available to be drawn under any Letter of Credit, the amount of such Letter of Credit shall be determined in accordance with </w:t>
      </w:r>
      <w:r>
        <w:rPr>
          <w:rFonts w:ascii="Times New Roman;Times;serif" w:hAnsi="Times New Roman;Times;serif"/>
          <w:sz w:val="22"/>
          <w:u w:val="single"/>
        </w:rPr>
        <w:t>Section 1.08</w:t>
      </w:r>
      <w:r>
        <w:rPr>
          <w:rFonts w:ascii="Times New Roman;Times;serif" w:hAnsi="Times New Roman;Times;serif"/>
          <w:sz w:val="22"/>
        </w:rPr>
        <w:t>. Letter of Credit Fees shall be (i) computed on a quarterly basis in arrears and (ii) due and payable on the first Business Day after the end of each March, June, September and December, commencing with the first such date to occur after the issuance of such Letter of Credit, on the Letter of Credit Expiration Date and thereafter on demand. If there is any change in the Applicable Rate during any quarter, the daily maximum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all Letter of Credit Fees shall accrue at the Default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u w:val="single"/>
        </w:rPr>
        <w:t>Fronting Fee and Documentary and Processing Charges Payable to L/C Issuer</w:t>
      </w:r>
      <w:r>
        <w:rPr>
          <w:rFonts w:ascii="Times New Roman;Times;serif" w:hAnsi="Times New Roman;Times;serif"/>
          <w:sz w:val="22"/>
        </w:rPr>
        <w:t>. The Company shall pay directly to each L/C Issuer, for its own account a fronting fee (i) with respect to each commercial Letter of Credit issued by any applicable Borrower, a rate specified in the Fee Letter (Joint), and payable upon the issuance thereof, (ii) with respect to any amendment of a commercial Letter of Credit increasing the amount of such Letter of Credit, at a rate separately agreed between the Company and such L/C Issuer, payable upon the effectiveness of such amendment, and (iii) with respect to each standby Letter of Credit at the rate per annum specified in the Fee Letter (Joint), computed on the actual daily maximum amount available to be drawn under such Letter of Credit (whether or not such maximum</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amount is then in effect under such Letter of Credit) and on a quarterly basis in arrears. Each such fronting fee payable to the applicable L/C Issuer shall be due and payable on the first Business Day after the end of each March, June, September and December, commencing with the first such date to occur after the issuance of such Letter of Credit, on the Letter of Credit Expiration Date and thereafter on demand. For purposes of computing the daily amount available to be drawn under any Letter of Credit, the amount of such Letter of Credit shall be determined in accordance with </w:t>
      </w:r>
      <w:r>
        <w:rPr>
          <w:rFonts w:ascii="Times New Roman;Times;serif" w:hAnsi="Times New Roman;Times;serif"/>
          <w:sz w:val="22"/>
          <w:u w:val="single"/>
        </w:rPr>
        <w:t>Section 1.08</w:t>
      </w:r>
      <w:r>
        <w:rPr>
          <w:rFonts w:ascii="Times New Roman;Times;serif" w:hAnsi="Times New Roman;Times;serif"/>
          <w:sz w:val="22"/>
        </w:rPr>
        <w:t>. In addition, the Company shall pay directly to each L/C Issuer for its own account the customary issuance, presentation, amendment and other processing fees, and other standard costs and charges, of such L/C Issuer relating to letters of credit as from time to time in effect. Such customary fees and standard costs and charges are due and payable on demand and are nonrefundable.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(j)</w:t>
      </w:r>
      <w:r>
        <w:rPr>
          <w:rFonts w:ascii="Times New Roman;Times;serif" w:hAnsi="Times New Roman;Times;serif"/>
          <w:sz w:val="22"/>
          <w:u w:val="single"/>
        </w:rPr>
        <w:t>Conflict with Issuer Documents</w:t>
      </w:r>
      <w:r>
        <w:rPr>
          <w:rFonts w:ascii="Times New Roman;Times;serif" w:hAnsi="Times New Roman;Times;serif"/>
          <w:sz w:val="22"/>
        </w:rPr>
        <w:t>. In the event of any conflict between the terms hereof and the terms of any Issuer Document, the terms hereof shall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(k)</w:t>
      </w:r>
      <w:r>
        <w:rPr>
          <w:rFonts w:ascii="Times New Roman;Times;serif" w:hAnsi="Times New Roman;Times;serif"/>
          <w:sz w:val="22"/>
          <w:u w:val="single"/>
        </w:rPr>
        <w:t>Letters of Credit Issued for Designated Borrowers</w:t>
      </w:r>
      <w:r>
        <w:rPr>
          <w:rFonts w:ascii="Times New Roman;Times;serif" w:hAnsi="Times New Roman;Times;serif"/>
          <w:sz w:val="22"/>
        </w:rPr>
        <w:t>. Notwithstanding that a Letter of Credit issued or outstanding hereunder is in support of any obligations of, or is for the account of, a Designated Borrower, each of the Company and such Designated Borrower, jointly and severally, shall be obligated to reimburse each L/C Issuer hereunder for any and all drawings under such Letter of Credit. The Company hereby acknowledges that the issuance of Letters of Credit for the account of Designated Borrowers inures to the benefit of the Company, and that the Company’s business derives substantial benefits from the businesses of such Designated Borrowers.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(l)</w:t>
      </w:r>
      <w:r>
        <w:rPr>
          <w:rFonts w:ascii="Times New Roman;Times;serif" w:hAnsi="Times New Roman;Times;serif"/>
          <w:sz w:val="22"/>
          <w:u w:val="single"/>
        </w:rPr>
        <w:t>Letters of Credit Reports</w:t>
      </w:r>
      <w:r>
        <w:rPr>
          <w:rFonts w:ascii="Times New Roman;Times;serif" w:hAnsi="Times New Roman;Times;serif"/>
          <w:sz w:val="22"/>
        </w:rPr>
        <w:t xml:space="preserve">. At any time that any Lender other than the Person serving as the Administrative Agent is an L/C Issuer, then (i) on the last Business Day of each calendar month or within five Business Days thereof, (ii) on each date that a Letter of Credit is amended, terminated or otherwise expires, (iii) on each date that an L/C Credit Extension occurs with respect to any Letter of Credit, and (iv) upon the request of the Administrative Agent, each L/C Issuer (or, in the case of </w:t>
      </w:r>
      <w:r>
        <w:rPr>
          <w:rFonts w:ascii="Times New Roman;Times;serif" w:hAnsi="Times New Roman;Times;serif"/>
          <w:sz w:val="22"/>
          <w:u w:val="single"/>
        </w:rPr>
        <w:t>clause (ii)</w:t>
      </w:r>
      <w:r>
        <w:rPr>
          <w:rFonts w:ascii="Times New Roman;Times;serif" w:hAnsi="Times New Roman;Times;serif"/>
          <w:sz w:val="22"/>
        </w:rPr>
        <w:t xml:space="preserve">, </w:t>
      </w:r>
      <w:r>
        <w:rPr>
          <w:rFonts w:ascii="Times New Roman;Times;serif" w:hAnsi="Times New Roman;Times;serif"/>
          <w:sz w:val="22"/>
          <w:u w:val="single"/>
        </w:rPr>
        <w:t>(iii)</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(iv)</w:t>
      </w:r>
      <w:r>
        <w:rPr>
          <w:rFonts w:ascii="Times New Roman;Times;serif" w:hAnsi="Times New Roman;Times;serif"/>
          <w:sz w:val="22"/>
        </w:rPr>
        <w:t xml:space="preserve">, the applicable L/C Issuer) shall deliver to the Administrative Agent a Letter of Credit Report setting forth in form and detail reasonably satisfactory to the Administrative Agent information (including, without limitation, any reimbursement, Cash Collateral, or termination in respect of Letters of Credit issued by such L/C Issuer) with respect to each Letter of Credit issued by such L/C Issuer that is outstanding hereunder. No failure on the part of any L/C Issuer to provide such information pursuant to this </w:t>
      </w:r>
      <w:r>
        <w:rPr>
          <w:rFonts w:ascii="Times New Roman;Times;serif" w:hAnsi="Times New Roman;Times;serif"/>
          <w:sz w:val="22"/>
          <w:u w:val="single"/>
        </w:rPr>
        <w:t>Section 2.03(l)</w:t>
      </w:r>
      <w:r>
        <w:rPr>
          <w:rFonts w:ascii="Times New Roman;Times;serif" w:hAnsi="Times New Roman;Times;serif"/>
          <w:sz w:val="20"/>
        </w:rPr>
        <w:t xml:space="preserve"> </w:t>
      </w:r>
      <w:r>
        <w:rPr>
          <w:rFonts w:ascii="Times New Roman;Times;serif" w:hAnsi="Times New Roman;Times;serif"/>
          <w:sz w:val="22"/>
        </w:rPr>
        <w:t xml:space="preserve">shall limit the obligation of the Borrowers or any applicable Lender hereunder with respect to its reimbursement and participation obligations, respectively, pursuant to this </w:t>
      </w:r>
      <w:r>
        <w:rPr>
          <w:rFonts w:ascii="Times New Roman;Times;serif" w:hAnsi="Times New Roman;Times;serif"/>
          <w:sz w:val="22"/>
          <w:u w:val="single"/>
        </w:rPr>
        <w:t>Section 2.03</w:t>
      </w:r>
      <w:r>
        <w:rPr>
          <w:rFonts w:ascii="Times New Roman;Times;serif" w:hAnsi="Times New Roman;Times;serif"/>
          <w:sz w:val="22"/>
        </w:rPr>
        <w:t>.</w:t>
      </w:r>
    </w:p>
    <w:tbl>
      <w:tblPr>
        <w:tblW w:w="2283" w:type="dxa"/>
        <w:jc w:val="left"/>
        <w:tblInd w:w="0" w:type="dxa"/>
        <w:tblLayout w:type="fixed"/>
        <w:tblCellMar>
          <w:top w:w="0" w:type="dxa"/>
          <w:left w:w="0" w:type="dxa"/>
          <w:bottom w:w="0" w:type="dxa"/>
          <w:right w:w="0" w:type="dxa"/>
        </w:tblCellMar>
      </w:tblPr>
      <w:tblGrid>
        <w:gridCol w:w="23"/>
        <w:gridCol w:w="440"/>
        <w:gridCol w:w="182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40"/>
              <w:jc w:val="left"/>
              <w:rPr>
                <w:rFonts w:ascii="Times New Roman;Times;serif" w:hAnsi="Times New Roman;Times;serif"/>
                <w:b/>
                <w:sz w:val="22"/>
              </w:rPr>
            </w:pPr>
            <w:r>
              <w:rPr>
                <w:rFonts w:ascii="Times New Roman;Times;serif" w:hAnsi="Times New Roman;Times;serif"/>
                <w:b/>
                <w:sz w:val="22"/>
              </w:rPr>
              <w:t>2.04</w:t>
            </w:r>
          </w:p>
        </w:tc>
        <w:tc>
          <w:tcPr>
            <w:tcW w:w="18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2"/>
              </w:rPr>
              <w:t>Swing Line Loans</w:t>
            </w:r>
            <w:r>
              <w:rPr>
                <w:rFonts w:ascii="Times New Roman;Times;serif" w:hAnsi="Times New Roman;Times;serif"/>
                <w:sz w:val="22"/>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The Swing Line</w:t>
      </w:r>
      <w:r>
        <w:rPr>
          <w:rFonts w:ascii="Times New Roman;Times;serif" w:hAnsi="Times New Roman;Times;serif"/>
          <w:sz w:val="22"/>
        </w:rPr>
        <w:t xml:space="preserve">. Subject to the terms and conditions set forth herein, the Swing Line Lender agrees, in reliance upon the agreements of the other Lenders set forth in this </w:t>
      </w:r>
      <w:r>
        <w:rPr>
          <w:rFonts w:ascii="Times New Roman;Times;serif" w:hAnsi="Times New Roman;Times;serif"/>
          <w:sz w:val="22"/>
          <w:u w:val="single"/>
        </w:rPr>
        <w:t>Section 2.04</w:t>
      </w:r>
      <w:r>
        <w:rPr>
          <w:rFonts w:ascii="Times New Roman;Times;serif" w:hAnsi="Times New Roman;Times;serif"/>
          <w:sz w:val="22"/>
        </w:rPr>
        <w:t>, to make loans (each such loan, a “</w:t>
      </w:r>
      <w:r>
        <w:rPr>
          <w:rFonts w:ascii="Times New Roman;Times;serif" w:hAnsi="Times New Roman;Times;serif"/>
          <w:sz w:val="22"/>
          <w:u w:val="single"/>
        </w:rPr>
        <w:t>Swing Line Loan</w:t>
      </w:r>
      <w:r>
        <w:rPr>
          <w:rFonts w:ascii="Times New Roman;Times;serif" w:hAnsi="Times New Roman;Times;serif"/>
          <w:sz w:val="20"/>
        </w:rPr>
        <w:t>”</w:t>
      </w:r>
      <w:r>
        <w:rPr>
          <w:rFonts w:ascii="Times New Roman;Times;serif" w:hAnsi="Times New Roman;Times;serif"/>
          <w:sz w:val="22"/>
        </w:rPr>
        <w:t>) (1) in the case of Swing Line Loans denominated in Dollars, to the Company, in an aggregate principal amount not to exceed the Swing Line Dollar Sublimit, and (2) in the case of Euro Swing Line Loans, to the Company and/or Avnet Europe, in an aggregate principal amount not to exceed the Swing Line Euro Sublimit (each such loan, a “</w:t>
      </w:r>
      <w:r>
        <w:rPr>
          <w:rFonts w:ascii="Times New Roman;Times;serif" w:hAnsi="Times New Roman;Times;serif"/>
          <w:sz w:val="22"/>
          <w:u w:val="single"/>
        </w:rPr>
        <w:t>Swing Line Loan</w:t>
      </w:r>
      <w:r>
        <w:rPr>
          <w:rFonts w:ascii="Times New Roman;Times;serif" w:hAnsi="Times New Roman;Times;serif"/>
          <w:sz w:val="20"/>
        </w:rPr>
        <w:t>”</w:t>
      </w:r>
      <w:r>
        <w:rPr>
          <w:rFonts w:ascii="Times New Roman;Times;serif" w:hAnsi="Times New Roman;Times;serif"/>
          <w:sz w:val="22"/>
        </w:rPr>
        <w:t xml:space="preserve">), in each case from time to time on any Business Day during the Availability Period;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(i) the obligation of the Swing Line Lender to make any Swing Line Loan shall be at its sole discretion if, after giving effect to such Swing Line Loan, the Outstanding Amount of all Swing Line Loans, when aggregated with the Applicable Percentage of the Outstanding Amount of Committed Loans and L/C Obligations of the Lender acting as Swing Line Lender, would exceed the amount of such Lender’s Commitment, (ii) after giving effect to any Swing Line Loan, (x) the Total Outstandings shall not exceed the Aggregate Commitments and (y) the aggregate Outstanding Amount of the Committed Loans of any Lender,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such Lender’s Applicable Percentage of the Outstanding Amount of all L/C Obligations,</w:t>
      </w:r>
    </w:p>
    <w:p>
      <w:pPr>
        <w:pStyle w:val="TextBody"/>
        <w:bidi w:val="0"/>
        <w:spacing w:before="0" w:after="240"/>
        <w:ind w:left="0" w:right="0" w:hanging="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such Lender’s Applicable Percentage of the Outstanding Amount of all Swing Line Loans shall not exceed such Lender’s Commitment, and (iii) the Swing Line Lender shall not be under any obligation to make any such Swing Line Loan if any Lender is at such time a Defaulting Lender, unless the Swing Line Lender has entered into arrangements, including the delivery of Cash Collateral, satisfactory to the Swing Line Lender (in its sole discretion) with the applicable Borrower or such Defaulting Lender to eliminate such Swing Line Lender’s actual or potential Fronting Exposure (after giving effect to </w:t>
      </w:r>
      <w:r>
        <w:rPr>
          <w:rFonts w:ascii="Times New Roman;Times;serif" w:hAnsi="Times New Roman;Times;serif"/>
          <w:sz w:val="22"/>
          <w:u w:val="single"/>
        </w:rPr>
        <w:t>Section 2.17(a)(iv)</w:t>
      </w:r>
      <w:r>
        <w:rPr>
          <w:rFonts w:ascii="Times New Roman;Times;serif" w:hAnsi="Times New Roman;Times;serif"/>
          <w:sz w:val="22"/>
        </w:rPr>
        <w:t xml:space="preserve">) with respect to the Defaulting Lender arising from either the Swing Line Loan then proposed to be made or that Swing Line Loan and all other Swing Line Loans then outstanding as to which the Swing Line Lender has actual or potential Fronting Exposure, as it may elect in its sole discretion, and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xml:space="preserve">, that the applicable Borrower shall not use the proceeds of any Swing Line Loan to refinance any outstanding Swing Line Loan. Within the foregoing limits, and subject to the other terms and conditions hereof, the applicable Borrower may borrow under this </w:t>
      </w:r>
      <w:r>
        <w:rPr>
          <w:rFonts w:ascii="Times New Roman;Times;serif" w:hAnsi="Times New Roman;Times;serif"/>
          <w:sz w:val="22"/>
          <w:u w:val="single"/>
        </w:rPr>
        <w:t>Section 2.04</w:t>
      </w:r>
      <w:r>
        <w:rPr>
          <w:rFonts w:ascii="Times New Roman;Times;serif" w:hAnsi="Times New Roman;Times;serif"/>
          <w:sz w:val="22"/>
        </w:rPr>
        <w:t xml:space="preserve">, prepay under </w:t>
      </w:r>
      <w:r>
        <w:rPr>
          <w:rFonts w:ascii="Times New Roman;Times;serif" w:hAnsi="Times New Roman;Times;serif"/>
          <w:sz w:val="22"/>
          <w:u w:val="single"/>
        </w:rPr>
        <w:t>Section 2.05</w:t>
      </w:r>
      <w:r>
        <w:rPr>
          <w:rFonts w:ascii="Times New Roman;Times;serif" w:hAnsi="Times New Roman;Times;serif"/>
          <w:sz w:val="22"/>
        </w:rPr>
        <w:t xml:space="preserve">, and reborrow under this </w:t>
      </w:r>
      <w:r>
        <w:rPr>
          <w:rFonts w:ascii="Times New Roman;Times;serif" w:hAnsi="Times New Roman;Times;serif"/>
          <w:sz w:val="22"/>
          <w:u w:val="single"/>
        </w:rPr>
        <w:t>Section 2.04</w:t>
      </w:r>
      <w:r>
        <w:rPr>
          <w:rFonts w:ascii="Times New Roman;Times;serif" w:hAnsi="Times New Roman;Times;serif"/>
          <w:sz w:val="22"/>
        </w:rPr>
        <w:t xml:space="preserve">. Each Swing Line Loan denominated in (i) Dollars shall be a Base Rate Loan and (ii) Euros shall be a Euro Swing Line Loan. Immediately upon the making of a Swing Line Loan, each Lender shall be deemed to, and hereby irrevocably and unconditionally agrees to, purchase from the Swing Line Lender a risk participation in such Swing Line Loan in an amount equal to the product of such Lender’s Applicable Percentage </w:t>
      </w:r>
      <w:r>
        <w:rPr>
          <w:rFonts w:ascii="Times New Roman;Times;serif" w:hAnsi="Times New Roman;Times;serif"/>
          <w:sz w:val="22"/>
          <w:u w:val="single"/>
        </w:rPr>
        <w:t>times</w:t>
      </w:r>
      <w:r>
        <w:rPr>
          <w:rFonts w:ascii="Times New Roman;Times;serif" w:hAnsi="Times New Roman;Times;serif"/>
          <w:sz w:val="20"/>
        </w:rPr>
        <w:t xml:space="preserve"> </w:t>
      </w:r>
      <w:r>
        <w:rPr>
          <w:rFonts w:ascii="Times New Roman;Times;serif" w:hAnsi="Times New Roman;Times;serif"/>
          <w:sz w:val="22"/>
        </w:rPr>
        <w:t>the amount of such Swing Line 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Borrowing Procedures</w:t>
      </w:r>
      <w:r>
        <w:rPr>
          <w:rFonts w:ascii="Times New Roman;Times;serif" w:hAnsi="Times New Roman;Times;serif"/>
          <w:sz w:val="22"/>
        </w:rPr>
        <w:t xml:space="preserve">. Each Swing Line Borrowing shall be made upon the applicable Borrower’s irrevocable notice to the Swing Line Lender and the Administrative Agent, which may be given by telephone. Each such notice must be received by the Swing Line Lender and the Administrative Agent not later than 11:00 a.m. Pacific time (in the case of Dollar-denominated Swing Line Loans) or 9:00 a.m. London time (in the case of Euro Swing Line Loans) on the requested borrowing date, and shall specify (i) the amount to be borrowed, which shall be a minimum of $1,000,000 for Swing Line Loans denominated in Dollars and the Euro Equivalent of $1,000,000 for Euro Swing Line Loans, and (ii) the requested borrowing date, which shall be a Business Day. Each such telephonic notice must be confirmed promptly by delivery to the Swing Line Lender and the Administrative Agent of a written Swing Line Loan Notice. Promptly after receipt by the Swing Line Lender of any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12:00 p.m. Pacific time (in the case of Dollar-denominated Swing Line Loans) or 10:00 a.m. London time (in the case of Euro Swing Line Loans) on the date of the proposed Swing Line Borrowing (A) directing the Swing Line Lender not to make such Swing Line Loan as a result of the limitations set forth in the first proviso to the first sentence of </w:t>
      </w:r>
      <w:r>
        <w:rPr>
          <w:rFonts w:ascii="Times New Roman;Times;serif" w:hAnsi="Times New Roman;Times;serif"/>
          <w:sz w:val="22"/>
          <w:u w:val="single"/>
        </w:rPr>
        <w:t>Section 2.04(a)</w:t>
      </w:r>
      <w:r>
        <w:rPr>
          <w:rFonts w:ascii="Times New Roman;Times;serif" w:hAnsi="Times New Roman;Times;serif"/>
          <w:sz w:val="22"/>
        </w:rPr>
        <w:t xml:space="preserve">, or (B) that one or more of the applicable conditions specified in </w:t>
      </w:r>
      <w:r>
        <w:rPr>
          <w:rFonts w:ascii="Times New Roman;Times;serif" w:hAnsi="Times New Roman;Times;serif"/>
          <w:sz w:val="22"/>
          <w:u w:val="single"/>
        </w:rPr>
        <w:t>Article IV</w:t>
      </w:r>
      <w:r>
        <w:rPr>
          <w:rFonts w:ascii="Times New Roman;Times;serif" w:hAnsi="Times New Roman;Times;serif"/>
          <w:sz w:val="20"/>
        </w:rPr>
        <w:t xml:space="preserve"> </w:t>
      </w:r>
      <w:r>
        <w:rPr>
          <w:rFonts w:ascii="Times New Roman;Times;serif" w:hAnsi="Times New Roman;Times;serif"/>
          <w:sz w:val="22"/>
        </w:rPr>
        <w:t>is not then satisfied, then, subject to the terms and conditions hereof, the Swing Line Lender will, not later than 1:00 p.m. Pacific time (in the case of Dollar-denominated Swing Line Loans) or 11:00 a.m. London time (in the case of Euro Swing Line Loans) on the borrowing date specified in such Swing Line Loan Notice, make the amount of its Swing Line Loan available to the applicable Borrower at its office by crediting the account of such Borrower on the books of the Swing Line Lender in Same Day Funds.</w:t>
      </w:r>
    </w:p>
    <w:tbl>
      <w:tblPr>
        <w:tblW w:w="3528" w:type="dxa"/>
        <w:jc w:val="left"/>
        <w:tblInd w:w="0" w:type="dxa"/>
        <w:tblLayout w:type="fixed"/>
        <w:tblCellMar>
          <w:top w:w="0" w:type="dxa"/>
          <w:left w:w="0" w:type="dxa"/>
          <w:bottom w:w="0" w:type="dxa"/>
          <w:right w:w="0" w:type="dxa"/>
        </w:tblCellMar>
      </w:tblPr>
      <w:tblGrid>
        <w:gridCol w:w="23"/>
        <w:gridCol w:w="275"/>
        <w:gridCol w:w="323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(c)</w:t>
            </w:r>
          </w:p>
        </w:tc>
        <w:tc>
          <w:tcPr>
            <w:tcW w:w="323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2"/>
                <w:u w:val="single"/>
              </w:rPr>
              <w:t>Refinancing of Swing Line Loans</w:t>
            </w:r>
            <w:r>
              <w:rPr>
                <w:rFonts w:ascii="Times New Roman;Times;serif" w:hAnsi="Times New Roman;Times;serif"/>
                <w:sz w:val="22"/>
              </w:rPr>
              <w: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The Swing Line Lender at any time in its sole and absolute discretion may request, on behalf of the applicable Borrower (which hereby irrevocably authorizes the Swing Line Lender to so request on its behalf), that each Lender make a Base Rate Committed Loan for Swing Line Loans denominated in Dollars or an Alternative Currency Term Rate Loan (with a one-month Interest Period) denominated in Euros for Euro Swing Line Loans, in each case, in an</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 xml:space="preserve">amount equal to such Lender’s Applicable Percentage of the amount of Swing Line Loans then outstanding. Such request shall be made in writing (which written request shall be deemed to be a Committed Loan Notice for purposes hereof) and in accordance with the requirements of </w:t>
      </w:r>
      <w:r>
        <w:rPr>
          <w:rFonts w:ascii="Times New Roman;Times;serif" w:hAnsi="Times New Roman;Times;serif"/>
          <w:sz w:val="22"/>
          <w:u w:val="single"/>
        </w:rPr>
        <w:t>Section 2.02</w:t>
      </w:r>
      <w:r>
        <w:rPr>
          <w:rFonts w:ascii="Times New Roman;Times;serif" w:hAnsi="Times New Roman;Times;serif"/>
          <w:sz w:val="22"/>
        </w:rPr>
        <w:t xml:space="preserve">, without regard to the minimum and multiples specified therein for the principal amount of Base Rate Loans or Alternative Currency Term Rate Loans, but subject to the unutilized portion of the Aggregate Commitments and the conditions set forth in </w:t>
      </w:r>
      <w:r>
        <w:rPr>
          <w:rFonts w:ascii="Times New Roman;Times;serif" w:hAnsi="Times New Roman;Times;serif"/>
          <w:sz w:val="22"/>
          <w:u w:val="single"/>
        </w:rPr>
        <w:t>Section 4.02</w:t>
      </w:r>
      <w:r>
        <w:rPr>
          <w:rFonts w:ascii="Times New Roman;Times;serif" w:hAnsi="Times New Roman;Times;serif"/>
          <w:sz w:val="22"/>
        </w:rPr>
        <w:t xml:space="preserve">. The Swing Line Lender shall furnish the applicable Borrower with a copy of the applicable Committed Loan Notice promptly after delivering such notice to the Administrative Agent. Each Lender shall make an amount equal to its Applicable Percentage of the amount specified in such Committed Loan Notice available to the Administrative Agent in Same Day Funds (and the Administrative Agent may apply Cash Collateral available with respect to the applicable Swing Line Loan) for the account of the Swing Line Lender at the Administrative Agent’s Office for payments in such currency not later than 10:00 a.m. on the day specified in such Committed Loan Notice, whereupon, subject to </w:t>
      </w:r>
      <w:r>
        <w:rPr>
          <w:rFonts w:ascii="Times New Roman;Times;serif" w:hAnsi="Times New Roman;Times;serif"/>
          <w:sz w:val="22"/>
          <w:u w:val="single"/>
        </w:rPr>
        <w:t>Section 2.04(c)(ii)</w:t>
      </w:r>
      <w:r>
        <w:rPr>
          <w:rFonts w:ascii="Times New Roman;Times;serif" w:hAnsi="Times New Roman;Times;serif"/>
          <w:sz w:val="22"/>
        </w:rPr>
        <w:t>, each Lender that so makes funds available shall be deemed to have made a Base Rate Committed Loan or Alternative Currency Term Rate Loan, as applicable, to the applicable Borrower in such amount. The Administrative Agent shall remit the funds so received to the Swing Line Lender.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 xml:space="preserve">If for any reason any Swing Line Loan cannot be refinanced by such a Committed Borrowing in accordance with </w:t>
      </w:r>
      <w:r>
        <w:rPr>
          <w:rFonts w:ascii="Times New Roman;Times;serif" w:hAnsi="Times New Roman;Times;serif"/>
          <w:sz w:val="22"/>
          <w:u w:val="single"/>
        </w:rPr>
        <w:t>Section 2.04(c)(i)</w:t>
      </w:r>
      <w:r>
        <w:rPr>
          <w:rFonts w:ascii="Times New Roman;Times;serif" w:hAnsi="Times New Roman;Times;serif"/>
          <w:sz w:val="22"/>
        </w:rPr>
        <w:t xml:space="preserve">, the request for Base Rate Committed Loans or Alterative Currency Term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Times New Roman;Times;serif" w:hAnsi="Times New Roman;Times;serif"/>
          <w:sz w:val="22"/>
          <w:u w:val="single"/>
        </w:rPr>
        <w:t>Section 2.04(c)(i)</w:t>
      </w:r>
      <w:r>
        <w:rPr>
          <w:rFonts w:ascii="Times New Roman;Times;serif" w:hAnsi="Times New Roman;Times;serif"/>
          <w:sz w:val="20"/>
        </w:rPr>
        <w:t xml:space="preserve"> </w:t>
      </w:r>
      <w:r>
        <w:rPr>
          <w:rFonts w:ascii="Times New Roman;Times;serif" w:hAnsi="Times New Roman;Times;serif"/>
          <w:sz w:val="22"/>
        </w:rPr>
        <w:t>shall be deemed payment in respect of such participation.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 xml:space="preserve">If any Lender fails to make available to the Administrative Agent for the account of the Swing Line Lender any amount required to be paid by such Lender pursuant to the foregoing provisions of this </w:t>
      </w:r>
      <w:r>
        <w:rPr>
          <w:rFonts w:ascii="Times New Roman;Times;serif" w:hAnsi="Times New Roman;Times;serif"/>
          <w:sz w:val="22"/>
          <w:u w:val="single"/>
        </w:rPr>
        <w:t>Section 2.04(c)</w:t>
      </w:r>
      <w:r>
        <w:rPr>
          <w:rFonts w:ascii="Times New Roman;Times;serif" w:hAnsi="Times New Roman;Times;serif"/>
          <w:sz w:val="20"/>
        </w:rPr>
        <w:t xml:space="preserve"> </w:t>
      </w:r>
      <w:r>
        <w:rPr>
          <w:rFonts w:ascii="Times New Roman;Times;serif" w:hAnsi="Times New Roman;Times;serif"/>
          <w:sz w:val="22"/>
        </w:rPr>
        <w:t xml:space="preserve">by the time specified in </w:t>
      </w:r>
      <w:r>
        <w:rPr>
          <w:rFonts w:ascii="Times New Roman;Times;serif" w:hAnsi="Times New Roman;Times;serif"/>
          <w:sz w:val="22"/>
          <w:u w:val="single"/>
        </w:rPr>
        <w:t>Section 2.04(c)(i)</w:t>
      </w:r>
      <w:r>
        <w:rPr>
          <w:rFonts w:ascii="Times New Roman;Times;serif" w:hAnsi="Times New Roman;Times;serif"/>
          <w:sz w:val="22"/>
        </w:rPr>
        <w:t xml:space="preserve">,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applicable Overnight Rate from time to time in effect,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any administrative processing or similar fees customarily charged by the Swing Line Lender in connection with the foregoing. If such Lender pays such amount (with interest and fees as aforesaid), the amount so paid shall constitute such Lender’s Committed Loan included in the relevant Committed Borrowing or funded participation in the relevant Swing Line Loan, as the case may be. A certificate of the Swing Line Lender submitted to any Lender (through the Administrative Agent) with respect to any amounts owing under this </w:t>
      </w:r>
      <w:r>
        <w:rPr>
          <w:rFonts w:ascii="Times New Roman;Times;serif" w:hAnsi="Times New Roman;Times;serif"/>
          <w:sz w:val="22"/>
          <w:u w:val="single"/>
        </w:rPr>
        <w:t>clause (iii)</w:t>
      </w:r>
      <w:r>
        <w:rPr>
          <w:rFonts w:ascii="Times New Roman;Times;serif" w:hAnsi="Times New Roman;Times;serif"/>
          <w:sz w:val="20"/>
        </w:rPr>
        <w:t xml:space="preserve"> </w:t>
      </w:r>
      <w:r>
        <w:rPr>
          <w:rFonts w:ascii="Times New Roman;Times;serif" w:hAnsi="Times New Roman;Times;serif"/>
          <w:sz w:val="22"/>
        </w:rPr>
        <w:t>shall be conclusive absent manifest error.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 xml:space="preserve">Each Lender’s obligation to make Committed Loans or to purchase and fund risk participations in Swing Line Loans pursuant to this </w:t>
      </w:r>
      <w:r>
        <w:rPr>
          <w:rFonts w:ascii="Times New Roman;Times;serif" w:hAnsi="Times New Roman;Times;serif"/>
          <w:sz w:val="22"/>
          <w:u w:val="single"/>
        </w:rPr>
        <w:t>Section 2.04(c)</w:t>
      </w:r>
      <w:r>
        <w:rPr>
          <w:rFonts w:ascii="Times New Roman;Times;serif" w:hAnsi="Times New Roman;Times;serif"/>
          <w:sz w:val="20"/>
        </w:rPr>
        <w:t xml:space="preserve"> </w:t>
      </w:r>
      <w:r>
        <w:rPr>
          <w:rFonts w:ascii="Times New Roman;Times;serif" w:hAnsi="Times New Roman;Times;serif"/>
          <w:sz w:val="22"/>
        </w:rPr>
        <w:t xml:space="preserve">shall be absolute and unconditional and shall not be affected by any circumstance, including (A) any setoff, counterclaim, recoupment, defense or other right which such Lender may have against the Swing Line Lender, the applicable Borrower or any other Person for any reason whatsoever, (B) the occurrence or continuance of a Default, or (C) any other occurrence, event or condition, whether or not similar to any of the foregoing;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each Lender’s obligation to make Committed Loans pursuant to this </w:t>
      </w:r>
      <w:r>
        <w:rPr>
          <w:rFonts w:ascii="Times New Roman;Times;serif" w:hAnsi="Times New Roman;Times;serif"/>
          <w:sz w:val="22"/>
          <w:u w:val="single"/>
        </w:rPr>
        <w:t>Section 2.04(c)</w:t>
      </w:r>
      <w:r>
        <w:rPr>
          <w:rFonts w:ascii="Times New Roman;Times;serif" w:hAnsi="Times New Roman;Times;serif"/>
          <w:sz w:val="20"/>
        </w:rPr>
        <w:t xml:space="preserve"> </w:t>
      </w:r>
      <w:r>
        <w:rPr>
          <w:rFonts w:ascii="Times New Roman;Times;serif" w:hAnsi="Times New Roman;Times;serif"/>
          <w:sz w:val="22"/>
        </w:rPr>
        <w:t xml:space="preserve">is subject to the conditions set forth in </w:t>
      </w:r>
      <w:r>
        <w:rPr>
          <w:rFonts w:ascii="Times New Roman;Times;serif" w:hAnsi="Times New Roman;Times;serif"/>
          <w:sz w:val="22"/>
          <w:u w:val="single"/>
        </w:rPr>
        <w:t>Section</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sz w:val="22"/>
          <w:u w:val="single"/>
        </w:rPr>
        <w:t>4.02</w:t>
      </w:r>
      <w:r>
        <w:rPr>
          <w:rFonts w:ascii="Times New Roman;Times;serif" w:hAnsi="Times New Roman;Times;serif"/>
          <w:sz w:val="22"/>
        </w:rPr>
        <w:t>. No such funding of risk participations shall relieve or otherwise impair the obligation of the applicable Borrower to repay Swing Line Loans, together with interest as provided herein.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Repayment of Participations</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At any time after any Lender has purchased and funded a risk participation in a Swing Line Loan, if the Swing Line Lender receives any payment on account of such Swing Line Loan, the Swing Line Lender will promptly distribute to such Lender its Applicable Percentage of such payment (appropriately adjusted, in the case of interest payments, to reflect the period of time during which such Lender’s risk participation was funded) in the same funds as those received by the Swing Line Lender.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 xml:space="preserve">If any payment received by the Swing Line Lender in respect of principal or interest on any Swing Line Loan is required to be returned by the Swing Line Lender under any of the circumstances described in </w:t>
      </w:r>
      <w:r>
        <w:rPr>
          <w:rFonts w:ascii="Times New Roman;Times;serif" w:hAnsi="Times New Roman;Times;serif"/>
          <w:sz w:val="22"/>
          <w:u w:val="single"/>
        </w:rPr>
        <w:t>Section 10.05</w:t>
      </w:r>
      <w:r>
        <w:rPr>
          <w:rFonts w:ascii="Times New Roman;Times;serif" w:hAnsi="Times New Roman;Times;serif"/>
          <w:sz w:val="20"/>
        </w:rPr>
        <w:t xml:space="preserve"> </w:t>
      </w:r>
      <w:r>
        <w:rPr>
          <w:rFonts w:ascii="Times New Roman;Times;serif" w:hAnsi="Times New Roman;Times;serif"/>
          <w:sz w:val="22"/>
        </w:rPr>
        <w:t xml:space="preserve">(including pursuant to any settlement entered into by the Swing Line Lender in its discretion), each Lender shall pay to the Swing Line Lender its Applicable Percentage thereof on demand of the Administrative Agent,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interest thereon from the date of such demand to the date such amount is returned, at a rate per annum equal to the applicable Overnight Rate. The Administrative Agent will make such demand upon the request of the Swing Line Lender. The obligations of the Lenders under this clause shall survive the payment in full of the Obligations and the termination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u w:val="single"/>
        </w:rPr>
        <w:t>Interest for Account of Swing Line Lender</w:t>
      </w:r>
      <w:r>
        <w:rPr>
          <w:rFonts w:ascii="Times New Roman;Times;serif" w:hAnsi="Times New Roman;Times;serif"/>
          <w:sz w:val="22"/>
        </w:rPr>
        <w:t xml:space="preserve">. The Swing Line Lender shall be responsible for invoicing the applicable Borrower for interest on the Swing Line Loans. Until each Lender funds its Base Rate Committed Loan or risk participation pursuant to this </w:t>
      </w:r>
      <w:r>
        <w:rPr>
          <w:rFonts w:ascii="Times New Roman;Times;serif" w:hAnsi="Times New Roman;Times;serif"/>
          <w:sz w:val="22"/>
          <w:u w:val="single"/>
        </w:rPr>
        <w:t>Section 2.04</w:t>
      </w:r>
      <w:r>
        <w:rPr>
          <w:rFonts w:ascii="Times New Roman;Times;serif" w:hAnsi="Times New Roman;Times;serif"/>
          <w:sz w:val="20"/>
        </w:rPr>
        <w:t xml:space="preserve"> </w:t>
      </w:r>
      <w:r>
        <w:rPr>
          <w:rFonts w:ascii="Times New Roman;Times;serif" w:hAnsi="Times New Roman;Times;serif"/>
          <w:sz w:val="22"/>
        </w:rPr>
        <w:t>to refinance such Lender’s Applicable Percentage of any Swing Line Loan, interest in respect of such Applicable Percentage shall be solely for the account of the Swing Line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u w:val="single"/>
        </w:rPr>
        <w:t>Payments Directly to Swing Line Lender</w:t>
      </w:r>
      <w:r>
        <w:rPr>
          <w:rFonts w:ascii="Times New Roman;Times;serif" w:hAnsi="Times New Roman;Times;serif"/>
          <w:sz w:val="22"/>
        </w:rPr>
        <w:t>. The applicable Borrower shall make all payments of principal and interest in respect of the Swing Line Loans directly to the Swing Line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2.05</w:t>
      </w:r>
      <w:r>
        <w:rPr>
          <w:rFonts w:ascii="Times New Roman;Times;serif" w:hAnsi="Times New Roman;Times;serif"/>
          <w:b/>
          <w:sz w:val="22"/>
        </w:rPr>
        <w:t>Prepayments</w:t>
      </w:r>
      <w:r>
        <w:rPr>
          <w:rFonts w:ascii="Times New Roman;Times;serif" w:hAnsi="Times New Roman;Times;serif"/>
          <w:sz w:val="22"/>
        </w:rPr>
        <w:t xml:space="preserve">. (a) Each Borrower may, upon notice from the Company to the Administrative Agent, at any time or from time to time voluntarily prepay Committed Loans in whole or in part without premium or penalty;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(i) such notice must be received by the Administrative Agent not later than 8:00 a.m. (A) two Business Days prior to any date of prepayment of Term SOFR Loans, (B) four Business Days (or five, in the case of prepayment of Loans denominated in Special Notice Currencies) prior to any date of prepayment of Alternative Currency Loans, (C) one Business Day prior to any date of prepayment of SOFR Daily Floating Rate Loans, or (D) on the date of prepayment of Base Rate Committed Loans and (ii) any prepayment of Committed Loans shall be in a principal amount of $5,000,000 or a whole multiple of $1,000,000 in excess thereof or, if less, the entire principal amount thereof then outstanding. Each such notice shall specify the date and amount of such prepayment and the Type(s) of Committed Loans to be prepaid and, if Term SOFR Loans or Alternative Currency Term Rate Loans are to be prepaid, the Interest Period(s) of such Loans. The Administrative Agent will promptly notify each Lender of its receipt of each such notice, and of the amount of such Lender’s Applicable Percentage (or other applicable share as provided herein) of such prepayment. If such notice is given by the Company, the applicable Borrower shall make such prepayment and the payment amount specified in such notice shall be due and payable on the date specified therein. Any prepayment of a Term SOFR Loan or Alternative Currency Term Rate Loan shall be accompanied by all accrued interest on the amount prepaid, together with any additional amounts required pursuant to </w:t>
      </w:r>
      <w:r>
        <w:rPr>
          <w:rFonts w:ascii="Times New Roman;Times;serif" w:hAnsi="Times New Roman;Times;serif"/>
          <w:sz w:val="22"/>
          <w:u w:val="single"/>
        </w:rPr>
        <w:t>Section 3.05</w:t>
      </w:r>
      <w:r>
        <w:rPr>
          <w:rFonts w:ascii="Times New Roman;Times;serif" w:hAnsi="Times New Roman;Times;serif"/>
          <w:sz w:val="22"/>
        </w:rPr>
        <w:t>. Subject to</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u w:val="single"/>
        </w:rPr>
        <w:t>Section 2.17</w:t>
      </w:r>
      <w:r>
        <w:rPr>
          <w:rFonts w:ascii="Times New Roman;Times;serif" w:hAnsi="Times New Roman;Times;serif"/>
          <w:sz w:val="22"/>
        </w:rPr>
        <w:t>, each such prepayment shall be applied to the Committed Loans of the Lenders in accordance with their respective Applicable Percentages.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Each applicable Borrower may, upon notice from the Company to the Swing Line Lender (with a copy to the Administrative Agent), at any time or from time to time, voluntarily prepay Swing Line Loans in whole or in part without premium or penalty;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 such notice must be received by the Swing Line Lender and the Administrative Agent not later than 10:00 a.m. Pacific time (in the case of Dollar-denominated Swing Line Loans) or 8:00 a.m. London time (in the case of Euro Swing Line Loans) on the date of the prepayment, and (ii) any such prepayment shall be in a minimum of $1,000,000 for Swing Line Loans denominated in Dollars and the Euro Equivalent of $1,000,000 for Euro Swing Line Loans, or, if less, the entire principal amount thereof then outstanding. Each such notice shall specify the date and amount of such prepayment. If such notice is given by the Company, the applicable Borrower shall make such prepayment and the payment amount specified in such notice shall be due and payable on the date specified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If the Administrative Agent notifies the Company at any time that the Total Outstandings at such time exceed an amount equal to 102% of the Aggregate Commitments then in effect, then, within two Business Days after receipt of such notice, the Borrowers shall prepay Loans and/or the Company shall Cash Collateralize the L/C Obligations in an aggregate amount sufficient to reduce such Outstanding Amount as of such date of payment to an amount not to exceed 100% of the Aggregate Commitments then in effect;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subject to the provisions of </w:t>
      </w:r>
      <w:r>
        <w:rPr>
          <w:rFonts w:ascii="Times New Roman;Times;serif" w:hAnsi="Times New Roman;Times;serif"/>
          <w:sz w:val="22"/>
          <w:u w:val="single"/>
        </w:rPr>
        <w:t>Section 2.16(a)(ii)</w:t>
      </w:r>
      <w:r>
        <w:rPr>
          <w:rFonts w:ascii="Times New Roman;Times;serif" w:hAnsi="Times New Roman;Times;serif"/>
          <w:sz w:val="22"/>
        </w:rPr>
        <w:t xml:space="preserve">, the Company shall not be required to Cash Collateralize the L/C Obligations pursuant to this </w:t>
      </w:r>
      <w:r>
        <w:rPr>
          <w:rFonts w:ascii="Times New Roman;Times;serif" w:hAnsi="Times New Roman;Times;serif"/>
          <w:sz w:val="22"/>
          <w:u w:val="single"/>
        </w:rPr>
        <w:t>Section 2.05(c)</w:t>
      </w:r>
      <w:r>
        <w:rPr>
          <w:rFonts w:ascii="Times New Roman;Times;serif" w:hAnsi="Times New Roman;Times;serif"/>
          <w:sz w:val="20"/>
        </w:rPr>
        <w:t xml:space="preserve"> </w:t>
      </w:r>
      <w:r>
        <w:rPr>
          <w:rFonts w:ascii="Times New Roman;Times;serif" w:hAnsi="Times New Roman;Times;serif"/>
          <w:sz w:val="22"/>
        </w:rPr>
        <w:t>unless after the prepayment in full of the Loans the Total Outstandings exceed the Aggregate Commitments then in effect. The Administrative Agent may, at any time and from time to time after the initial deposit of such Cash Collateral, request that additional Cash Collateral be provided in order to protect against the results of further exchange rate fluctuations.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If the Administrative Agent notifies the Company at any time that (i) the Outstanding Amount of all Loans denominated in Alternative Currencies (other than Euros and Sterling) at such time exceeds an amount equal to 102% of the Alternative Currency Sublimit then in effect, or (ii) the aggregate Outstanding Amount of all Loans exceeds an amount equal to 102% of the Aggregate Commitments then in effect, then, within four Business Days after receipt of such notice, the Borrowers shall prepay Loans in an aggregate amount sufficient to reduce such Outstanding Amount as of such date of payment to an amount not to exceed 100% of the Alternative Currency Sublimit then in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2.06</w:t>
      </w:r>
      <w:r>
        <w:rPr>
          <w:rFonts w:ascii="Times New Roman;Times;serif" w:hAnsi="Times New Roman;Times;serif"/>
          <w:b/>
          <w:sz w:val="22"/>
        </w:rPr>
        <w:t>Termination or Reduction of Commitments</w:t>
      </w:r>
      <w:r>
        <w:rPr>
          <w:rFonts w:ascii="Times New Roman;Times;serif" w:hAnsi="Times New Roman;Times;serif"/>
          <w:sz w:val="22"/>
        </w:rPr>
        <w:t xml:space="preserve">. The Company may, upon notice to the Administrative Agent, terminate the Aggregate Commitments, or from time to time permanently reduce the Aggregate Commitments;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(a) any such notice shall be received by the Administrative Agent not later than 8:00 a.m. five Business Days prior to the date of termination or reduction, (b) any such partial reduction shall be in an aggregate amount of $5,000,000 or any whole multiple of $1,000,000 in excess thereof, (c) the Company shall not terminate or reduce the Aggregate Commitments if, after giving effect thereto and to any concurrent prepayments hereunder, the Total Outstandings would exceed the Aggregate Commitments, and (d) if, after giving effect to any reduction of the Aggregate Commitments, the Alternative Currency Sublimit, the Letter of Credit Sublimit or the Swing Line Sublimit exceeds the amount of the Aggregate Commitments, such sublimit shall be automatically reduced by the amount of such excess;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any such reduction in the sublimit shall be allocated between the Swing Line Dollar Sublimit and the Swing Line Euro Sublimit as directed by the Company and, in the absence of such direction, pro rata among the Swing Line Dollar Sublimit and the Swing Line Euro Sublimit. The Administrative Agent will promptly notify the Lenders of any such notice of termination or reduction of the Aggregate Commitments. The amount of any such Aggregate Commitment reduction shall not be applied to the Alternative Currency Sublimit or the Letter of Credit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Sublimit unless otherwise specified by the Company. Any reduction of the Aggregate Commitments shall be applied to the Commitment of each Lender according to its Applicable Percentage. All fees accrued until the effective date of any termination of the Aggregate Commitments shall be paid on the effective date of such 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2.07</w:t>
      </w:r>
      <w:r>
        <w:rPr>
          <w:rFonts w:ascii="Times New Roman;Times;serif" w:hAnsi="Times New Roman;Times;serif"/>
          <w:b/>
          <w:sz w:val="22"/>
        </w:rPr>
        <w:t xml:space="preserve">Repayment of Loans. </w:t>
      </w:r>
      <w:r>
        <w:rPr>
          <w:rFonts w:ascii="Times New Roman;Times;serif" w:hAnsi="Times New Roman;Times;serif"/>
          <w:sz w:val="22"/>
        </w:rPr>
        <w:t>(a) Each Borrower shall repay to the Lenders on the Maturity Date the aggregate principal amount of Committed Loans made to such Borrower outstanding on such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The applicable Borrower shall repay each Swing Line Loan on the earlier to occur of (i) the date 10 days after such Loan is made and (ii) the Maturity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2.08</w:t>
      </w:r>
      <w:r>
        <w:rPr>
          <w:rFonts w:ascii="Times New Roman;Times;serif" w:hAnsi="Times New Roman;Times;serif"/>
          <w:b/>
          <w:sz w:val="22"/>
        </w:rPr>
        <w:t xml:space="preserve">Interest. </w:t>
      </w:r>
      <w:r>
        <w:rPr>
          <w:rFonts w:ascii="Times New Roman;Times;serif" w:hAnsi="Times New Roman;Times;serif"/>
          <w:sz w:val="22"/>
        </w:rPr>
        <w:t xml:space="preserve">(a) Subject to the provisions of </w:t>
      </w:r>
      <w:r>
        <w:rPr>
          <w:rFonts w:ascii="Times New Roman;Times;serif" w:hAnsi="Times New Roman;Times;serif"/>
          <w:sz w:val="22"/>
          <w:u w:val="single"/>
        </w:rPr>
        <w:t>subsection (b)</w:t>
      </w:r>
      <w:r>
        <w:rPr>
          <w:rFonts w:ascii="Times New Roman;Times;serif" w:hAnsi="Times New Roman;Times;serif"/>
          <w:sz w:val="20"/>
        </w:rPr>
        <w:t xml:space="preserve"> </w:t>
      </w:r>
      <w:r>
        <w:rPr>
          <w:rFonts w:ascii="Times New Roman;Times;serif" w:hAnsi="Times New Roman;Times;serif"/>
          <w:sz w:val="22"/>
        </w:rPr>
        <w:t xml:space="preserve">below, (i) each Term SOFR Loan shall bear interest on the outstanding principal amount thereof for each Interest Period at a rate per annum equal to the Term SOFR for such Interest Period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the Applicable Rate; (ii) each Alternative Currency Term Rate Loan shall bear interest on the outstanding principal amount thereof for each Interest Period at a rate per annum equal to the applicable Alternative Currency Term Rate for such Interest Period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the Applicable Rate; (iii) each Alternative Currency Daily Rate Loan shall bear interest on the outstanding principal amount thereof for each Interest Period at a rate per annum equal to the Alternative Currency Daily Rate for such Interest Period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the Applicable Rate; (iv) each Base Rate Committed Loan shall bear interest on the outstanding principal amount thereof from the applicable borrowing date at a rate per annum equal to the Base Rate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the Applicable Rate; (v) each SOFR Daily Floating Rate Loan shall bear interest on the outstanding principal amount thereof from the applicable borrowing date at a rate per annum equal to the SOFR Daily Floating Rate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the Applicable Rate and (vi) each (A) Dollar-denominated Swing Line Loan shall bear interest on the outstanding principal amount thereof from the applicable borrowing date at a rate per annum equal to the Base Rate, or such other benchmark rate agreed by the Swing Line Lender,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the Applicable Rate and (B) Euro Swing Line Loan shall bear interest on the outstanding principal amount thereof from the applicable borrowing date at a rate per annum equal to the Euro Swing Line Rate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the Applicable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 xml:space="preserve">Upon the request of the Required Lenders, while any Event of Default under </w:t>
      </w:r>
      <w:r>
        <w:rPr>
          <w:rFonts w:ascii="Times New Roman;Times;serif" w:hAnsi="Times New Roman;Times;serif"/>
          <w:sz w:val="22"/>
          <w:u w:val="single"/>
        </w:rPr>
        <w:t>Section 8.01(a)</w:t>
      </w:r>
      <w:r>
        <w:rPr>
          <w:rFonts w:ascii="Times New Roman;Times;serif" w:hAnsi="Times New Roman;Times;serif"/>
          <w:sz w:val="22"/>
        </w:rPr>
        <w:t xml:space="preserve">, </w:t>
      </w:r>
      <w:r>
        <w:rPr>
          <w:rFonts w:ascii="Times New Roman;Times;serif" w:hAnsi="Times New Roman;Times;serif"/>
          <w:sz w:val="22"/>
          <w:u w:val="single"/>
        </w:rPr>
        <w:t>(f)</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(g)</w:t>
      </w:r>
      <w:r>
        <w:rPr>
          <w:rFonts w:ascii="Times New Roman;Times;serif" w:hAnsi="Times New Roman;Times;serif"/>
          <w:sz w:val="20"/>
        </w:rPr>
        <w:t xml:space="preserve"> </w:t>
      </w:r>
      <w:r>
        <w:rPr>
          <w:rFonts w:ascii="Times New Roman;Times;serif" w:hAnsi="Times New Roman;Times;serif"/>
          <w:sz w:val="22"/>
        </w:rPr>
        <w:t>exists, the Borrowers shall pay interest on the principal amount of all outstanding Obligations hereunder at a fluctuating interest rate per annum at all times equal to the Default Rate to the fullest extent permitted by applicable Laws.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Accrued and unpaid interest on past due amounts (including interest on past due interest) shall be due and payable upon demand.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For the purposes of the Interest Act (Canada), to the extent it may be applicable, (i) whenever a rate of interest or fee rate hereunder is calculated on the basis of a year (the “deemed year”) that contains fewer days than the actual number of days in the calendar year of calculation, such rate of</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tbl>
      <w:tblPr>
        <w:tblW w:w="8283" w:type="dxa"/>
        <w:jc w:val="left"/>
        <w:tblInd w:w="0" w:type="dxa"/>
        <w:tblLayout w:type="fixed"/>
        <w:tblCellMar>
          <w:top w:w="0" w:type="dxa"/>
          <w:left w:w="0" w:type="dxa"/>
          <w:bottom w:w="0" w:type="dxa"/>
          <w:right w:w="0" w:type="dxa"/>
        </w:tblCellMar>
      </w:tblPr>
      <w:tblGrid>
        <w:gridCol w:w="23"/>
        <w:gridCol w:w="440"/>
        <w:gridCol w:w="782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40"/>
              <w:jc w:val="left"/>
              <w:rPr>
                <w:rFonts w:ascii="Times New Roman;Times;serif" w:hAnsi="Times New Roman;Times;serif"/>
                <w:b/>
                <w:sz w:val="22"/>
              </w:rPr>
            </w:pPr>
            <w:r>
              <w:rPr>
                <w:rFonts w:ascii="Times New Roman;Times;serif" w:hAnsi="Times New Roman;Times;serif"/>
                <w:b/>
                <w:sz w:val="22"/>
              </w:rPr>
              <w:t>2.09</w:t>
            </w:r>
          </w:p>
        </w:tc>
        <w:tc>
          <w:tcPr>
            <w:tcW w:w="78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2"/>
              </w:rPr>
              <w:t>Fees</w:t>
            </w:r>
            <w:r>
              <w:rPr>
                <w:rFonts w:ascii="Times New Roman;Times;serif" w:hAnsi="Times New Roman;Times;serif"/>
                <w:sz w:val="22"/>
              </w:rPr>
              <w:t xml:space="preserve">. In addition to certain fees described in </w:t>
            </w:r>
            <w:r>
              <w:rPr>
                <w:rFonts w:ascii="Times New Roman;Times;serif" w:hAnsi="Times New Roman;Times;serif"/>
                <w:sz w:val="22"/>
                <w:u w:val="single"/>
              </w:rPr>
              <w:t>subsections (h)</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(i)</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sz w:val="22"/>
                <w:u w:val="single"/>
              </w:rPr>
              <w:t>Section 2.03</w:t>
            </w:r>
            <w:r>
              <w:rPr>
                <w:rFonts w:ascii="Times New Roman;Times;serif" w:hAnsi="Times New Roman;Times;serif"/>
                <w:sz w:val="22"/>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Facility Fee</w:t>
      </w:r>
      <w:r>
        <w:rPr>
          <w:rFonts w:ascii="Times New Roman;Times;serif" w:hAnsi="Times New Roman;Times;serif"/>
          <w:sz w:val="22"/>
        </w:rPr>
        <w:t xml:space="preserve">. The Company shall pay to the Administrative Agent for the account of each Lender in accordance with its Applicable Percentage, a facility fee in Dollars equal to the Applicable Rate </w:t>
      </w:r>
      <w:r>
        <w:rPr>
          <w:rFonts w:ascii="Times New Roman;Times;serif" w:hAnsi="Times New Roman;Times;serif"/>
          <w:sz w:val="22"/>
          <w:u w:val="single"/>
        </w:rPr>
        <w:t>times</w:t>
      </w:r>
      <w:r>
        <w:rPr>
          <w:rFonts w:ascii="Times New Roman;Times;serif" w:hAnsi="Times New Roman;Times;serif"/>
          <w:sz w:val="20"/>
        </w:rPr>
        <w:t xml:space="preserve"> </w:t>
      </w:r>
      <w:r>
        <w:rPr>
          <w:rFonts w:ascii="Times New Roman;Times;serif" w:hAnsi="Times New Roman;Times;serif"/>
          <w:sz w:val="22"/>
        </w:rPr>
        <w:t xml:space="preserve">the actual daily amount of the Aggregate Commitments (or, if the Aggregate Commitments have terminated, on the Outstanding Amount of all Committed Loans, Swing Line Loans and L/C Obligations), regardless of usage, subject to adjustment as provided in </w:t>
      </w:r>
      <w:r>
        <w:rPr>
          <w:rFonts w:ascii="Times New Roman;Times;serif" w:hAnsi="Times New Roman;Times;serif"/>
          <w:sz w:val="22"/>
          <w:u w:val="single"/>
        </w:rPr>
        <w:t>Section 2.17</w:t>
      </w:r>
      <w:r>
        <w:rPr>
          <w:rFonts w:ascii="Times New Roman;Times;serif" w:hAnsi="Times New Roman;Times;serif"/>
          <w:sz w:val="22"/>
        </w:rPr>
        <w:t xml:space="preserve">. The facility fee shall accrue at all times during the Availability Period (and thereafter so long as any Committed Loans, Swing Line Loans or L/C Obligations remain outstanding), including at any time during which one or more of the conditions in </w:t>
      </w:r>
      <w:r>
        <w:rPr>
          <w:rFonts w:ascii="Times New Roman;Times;serif" w:hAnsi="Times New Roman;Times;serif"/>
          <w:sz w:val="22"/>
          <w:u w:val="single"/>
        </w:rPr>
        <w:t>Article IV</w:t>
      </w:r>
      <w:r>
        <w:rPr>
          <w:rFonts w:ascii="Times New Roman;Times;serif" w:hAnsi="Times New Roman;Times;serif"/>
          <w:sz w:val="20"/>
        </w:rPr>
        <w:t xml:space="preserve"> </w:t>
      </w:r>
      <w:r>
        <w:rPr>
          <w:rFonts w:ascii="Times New Roman;Times;serif" w:hAnsi="Times New Roman;Times;serif"/>
          <w:sz w:val="22"/>
        </w:rPr>
        <w:t>is not met, and shall be due and payable quarterly in arrears on the last Business Day of each March, June, September and December, commencing with the first such date to occur after the Closing Date, and on the last day of the Availability Period (and, if applicable, thereafter on demand). The facility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Other Fees</w:t>
      </w:r>
      <w:r>
        <w:rPr>
          <w:rFonts w:ascii="Times New Roman;Times;serif" w:hAnsi="Times New Roman;Times;serif"/>
          <w:sz w:val="22"/>
        </w:rPr>
        <w:t>. (i) The Company shall pay to the Arrangers and the Administrative Agent for their own respective accounts, in Dollars, fees in the amounts and at the times specified in each applicable Fee Letter. Such fees shall be fully earned when paid and shall not be refundable for any reason whatsoever.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The Company shall pay to the Lenders, in Dollars, such fees as shall have been separately agreed upon in writing in the amounts and at the times so specified. Such fees shall be fully earned when paid and shall not be refundable for any reason whatsoever.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2.10</w:t>
      </w:r>
      <w:r>
        <w:rPr>
          <w:rFonts w:ascii="Times New Roman;Times;serif" w:hAnsi="Times New Roman;Times;serif"/>
          <w:b/>
          <w:sz w:val="22"/>
        </w:rPr>
        <w:t>Computation of Interest and Fees</w:t>
      </w:r>
      <w:r>
        <w:rPr>
          <w:rFonts w:ascii="Times New Roman;Times;serif" w:hAnsi="Times New Roman;Times;serif"/>
          <w:sz w:val="22"/>
        </w:rPr>
        <w:t xml:space="preserve">. All computations of interest for Base Rate Loans (including Base Rate Loans determined by reference to Term SOFR) and for Committed Loans denominated in Alternative Currencies (other than Alternative Currency Loans determined by reference to EURIBOR and Euro Swing Line Loans determined by reference to ESTR) shall be made on the basis of a year of 365 or 366 days, as the case may be, and actual days elapsed. All other computations of fees and interest, including those with respect to Alternative Currency Loans determined by reference to EURIBOR and Euro Swing Line Loans determined by reference to ESTR, shall be made on the basis of a 360-day year and actual days elapsed (which results in more fees or interest, as applicable, being paid than if computed on the basis of a 365-day year), or, in the case of interest in respect of Committed Loans denominated in Alternative Currencies as to which market practice differs from the foregoing, in accordance with such market practice. Interest shall accrue on each Loan for the day on which the Loan is made, and shall not accrue on a Loan, or any portion thereof, for the day on which the Loan or such portion is paid,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any Loan that is repaid on the same day on which it is made shall, subject to </w:t>
      </w:r>
      <w:r>
        <w:rPr>
          <w:rFonts w:ascii="Times New Roman;Times;serif" w:hAnsi="Times New Roman;Times;serif"/>
          <w:sz w:val="22"/>
          <w:u w:val="single"/>
        </w:rPr>
        <w:t>Section 2.12(a)</w:t>
      </w:r>
      <w:r>
        <w:rPr>
          <w:rFonts w:ascii="Times New Roman;Times;serif" w:hAnsi="Times New Roman;Times;serif"/>
          <w:sz w:val="22"/>
        </w:rPr>
        <w:t>, bear interest for one day. Each determination by the Administrative Agent of an interest rate or fee hereunder shall be conclusive and binding for all purposes, absent manifest error.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2.11</w:t>
      </w:r>
      <w:r>
        <w:rPr>
          <w:rFonts w:ascii="Times New Roman;Times;serif" w:hAnsi="Times New Roman;Times;serif"/>
          <w:b/>
          <w:sz w:val="22"/>
        </w:rPr>
        <w:t>Evidence of Debt</w:t>
      </w:r>
      <w:r>
        <w:rPr>
          <w:rFonts w:ascii="Times New Roman;Times;serif" w:hAnsi="Times New Roman;Times;serif"/>
          <w:sz w:val="22"/>
        </w:rPr>
        <w:t>. (a) The Credit Extensions made by each Lender shall be evidenced by one or more accounts or records maintained by such Lender and by the Administrative Agent in the ordinary course of business. The accounts or records maintained by the Administrative Agent and each</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Lender shall be conclusive absent manifest error of the amount of the Credit Extensions made by the Lenders to the Borrowers and the interest and payments thereon. Any failure to so record or any error in doing so shall not, however, limit or otherwise affect the obligation of the Borrowers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to a Borrower made through the Administrative Agent, such Borrower shall execute and deliver to such Lender (through the Administrative Agent) a Note, which shall evidence such Lender’s Loans to such Borrower in addition to such accounts or records. Each Lender may attach schedules to a Note and endorse thereon the date, Type (if applicable), amount, currency and maturity of its Loans and payments with respect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In addition to the accounts and records referred to in </w:t>
      </w:r>
      <w:r>
        <w:rPr>
          <w:rFonts w:ascii="Times New Roman;Times;serif" w:hAnsi="Times New Roman;Times;serif"/>
          <w:sz w:val="22"/>
          <w:u w:val="single"/>
        </w:rPr>
        <w:t>subsection (a)</w:t>
      </w:r>
      <w:r>
        <w:rPr>
          <w:rFonts w:ascii="Times New Roman;Times;serif" w:hAnsi="Times New Roman;Times;serif"/>
          <w:sz w:val="22"/>
        </w:rPr>
        <w:t>,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2.12</w:t>
      </w:r>
      <w:r>
        <w:rPr>
          <w:rFonts w:ascii="Times New Roman;Times;serif" w:hAnsi="Times New Roman;Times;serif"/>
          <w:b/>
          <w:sz w:val="22"/>
        </w:rPr>
        <w:t>Payments Generally; Administrative Agent’s Clawback</w:t>
      </w:r>
      <w:r>
        <w:rPr>
          <w:rFonts w:ascii="Times New Roman;Times;serif" w:hAnsi="Times New Roman;Times;serif"/>
          <w:sz w:val="22"/>
        </w:rPr>
        <w:t xml:space="preserve">. (a) </w:t>
      </w:r>
      <w:r>
        <w:rPr>
          <w:rFonts w:ascii="Times New Roman;Times;serif" w:hAnsi="Times New Roman;Times;serif"/>
          <w:sz w:val="22"/>
          <w:u w:val="single"/>
        </w:rPr>
        <w:t>General</w:t>
      </w:r>
      <w:r>
        <w:rPr>
          <w:rFonts w:ascii="Times New Roman;Times;serif" w:hAnsi="Times New Roman;Times;serif"/>
          <w:sz w:val="22"/>
        </w:rPr>
        <w:t>. All payments to be made by the Borrowers shall be made free and clear of and without condition or deduction for any counterclaim, defense, recoupment or setoff. Except as otherwise expressly provided herein and except with respect to principal of and interest on Loans denominated in an Alternative Currency, all payments by the Borrowers hereunder shall be made to the Administrative Agent, for the account of the respective Lenders to which such payment is owed, at the applicable Administrative Agent’s Office in Dollars and in Same Day Funds not later than 11:00 a.m. on the date specified herein. Except as otherwise expressly provided herein, all payments by the Borrowers hereunder with respect to principal and interest on Loans denominated in an Alternative Currency shall be made to the Administrative Agent, for the account of the respective Lenders to which such payment is owed, at the applicable Administrative Agent’s Office in such Alternative Currency and in Same Day Funds not later than the Applicable Time specified by the Administrative Agent on the dates specified herein. Without limiting the generality of the foregoing, the Administrative Agent may require that any payments due under this Agreement be made in the United States. If, for any reason, any Borrower is prohibited by any Law from making any required payment hereunder in an Alternative Currency, such Borrower shall make such payment in Dollars in the Dollar Equivalent of the Alternative Currency payment amount. The Administrative Agent will promptly distribute to each Lender its Applicable Percentage (or other applicable share as provided herein) of such payment in like funds as received by wire transfer to such Lender’s Lending Office. All payments received by the Administrative Agent (i) after 11:00 a.m., in the case of payments in Dollars, or (ii) after the Applicable Time specified by the Administrative Agent in the case of payments in an Alternative Currency, shall in each case be deemed received on the next succeeding Business Day and any applicable interest or fee shall continue to accrue. If any payment to be made by any Borrower shall come due on a day other than a Business Day, payment shall be made on the next following Business Day, and such extension of time shall be reflected in computing interest or fees,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(i) </w:t>
      </w:r>
      <w:r>
        <w:rPr>
          <w:rFonts w:ascii="Times New Roman;Times;serif" w:hAnsi="Times New Roman;Times;serif"/>
          <w:sz w:val="22"/>
          <w:u w:val="single"/>
        </w:rPr>
        <w:t>Funding by Lenders; Presumption by Administrative Agent</w:t>
      </w:r>
      <w:r>
        <w:rPr>
          <w:rFonts w:ascii="Times New Roman;Times;serif" w:hAnsi="Times New Roman;Times;serif"/>
          <w:sz w:val="22"/>
        </w:rPr>
        <w:t xml:space="preserve">. Unless the Administrative Agent shall have received notice from a Lender prior to the proposed date of any Committed Borrowing (or, in the case of any Committed Borrowing of Base Rate Loans requested on the same day that the applicable Committed Loan Notice is delivered, by 9:00 a.m. on the date of such Committed Borrowing) that such Lender will not make available to the Administrative Agent such Lender’s share of such Committed Borrowing, the Administrative Agent may assume that such Lender has made such share available on such date in accordance with </w:t>
      </w:r>
      <w:r>
        <w:rPr>
          <w:rFonts w:ascii="Times New Roman;Times;serif" w:hAnsi="Times New Roman;Times;serif"/>
          <w:sz w:val="22"/>
          <w:u w:val="single"/>
        </w:rPr>
        <w:t>Section 2.02</w:t>
      </w:r>
      <w:r>
        <w:rPr>
          <w:rFonts w:ascii="Times New Roman;Times;serif" w:hAnsi="Times New Roman;Times;serif"/>
          <w:sz w:val="20"/>
        </w:rPr>
        <w:t xml:space="preserve"> </w:t>
      </w:r>
      <w:r>
        <w:rPr>
          <w:rFonts w:ascii="Times New Roman;Times;serif" w:hAnsi="Times New Roman;Times;serif"/>
          <w:sz w:val="22"/>
        </w:rPr>
        <w:t>and may, in reliance upon</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such assumption, make available to the applicable Borrower a corresponding amount. In such event, if a Lender has not in fact made its share of the applicable Committed Borrowing available to the Administrative Agent, then the applicable Lender and the applicable Borrower severally agree to pay to the Administrative Agent forthwith on demand such corresponding amount in Same Day Funds with interest thereon, for each day from and including the date such amount is made available to such Borrower to but excluding the date of payment to the Administrative Agent, at (A) in the case of a payment to be made by such Lender, the Overnight Rate,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any administrative, processing or similar fees customarily charged by the Administrative Agent in connection with the foregoing, and (B) in the case of a payment to be made by such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Committed Borrowing to the Administrative Agent, then the amount so paid shall constitute such Lender’s Committed Loan included in such Committed Borrowing. Any payment by such Borrower shall be without prejudice to any claim such Borrower may have against a Lender that shall have failed to make such payment to the Administrative Agent.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u w:val="single"/>
        </w:rPr>
        <w:t>Payments by Borrowers; Presumptions by Administrative Agent</w:t>
      </w:r>
      <w:r>
        <w:rPr>
          <w:rFonts w:ascii="Times New Roman;Times;serif" w:hAnsi="Times New Roman;Times;serif"/>
          <w:sz w:val="22"/>
        </w:rPr>
        <w:t>. Unless the Administrative Agent shall have received notice from a Borrower prior to the date on which any payment is due to the Administrative Agent for the account of the Lenders or any L/C Issuer hereunder that such Borrower will not make such payment, the Administrative Agent may assume that such Borrower has made such payment on such date in accordance herewith and may, in reliance upon such assumption, distribute to the Lenders or such L/C Issuer, as the case may be, the amount due.</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2"/>
        </w:rPr>
        <w:t>With respect to any payment that the Administrative Agent makes for the account of the Lenders or any L/C Issuer hereunder as to which the Administrative Agent determines (which determination shall be conclusive absent manifest error) that any of the following applies (such payment referred to as the “</w:t>
      </w:r>
      <w:r>
        <w:rPr>
          <w:rFonts w:ascii="Times New Roman;Times;serif" w:hAnsi="Times New Roman;Times;serif"/>
          <w:sz w:val="22"/>
          <w:u w:val="single"/>
        </w:rPr>
        <w:t>Rescindable Amount</w:t>
      </w:r>
      <w:r>
        <w:rPr>
          <w:rFonts w:ascii="Times New Roman;Times;serif" w:hAnsi="Times New Roman;Times;serif"/>
          <w:sz w:val="20"/>
        </w:rPr>
        <w:t>”</w:t>
      </w:r>
      <w:r>
        <w:rPr>
          <w:rFonts w:ascii="Times New Roman;Times;serif" w:hAnsi="Times New Roman;Times;serif"/>
          <w:sz w:val="22"/>
        </w:rPr>
        <w:t>): (1) the applicable Borrower has not in fact made such payment; (2) the Administrative Agent has made a payment in excess of the amount so paid by such Borrower (whether or not then owed); or (3) the Administrative agent has for any reason otherwise erroneously made such payment; then each of the Lenders or the applicable L/C Issuers, as the case may be, severally agrees to repay to the Administrative Agent forthwith on demand the Rescindable Amount so distributed to such Lender or such L/C Issuer, in Same Day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pStyle w:val="TextBody"/>
        <w:bidi w:val="0"/>
        <w:spacing w:before="0" w:after="240"/>
        <w:ind w:left="720" w:right="0" w:firstLine="21"/>
        <w:jc w:val="left"/>
        <w:rPr>
          <w:rFonts w:ascii="Times New Roman;Times;serif" w:hAnsi="Times New Roman;Times;serif"/>
          <w:sz w:val="20"/>
        </w:rPr>
      </w:pPr>
      <w:r>
        <w:rPr>
          <w:rFonts w:ascii="Times New Roman;Times;serif" w:hAnsi="Times New Roman;Times;serif"/>
          <w:sz w:val="22"/>
        </w:rPr>
        <w:t xml:space="preserve">A notice of the Administrative Agent to any Lender or Borrower with respect to any amount owing under this </w:t>
      </w:r>
      <w:r>
        <w:rPr>
          <w:rFonts w:ascii="Times New Roman;Times;serif" w:hAnsi="Times New Roman;Times;serif"/>
          <w:sz w:val="22"/>
          <w:u w:val="single"/>
        </w:rPr>
        <w:t>subsection (b)</w:t>
      </w:r>
      <w:r>
        <w:rPr>
          <w:rFonts w:ascii="Times New Roman;Times;serif" w:hAnsi="Times New Roman;Times;serif"/>
          <w:sz w:val="20"/>
        </w:rPr>
        <w:t xml:space="preserve"> </w:t>
      </w:r>
      <w:r>
        <w:rPr>
          <w:rFonts w:ascii="Times New Roman;Times;serif" w:hAnsi="Times New Roman;Times;serif"/>
          <w:sz w:val="22"/>
        </w:rPr>
        <w:t>shall be conclusive, absent manifest error.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Failure to Satisfy Conditions Precedent</w:t>
      </w:r>
      <w:r>
        <w:rPr>
          <w:rFonts w:ascii="Times New Roman;Times;serif" w:hAnsi="Times New Roman;Times;serif"/>
          <w:sz w:val="22"/>
        </w:rPr>
        <w:t xml:space="preserve">. If any Lender makes available to the Administrative Agent funds for any Loan to be made by such Lender to any Borrower as provided in the foregoing provisions of this </w:t>
      </w:r>
      <w:r>
        <w:rPr>
          <w:rFonts w:ascii="Times New Roman;Times;serif" w:hAnsi="Times New Roman;Times;serif"/>
          <w:sz w:val="22"/>
          <w:u w:val="single"/>
        </w:rPr>
        <w:t>Article II</w:t>
      </w:r>
      <w:r>
        <w:rPr>
          <w:rFonts w:ascii="Times New Roman;Times;serif" w:hAnsi="Times New Roman;Times;serif"/>
          <w:sz w:val="22"/>
        </w:rPr>
        <w:t xml:space="preserve">, and such funds are not made available to such Borrower by the Administrative Agent because the conditions to the applicable Credit Extension set forth in </w:t>
      </w:r>
      <w:r>
        <w:rPr>
          <w:rFonts w:ascii="Times New Roman;Times;serif" w:hAnsi="Times New Roman;Times;serif"/>
          <w:sz w:val="22"/>
          <w:u w:val="single"/>
        </w:rPr>
        <w:t>Article IV</w:t>
      </w:r>
      <w:r>
        <w:rPr>
          <w:rFonts w:ascii="Times New Roman;Times;serif" w:hAnsi="Times New Roman;Times;serif"/>
          <w:sz w:val="20"/>
        </w:rPr>
        <w:t xml:space="preserve"> </w:t>
      </w:r>
      <w:r>
        <w:rPr>
          <w:rFonts w:ascii="Times New Roman;Times;serif" w:hAnsi="Times New Roman;Times;serif"/>
          <w:sz w:val="22"/>
        </w:rPr>
        <w:t>are not satisfied or waived in accordance with the terms hereof, the Administrative Agent shall promptly return such funds (in like funds as received from such Lender) to such Lender, without interest.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Obligations of Lenders Several</w:t>
      </w:r>
      <w:r>
        <w:rPr>
          <w:rFonts w:ascii="Times New Roman;Times;serif" w:hAnsi="Times New Roman;Times;serif"/>
          <w:sz w:val="22"/>
        </w:rPr>
        <w:t>. The obligations of the Lenders hereunder to make Committed Loans, to fund participations in Letters of Credit and Swing Line Loans and to make</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payments pursuant to </w:t>
      </w:r>
      <w:r>
        <w:rPr>
          <w:rFonts w:ascii="Times New Roman;Times;serif" w:hAnsi="Times New Roman;Times;serif"/>
          <w:sz w:val="22"/>
          <w:u w:val="single"/>
        </w:rPr>
        <w:t>Section 10.04(c)</w:t>
      </w:r>
      <w:r>
        <w:rPr>
          <w:rFonts w:ascii="Times New Roman;Times;serif" w:hAnsi="Times New Roman;Times;serif"/>
          <w:sz w:val="20"/>
        </w:rPr>
        <w:t xml:space="preserve"> </w:t>
      </w:r>
      <w:r>
        <w:rPr>
          <w:rFonts w:ascii="Times New Roman;Times;serif" w:hAnsi="Times New Roman;Times;serif"/>
          <w:sz w:val="22"/>
        </w:rPr>
        <w:t xml:space="preserve">are several and not joint. The failure of any Lender to make any Committed Loan, to fund any such participation or to make any payment under </w:t>
      </w:r>
      <w:r>
        <w:rPr>
          <w:rFonts w:ascii="Times New Roman;Times;serif" w:hAnsi="Times New Roman;Times;serif"/>
          <w:sz w:val="22"/>
          <w:u w:val="single"/>
        </w:rPr>
        <w:t>Section 10.04(c)</w:t>
      </w:r>
      <w:r>
        <w:rPr>
          <w:rFonts w:ascii="Times New Roman;Times;serif" w:hAnsi="Times New Roman;Times;serif"/>
          <w:sz w:val="20"/>
        </w:rPr>
        <w:t xml:space="preserve"> </w:t>
      </w:r>
      <w:r>
        <w:rPr>
          <w:rFonts w:ascii="Times New Roman;Times;serif" w:hAnsi="Times New Roman;Times;serif"/>
          <w:sz w:val="22"/>
        </w:rPr>
        <w:t xml:space="preserve">on any date required hereunder shall not relieve any other Lender of its corresponding obligation to do so on such date, and no Lender shall be responsible for the failure of any other Lender to so make its Committed Loan, to purchase its participation or to make its payment under </w:t>
      </w:r>
      <w:r>
        <w:rPr>
          <w:rFonts w:ascii="Times New Roman;Times;serif" w:hAnsi="Times New Roman;Times;serif"/>
          <w:sz w:val="22"/>
          <w:u w:val="single"/>
        </w:rPr>
        <w:t>Section 10.04(c)</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u w:val="single"/>
        </w:rPr>
        <w:t>Funding Source</w:t>
      </w:r>
      <w:r>
        <w:rPr>
          <w:rFonts w:ascii="Times New Roman;Times;serif" w:hAnsi="Times New Roman;Times;serif"/>
          <w:sz w:val="22"/>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2.13</w:t>
      </w:r>
      <w:r>
        <w:rPr>
          <w:rFonts w:ascii="Times New Roman;Times;serif" w:hAnsi="Times New Roman;Times;serif"/>
          <w:b/>
          <w:sz w:val="22"/>
        </w:rPr>
        <w:t>Sharing of Payments by Lenders</w:t>
      </w:r>
      <w:r>
        <w:rPr>
          <w:rFonts w:ascii="Times New Roman;Times;serif" w:hAnsi="Times New Roman;Times;serif"/>
          <w:sz w:val="22"/>
        </w:rPr>
        <w:t xml:space="preserve">. If any Lender shall, by exercising any right of setoff or counterclaim or otherwise, obtain payment in respect of any principal of or interest on any of the Committed Loans made by it, or the participations in L/C Obligations or in Swing Line Loans held by it resulting in such Lender’s receiving payment of a proportion of the aggregate amount of such Committed Loans or participations and accrued interest thereon greater than its pro rata share thereof as provided herein, then the Lender receiving such greater proportion shall (a) notify the Administrative Agent of such fact, and (b) purchase (for cash at face value) participations in the Committed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Committed Loans and other amounts owing them,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 xml:space="preserve">the provisions of this </w:t>
      </w:r>
      <w:r>
        <w:rPr>
          <w:rFonts w:ascii="Times New Roman;Times;serif" w:hAnsi="Times New Roman;Times;serif"/>
          <w:sz w:val="22"/>
          <w:u w:val="single"/>
        </w:rPr>
        <w:t>Section 2.13</w:t>
      </w:r>
      <w:r>
        <w:rPr>
          <w:rFonts w:ascii="Times New Roman;Times;serif" w:hAnsi="Times New Roman;Times;serif"/>
          <w:sz w:val="20"/>
        </w:rPr>
        <w:t xml:space="preserve"> </w:t>
      </w:r>
      <w:r>
        <w:rPr>
          <w:rFonts w:ascii="Times New Roman;Times;serif" w:hAnsi="Times New Roman;Times;serif"/>
          <w:sz w:val="22"/>
        </w:rPr>
        <w:t xml:space="preserve">shall not be construed to apply to (x) any payment made by or on behalf of any Borrower pursuant to and in accordance with the express terms of this Agreement (including the application of funds arising from the existence of a Defaulting Lender), (y) the application of Cash Collateral provided for in </w:t>
      </w:r>
      <w:r>
        <w:rPr>
          <w:rFonts w:ascii="Times New Roman;Times;serif" w:hAnsi="Times New Roman;Times;serif"/>
          <w:sz w:val="22"/>
          <w:u w:val="single"/>
        </w:rPr>
        <w:t>Section 2.16</w:t>
      </w:r>
      <w:r>
        <w:rPr>
          <w:rFonts w:ascii="Times New Roman;Times;serif" w:hAnsi="Times New Roman;Times;serif"/>
          <w:sz w:val="22"/>
        </w:rPr>
        <w:t>, or (z) any payment obtained by a Lender as consideration for the assignment of or sale of a participation in any of its Committed Loans or subparticipations in L/C Obligations or Swing Line Loans to any assignee or participant, other than an assignment to the Company or any Subsidiary thereof (as to which the provisions of this Section shall apply).</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2.14</w:t>
      </w:r>
      <w:r>
        <w:rPr>
          <w:rFonts w:ascii="Times New Roman;Times;serif" w:hAnsi="Times New Roman;Times;serif"/>
          <w:b/>
          <w:sz w:val="22"/>
        </w:rPr>
        <w:t>Designated Borrowers</w:t>
      </w:r>
      <w:r>
        <w:rPr>
          <w:rFonts w:ascii="Times New Roman;Times;serif" w:hAnsi="Times New Roman;Times;serif"/>
          <w:sz w:val="22"/>
        </w:rPr>
        <w:t>. (a) The Company may at any time, upon not less than 15 Business Days’ notice from the Company to the Administrative Agent (or such shorter period as may be agreed by the Administrative Agent in its sole discretion), designate any additional direct or indirect, wholly-owned Subsidiary of the Company acceptable to the Administrative Agent, in its reasonable discretion, as a Designated Borrower (an “</w:t>
      </w:r>
      <w:r>
        <w:rPr>
          <w:rFonts w:ascii="Times New Roman;Times;serif" w:hAnsi="Times New Roman;Times;serif"/>
          <w:sz w:val="22"/>
          <w:u w:val="single"/>
        </w:rPr>
        <w:t>Applicant Borrower</w:t>
      </w:r>
      <w:r>
        <w:rPr>
          <w:rFonts w:ascii="Times New Roman;Times;serif" w:hAnsi="Times New Roman;Times;serif"/>
          <w:sz w:val="20"/>
        </w:rPr>
        <w:t>”</w:t>
      </w:r>
      <w:r>
        <w:rPr>
          <w:rFonts w:ascii="Times New Roman;Times;serif" w:hAnsi="Times New Roman;Times;serif"/>
          <w:sz w:val="22"/>
        </w:rPr>
        <w:t xml:space="preserve">) to receive Loans and request Letters of Credit hereunder by delivering to the Administrative Agent (which shall promptly deliver counterparts thereof to each Lender) a duly executed notice and agreement in substantially the form of </w:t>
      </w:r>
      <w:r>
        <w:rPr>
          <w:rFonts w:ascii="Times New Roman;Times;serif" w:hAnsi="Times New Roman;Times;serif"/>
          <w:sz w:val="22"/>
          <w:u w:val="single"/>
        </w:rPr>
        <w:t>Exhibit G</w:t>
      </w:r>
      <w:r>
        <w:rPr>
          <w:rFonts w:ascii="Times New Roman;Times;serif" w:hAnsi="Times New Roman;Times;serif"/>
          <w:sz w:val="20"/>
        </w:rPr>
        <w:t xml:space="preserve"> </w:t>
      </w:r>
      <w:r>
        <w:rPr>
          <w:rFonts w:ascii="Times New Roman;Times;serif" w:hAnsi="Times New Roman;Times;serif"/>
          <w:sz w:val="22"/>
        </w:rPr>
        <w:t>(a “</w:t>
      </w:r>
      <w:r>
        <w:rPr>
          <w:rFonts w:ascii="Times New Roman;Times;serif" w:hAnsi="Times New Roman;Times;serif"/>
          <w:sz w:val="22"/>
          <w:u w:val="single"/>
        </w:rPr>
        <w:t>Designated Borrower Request and Assumption Agreement</w:t>
      </w:r>
      <w:r>
        <w:rPr>
          <w:rFonts w:ascii="Times New Roman;Times;serif" w:hAnsi="Times New Roman;Times;serif"/>
          <w:sz w:val="20"/>
        </w:rPr>
        <w:t>”</w:t>
      </w:r>
      <w:r>
        <w:rPr>
          <w:rFonts w:ascii="Times New Roman;Times;serif" w:hAnsi="Times New Roman;Times;serif"/>
          <w:sz w:val="22"/>
        </w:rPr>
        <w:t>). The parties hereto acknowledge and agree that prior to any Applicant Borrower becoming entitled to utilize the credit facilities provided for herein the Administrative Agent and the Lenders shall have received such supporting resolutions, incumbency</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certificates, opinions of counsel and other documents or information, in form and content reasonably satisfactory to the Administrative Agent, as may be required by the Administrative Agent or any Lender in its sole discretion (including such documents and other information as the Administrative Agent or any Lender may reasonably request in order to comply with its ongoing obligations under applicable “know your customer” and anti-money laundering rules and regulations and with the Beneficial Ownership Regulations, if applicable), and Notes signed by such new Borrowers to the extent any Lenders so require. If the Administrative Agent agrees that an Applicant Borrower shall be entitled to receive Loans and to request Letters of Credit hereunder, then promptly following receipt of all such requested resolutions, incumbency certificates, opinions of counsel and other documents or information, the Administrative Agent shall send a notice in substantially the form of </w:t>
      </w:r>
      <w:r>
        <w:rPr>
          <w:rFonts w:ascii="Times New Roman;Times;serif" w:hAnsi="Times New Roman;Times;serif"/>
          <w:sz w:val="22"/>
          <w:u w:val="single"/>
        </w:rPr>
        <w:t>Exhibit H</w:t>
      </w:r>
      <w:r>
        <w:rPr>
          <w:rFonts w:ascii="Times New Roman;Times;serif" w:hAnsi="Times New Roman;Times;serif"/>
          <w:sz w:val="20"/>
        </w:rPr>
        <w:t xml:space="preserve"> </w:t>
      </w:r>
      <w:r>
        <w:rPr>
          <w:rFonts w:ascii="Times New Roman;Times;serif" w:hAnsi="Times New Roman;Times;serif"/>
          <w:sz w:val="22"/>
        </w:rPr>
        <w:t>(a “</w:t>
      </w:r>
      <w:r>
        <w:rPr>
          <w:rFonts w:ascii="Times New Roman;Times;serif" w:hAnsi="Times New Roman;Times;serif"/>
          <w:sz w:val="22"/>
          <w:u w:val="single"/>
        </w:rPr>
        <w:t>Designated Borrower Notice</w:t>
      </w:r>
      <w:r>
        <w:rPr>
          <w:rFonts w:ascii="Times New Roman;Times;serif" w:hAnsi="Times New Roman;Times;serif"/>
          <w:sz w:val="20"/>
        </w:rPr>
        <w:t>”</w:t>
      </w:r>
      <w:r>
        <w:rPr>
          <w:rFonts w:ascii="Times New Roman;Times;serif" w:hAnsi="Times New Roman;Times;serif"/>
          <w:sz w:val="22"/>
        </w:rPr>
        <w:t xml:space="preserve">) to the Company and the Lenders specifying the effective date upon which the Applicant Borrower shall constitute a Designated Borrower for purposes hereof, whereupon each of the Lenders agrees to permit such Designated Borrower to receive Loans and to request Letters of Credit hereunder, on the terms and conditions set forth herein, except to the extent (i) it is unlawful for any such Lender to do so, (ii) any Governmental Authority has asserted that it is unlawful for any Lender to do so or (iii) any Lender has determined in good faith that it is unlawful to do so (any such Lender described in the above </w:t>
      </w:r>
      <w:r>
        <w:rPr>
          <w:rFonts w:ascii="Times New Roman;Times;serif" w:hAnsi="Times New Roman;Times;serif"/>
          <w:sz w:val="22"/>
          <w:u w:val="single"/>
        </w:rPr>
        <w:t>clauses (i)</w:t>
      </w:r>
      <w:r>
        <w:rPr>
          <w:rFonts w:ascii="Times New Roman;Times;serif" w:hAnsi="Times New Roman;Times;serif"/>
          <w:sz w:val="20"/>
        </w:rPr>
        <w:t xml:space="preserve"> </w:t>
      </w:r>
      <w:r>
        <w:rPr>
          <w:rFonts w:ascii="Times New Roman;Times;serif" w:hAnsi="Times New Roman;Times;serif"/>
          <w:sz w:val="22"/>
        </w:rPr>
        <w:t xml:space="preserve">through </w:t>
      </w:r>
      <w:r>
        <w:rPr>
          <w:rFonts w:ascii="Times New Roman;Times;serif" w:hAnsi="Times New Roman;Times;serif"/>
          <w:sz w:val="22"/>
          <w:u w:val="single"/>
        </w:rPr>
        <w:t>(iii)</w:t>
      </w:r>
      <w:r>
        <w:rPr>
          <w:rFonts w:ascii="Times New Roman;Times;serif" w:hAnsi="Times New Roman;Times;serif"/>
          <w:sz w:val="22"/>
        </w:rPr>
        <w:t>, a “</w:t>
      </w:r>
      <w:r>
        <w:rPr>
          <w:rFonts w:ascii="Times New Roman;Times;serif" w:hAnsi="Times New Roman;Times;serif"/>
          <w:sz w:val="22"/>
          <w:u w:val="single"/>
        </w:rPr>
        <w:t>Restricted Lender</w:t>
      </w:r>
      <w:r>
        <w:rPr>
          <w:rFonts w:ascii="Times New Roman;Times;serif" w:hAnsi="Times New Roman;Times;serif"/>
          <w:sz w:val="20"/>
        </w:rPr>
        <w:t>”</w:t>
      </w:r>
      <w:r>
        <w:rPr>
          <w:rFonts w:ascii="Times New Roman;Times;serif" w:hAnsi="Times New Roman;Times;serif"/>
          <w:sz w:val="22"/>
        </w:rPr>
        <w:t xml:space="preserve">), and each of the parties agrees that such Designated Borrower otherwise shall be a Borrower for all purposes of this Agreement;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(x) that no Committed Loan Notice or Letter of Credit Application may be submitted by or on behalf of such Designated Borrower until the date five Business Days after such effective date; and (y) such Applicant shall, as a condition precedent to becoming a Designated Borrower, cause, at its sole cost and expense, such local counsel opinions to be delivered to the Administrative Agent in the form attached hereto as </w:t>
      </w:r>
      <w:r>
        <w:rPr>
          <w:rFonts w:ascii="Times New Roman;Times;serif" w:hAnsi="Times New Roman;Times;serif"/>
          <w:sz w:val="22"/>
          <w:u w:val="single"/>
        </w:rPr>
        <w:t>Exhibit K</w:t>
      </w:r>
      <w:r>
        <w:rPr>
          <w:rFonts w:ascii="Times New Roman;Times;serif" w:hAnsi="Times New Roman;Times;serif"/>
          <w:sz w:val="20"/>
        </w:rPr>
        <w:t xml:space="preserve"> </w:t>
      </w:r>
      <w:r>
        <w:rPr>
          <w:rFonts w:ascii="Times New Roman;Times;serif" w:hAnsi="Times New Roman;Times;serif"/>
          <w:sz w:val="22"/>
        </w:rPr>
        <w:t>or such other form and substance as is reasonably acceptable to the Administrative Agent and from counsel satisfactory to the Administrative Agent (a “</w:t>
      </w:r>
      <w:r>
        <w:rPr>
          <w:rFonts w:ascii="Times New Roman;Times;serif" w:hAnsi="Times New Roman;Times;serif"/>
          <w:sz w:val="22"/>
          <w:u w:val="single"/>
        </w:rPr>
        <w:t>Foreign Obligor Opinion</w:t>
      </w:r>
      <w:r>
        <w:rPr>
          <w:rFonts w:ascii="Times New Roman;Times;serif" w:hAnsi="Times New Roman;Times;serif"/>
          <w:sz w:val="20"/>
        </w:rPr>
        <w:t>”</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2"/>
        </w:rPr>
        <w:t xml:space="preserve">, that such opinion shall only constitute a condition precedent to designation as a Designated Borrower if Borrowings in Alternative Currencies to be made available to such Designated Borrower, if so designated, would exceed the Alternative Currency Equivalent of (i) $50,000,000 or (ii) when aggregated with Borrowings in Alternative Currencies made available to other Designated Borrowers hereunder, $75,000,000. Each Subsidiary that is or becomes a Designated Borrower pursuant to this </w:t>
      </w:r>
      <w:r>
        <w:rPr>
          <w:rFonts w:ascii="Times New Roman;Times;serif" w:hAnsi="Times New Roman;Times;serif"/>
          <w:sz w:val="22"/>
          <w:u w:val="single"/>
        </w:rPr>
        <w:t xml:space="preserve">Section 2.14 </w:t>
      </w:r>
      <w:r>
        <w:rPr>
          <w:rFonts w:ascii="Times New Roman;Times;serif" w:hAnsi="Times New Roman;Times;serif"/>
          <w:sz w:val="22"/>
        </w:rPr>
        <w:t>shall at all times remain a direct or indirect, wholly-owned Subsidiary of the Company for so long as such Person is a Designated Borrower. No Lender that is a Restricted Lender with respect to any Designated Borrower shall be obligated to fund a Loan or any portion thereof to such Designated Borrower. Notwithstanding the foregoing, any Loans previously funded by such Restricted Lender to such Designated Borrower or Letters of Credit issued by such Restricted Lender on behalf of such Designated Borrower shall remain outstanding and be repaid or drawn upon, as applicable, in accordance with the terms hereof unless required by applicable Law, with respect to any such Loans, to be repaid at an earlier time, in which case the applicable Loan or Loans shall be repaid at the time required by applicable Law or, with respect to any such Letters of Credit, required to be terminated or drawn upon, in which case the applicable Letter of Credit shall be terminated or drawn upon, as the case may be, at the time required by applicable Law. Each Designated Borrower shall be permitted to request Credit Extensions in the form of Borrowings and L/C Credit Extensions in accordance with the terms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The Obligations of all Designated Borrowers shall be several in nature with respect to the repayment of principal and interest, letter of credit fronting fees, and reimbursement and other similar obligations with respect to only the Borrowings made by, and Letters of Credit issued on behalf of, such Designated Borrower, </w:t>
      </w:r>
      <w:r>
        <w:rPr>
          <w:rFonts w:ascii="Times New Roman;Times;serif" w:hAnsi="Times New Roman;Times;serif"/>
          <w:sz w:val="22"/>
          <w:u w:val="single"/>
        </w:rPr>
        <w:t>provided</w:t>
      </w:r>
      <w:r>
        <w:rPr>
          <w:rFonts w:ascii="Times New Roman;Times;serif" w:hAnsi="Times New Roman;Times;serif"/>
          <w:sz w:val="22"/>
        </w:rPr>
        <w:t>, that (i) the foregoing shall not limit the unconditional and irrevocable obligation of the Company with respect thereto pursuant to the Guaranty, and (ii) all of the Borrowers shall be responsible, jointly and severally, for facility fees, indemnification obligations, reimbursement of costs and other similar obligations hereunder.</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Each Subsidiary of the Company that is or becomes a Designated Borrower pursuant to this </w:t>
      </w:r>
      <w:r>
        <w:rPr>
          <w:rFonts w:ascii="Times New Roman;Times;serif" w:hAnsi="Times New Roman;Times;serif"/>
          <w:sz w:val="22"/>
          <w:u w:val="single"/>
        </w:rPr>
        <w:t>Section 2.14</w:t>
      </w:r>
      <w:r>
        <w:rPr>
          <w:rFonts w:ascii="Times New Roman;Times;serif" w:hAnsi="Times New Roman;Times;serif"/>
          <w:sz w:val="20"/>
        </w:rPr>
        <w:t xml:space="preserve"> </w:t>
      </w:r>
      <w:r>
        <w:rPr>
          <w:rFonts w:ascii="Times New Roman;Times;serif" w:hAnsi="Times New Roman;Times;serif"/>
          <w:sz w:val="22"/>
        </w:rPr>
        <w:t>hereby irrevocably appoints the Company as its agent for all purposes relevant to this Agreement and each of the other Loan Documents, including (i) the giving and receipt of notices, (ii) the execution and delivery of all documents, instruments and certificates contemplated herein and all modifications hereto, and (iii) the receipt of the proceeds of any Loans made by the Lenders, to any such Designated Borrower hereunder. Any acknowledgment, consent, direction, certification or other action which might otherwise be valid or effective only if given or taken by all Borrowers, or by each Borrower acting singly, shall be valid and effective if given or taken only by the Company, whether or not any such other Borrower joins therein. Any notice, demand, consent, acknowledgement, direction, certification or other communication delivered to the Company in accordance with the terms of this Agreement shall be deemed to have been delivered to each Designated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 xml:space="preserve">The Company may from time to time, upon not less than 10 Business Days’ notice from the Company to the Administrative Agent (or such shorter period as may be agreed by the Administrative Agent in its sole discretion), terminate a Designated Borrower’s status as such,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there are no outstanding Loans payable by such Designated Borrower, or other amounts payable by such Designated Borrower on account of any Loans made to it, as of the effective date of such termination. The Administrative Agent will promptly notify the Lenders of any such termination of a Designated Borrower’s status.</w:t>
      </w:r>
    </w:p>
    <w:tbl>
      <w:tblPr>
        <w:tblW w:w="3948" w:type="dxa"/>
        <w:jc w:val="left"/>
        <w:tblInd w:w="0" w:type="dxa"/>
        <w:tblLayout w:type="fixed"/>
        <w:tblCellMar>
          <w:top w:w="0" w:type="dxa"/>
          <w:left w:w="0" w:type="dxa"/>
          <w:bottom w:w="0" w:type="dxa"/>
          <w:right w:w="0" w:type="dxa"/>
        </w:tblCellMar>
      </w:tblPr>
      <w:tblGrid>
        <w:gridCol w:w="23"/>
        <w:gridCol w:w="440"/>
        <w:gridCol w:w="348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40"/>
              <w:jc w:val="left"/>
              <w:rPr>
                <w:rFonts w:ascii="Times New Roman;Times;serif" w:hAnsi="Times New Roman;Times;serif"/>
                <w:b/>
                <w:sz w:val="22"/>
              </w:rPr>
            </w:pPr>
            <w:r>
              <w:rPr>
                <w:rFonts w:ascii="Times New Roman;Times;serif" w:hAnsi="Times New Roman;Times;serif"/>
                <w:b/>
                <w:sz w:val="22"/>
              </w:rPr>
              <w:t>2.15</w:t>
            </w:r>
          </w:p>
        </w:tc>
        <w:tc>
          <w:tcPr>
            <w:tcW w:w="34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2"/>
              </w:rPr>
              <w:t>Optional Increase in Commitments</w:t>
            </w:r>
            <w:r>
              <w:rPr>
                <w:rFonts w:ascii="Times New Roman;Times;serif" w:hAnsi="Times New Roman;Times;serif"/>
                <w:sz w:val="22"/>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Proposal of Increase</w:t>
      </w:r>
      <w:r>
        <w:rPr>
          <w:rFonts w:ascii="Times New Roman;Times;serif" w:hAnsi="Times New Roman;Times;serif"/>
          <w:sz w:val="22"/>
        </w:rPr>
        <w:t>. Provided there exists no Default, upon notice to the Administrative Agent (which shall promptly notify the Lenders), the Company may, from time to time, propose an increase in the Aggregate Commitments by an amount (for all such requests)  not exceeding $</w:t>
      </w:r>
      <w:r>
        <w:rPr>
          <w:rFonts w:ascii="Times New Roman;Times;serif" w:hAnsi="Times New Roman;Times;serif"/>
          <w:color w:val="FF0000"/>
          <w:sz w:val="22"/>
        </w:rPr>
        <w:t>250,000,000</w:t>
      </w:r>
      <w:r>
        <w:rPr>
          <w:rFonts w:ascii="Times New Roman;Times;serif" w:hAnsi="Times New Roman;Times;serif"/>
          <w:color w:val="0000FF"/>
          <w:sz w:val="22"/>
          <w:u w:val="single"/>
        </w:rPr>
        <w:t>1,000,000,000</w:t>
      </w:r>
      <w:r>
        <w:rPr>
          <w:rFonts w:ascii="Times New Roman;Times;serif" w:hAnsi="Times New Roman;Times;serif"/>
          <w:sz w:val="20"/>
        </w:rPr>
        <w:t xml:space="preserve"> </w:t>
      </w:r>
      <w:r>
        <w:rPr>
          <w:rFonts w:ascii="Times New Roman;Times;serif" w:hAnsi="Times New Roman;Times;serif"/>
          <w:sz w:val="22"/>
        </w:rPr>
        <w:t>in the aggregate (“</w:t>
      </w:r>
      <w:r>
        <w:rPr>
          <w:rFonts w:ascii="Times New Roman;Times;serif" w:hAnsi="Times New Roman;Times;serif"/>
          <w:sz w:val="22"/>
          <w:u w:val="single"/>
        </w:rPr>
        <w:t>Maximum Aggregate Commitment Increase</w:t>
      </w:r>
      <w:r>
        <w:rPr>
          <w:rFonts w:ascii="Times New Roman;Times;serif" w:hAnsi="Times New Roman;Times;serif"/>
          <w:sz w:val="20"/>
        </w:rPr>
        <w:t>”</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(i) the Borrowers shall inform existing Lenders of such proposed increase and existing Lenders may offer to commit to such increased amount and (ii) no such increase in the Aggregate Commitments shall increase the Letter of Credit Sublimit, the Swing Line Sublimit or the Alternative Currency Sublimit; </w:t>
      </w:r>
      <w:r>
        <w:rPr>
          <w:rFonts w:ascii="Times New Roman;Times;serif" w:hAnsi="Times New Roman;Times;serif"/>
          <w:sz w:val="22"/>
          <w:u w:val="single"/>
        </w:rPr>
        <w:t>provided further</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neither the Administrative Agent nor the Borrowers shall be required to accept any such offer from any existing Lender;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xml:space="preserve">, that the Borrowers may also allow any other Person or Persons that constitute Eligible Assignees to offer to commit to such increased amount;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that any such Person (other than an existing Lender) that commits to any part of such increase shall be approved by the Administrative Agent, the L/C Issuers, the Swing Line Lender and the Company (which approvals, in each case, shall not be unreasonably withheld or delayed). At the time of sending such notice, the Company (in consultation with the Administrative Agent) shall specify the time period within which each existing Lender and each other Person is requested to respond (which shall in no event be less than ten Business Days from the date of delivery of such notice to the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Lender Offers to Increase</w:t>
      </w:r>
      <w:r>
        <w:rPr>
          <w:rFonts w:ascii="Times New Roman;Times;serif" w:hAnsi="Times New Roman;Times;serif"/>
          <w:sz w:val="22"/>
        </w:rPr>
        <w:t>. Each Lender shall notify the Administrative Agent within such time period whether or not it offers to increase its Commitment and, if so, whether by an amount equal to, greater than, or less than its Applicable Percentage of such requested increase. Any Lender not responding within such time period shall be deemed to have declined to offer to increase its Commitment.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Notification by Administrative Agent</w:t>
      </w:r>
      <w:r>
        <w:rPr>
          <w:rFonts w:ascii="Times New Roman;Times;serif" w:hAnsi="Times New Roman;Times;serif"/>
          <w:sz w:val="22"/>
        </w:rPr>
        <w:t>. The Administrative Agent shall promptly notify the Company of the Lenders’ responses to each request made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Effective Date and Allocations</w:t>
      </w:r>
      <w:r>
        <w:rPr>
          <w:rFonts w:ascii="Times New Roman;Times;serif" w:hAnsi="Times New Roman;Times;serif"/>
          <w:sz w:val="22"/>
        </w:rPr>
        <w:t>. If the Aggregate Commitments are increased in accordance with this Section, the Administrative Agent and the Company shall determine the effective date (the “</w:t>
      </w:r>
      <w:r>
        <w:rPr>
          <w:rFonts w:ascii="Times New Roman;Times;serif" w:hAnsi="Times New Roman;Times;serif"/>
          <w:sz w:val="22"/>
          <w:u w:val="single"/>
        </w:rPr>
        <w:t>Increase Effective Date</w:t>
      </w:r>
      <w:r>
        <w:rPr>
          <w:rFonts w:ascii="Times New Roman;Times;serif" w:hAnsi="Times New Roman;Times;serif"/>
          <w:sz w:val="20"/>
        </w:rPr>
        <w:t>”</w:t>
      </w:r>
      <w:r>
        <w:rPr>
          <w:rFonts w:ascii="Times New Roman;Times;serif" w:hAnsi="Times New Roman;Times;serif"/>
          <w:sz w:val="22"/>
        </w:rPr>
        <w:t>) and the final allocation of such increase (which allocation may or</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may not include any of the existing Lenders that have offered to increase their Commitments). The Administrative Agent shall promptly notify the Company and the Lenders of the final allocation of such increase and the Increase Effective Date.</w:t>
      </w:r>
    </w:p>
    <w:tbl>
      <w:tblPr>
        <w:tblW w:w="8058" w:type="dxa"/>
        <w:jc w:val="left"/>
        <w:tblInd w:w="0" w:type="dxa"/>
        <w:tblLayout w:type="fixed"/>
        <w:tblCellMar>
          <w:top w:w="0" w:type="dxa"/>
          <w:left w:w="0" w:type="dxa"/>
          <w:bottom w:w="0" w:type="dxa"/>
          <w:right w:w="0" w:type="dxa"/>
        </w:tblCellMar>
      </w:tblPr>
      <w:tblGrid>
        <w:gridCol w:w="23"/>
        <w:gridCol w:w="275"/>
        <w:gridCol w:w="776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(e)</w:t>
            </w:r>
          </w:p>
        </w:tc>
        <w:tc>
          <w:tcPr>
            <w:tcW w:w="776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2"/>
                <w:u w:val="single"/>
              </w:rPr>
              <w:t>Conditions to Effectiveness of Increase</w:t>
            </w:r>
            <w:r>
              <w:rPr>
                <w:rFonts w:ascii="Times New Roman;Times;serif" w:hAnsi="Times New Roman;Times;serif"/>
                <w:sz w:val="22"/>
              </w:rPr>
              <w:t>. As a condition precedent to such increase,</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 xml:space="preserve">the Company shall deliver to the Administrative Agent a certificate of each Loan Party dated as of the Increase Effective Date (in sufficient copies for each Lender) signed by a Responsible Officer of such Loan Party (A) certifying and attaching the resolutions adopted by such Loan Party approving or consenting to such increase, and (B) in the case of the Company, certifying that, before and after giving effect to such increase, (1) the representations and warranties contained in </w:t>
      </w:r>
      <w:r>
        <w:rPr>
          <w:rFonts w:ascii="Times New Roman;Times;serif" w:hAnsi="Times New Roman;Times;serif"/>
          <w:sz w:val="22"/>
          <w:u w:val="single"/>
        </w:rPr>
        <w:t>Article V</w:t>
      </w:r>
      <w:r>
        <w:rPr>
          <w:rFonts w:ascii="Times New Roman;Times;serif" w:hAnsi="Times New Roman;Times;serif"/>
          <w:sz w:val="20"/>
        </w:rPr>
        <w:t xml:space="preserve"> </w:t>
      </w:r>
      <w:r>
        <w:rPr>
          <w:rFonts w:ascii="Times New Roman;Times;serif" w:hAnsi="Times New Roman;Times;serif"/>
          <w:sz w:val="22"/>
        </w:rPr>
        <w:t xml:space="preserve">and the other Loan Documents are true and correct on and as of the Increase Effective Date, except to the extent that such representations and warranties specifically refer to an earlier date, in which case they are true and correct as of such earlier date, and except that for purposes of this </w:t>
      </w:r>
      <w:r>
        <w:rPr>
          <w:rFonts w:ascii="Times New Roman;Times;serif" w:hAnsi="Times New Roman;Times;serif"/>
          <w:sz w:val="22"/>
          <w:u w:val="single"/>
        </w:rPr>
        <w:t>Section 2.15</w:t>
      </w:r>
      <w:r>
        <w:rPr>
          <w:rFonts w:ascii="Times New Roman;Times;serif" w:hAnsi="Times New Roman;Times;serif"/>
          <w:sz w:val="22"/>
        </w:rPr>
        <w:t xml:space="preserve">, the representations and warranties contained in </w:t>
      </w:r>
      <w:r>
        <w:rPr>
          <w:rFonts w:ascii="Times New Roman;Times;serif" w:hAnsi="Times New Roman;Times;serif"/>
          <w:sz w:val="22"/>
          <w:u w:val="single"/>
        </w:rPr>
        <w:t>subsections (a)</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(b)</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sz w:val="22"/>
          <w:u w:val="single"/>
        </w:rPr>
        <w:t>Section 5.05</w:t>
      </w:r>
      <w:r>
        <w:rPr>
          <w:rFonts w:ascii="Times New Roman;Times;serif" w:hAnsi="Times New Roman;Times;serif"/>
          <w:sz w:val="20"/>
        </w:rPr>
        <w:t xml:space="preserve"> </w:t>
      </w:r>
      <w:r>
        <w:rPr>
          <w:rFonts w:ascii="Times New Roman;Times;serif" w:hAnsi="Times New Roman;Times;serif"/>
          <w:sz w:val="22"/>
        </w:rPr>
        <w:t xml:space="preserve">shall be deemed to refer to the most recent statements furnished pursuant to </w:t>
      </w:r>
      <w:r>
        <w:rPr>
          <w:rFonts w:ascii="Times New Roman;Times;serif" w:hAnsi="Times New Roman;Times;serif"/>
          <w:sz w:val="22"/>
          <w:u w:val="single"/>
        </w:rPr>
        <w:t>clauses (a)</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(b)</w:t>
      </w:r>
      <w:r>
        <w:rPr>
          <w:rFonts w:ascii="Times New Roman;Times;serif" w:hAnsi="Times New Roman;Times;serif"/>
          <w:sz w:val="22"/>
        </w:rPr>
        <w:t xml:space="preserve">, respectively, of </w:t>
      </w:r>
      <w:r>
        <w:rPr>
          <w:rFonts w:ascii="Times New Roman;Times;serif" w:hAnsi="Times New Roman;Times;serif"/>
          <w:sz w:val="22"/>
          <w:u w:val="single"/>
        </w:rPr>
        <w:t>Section 6.01</w:t>
      </w:r>
      <w:r>
        <w:rPr>
          <w:rFonts w:ascii="Times New Roman;Times;serif" w:hAnsi="Times New Roman;Times;serif"/>
          <w:sz w:val="22"/>
        </w:rPr>
        <w:t>, and (2) no Default exists;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 xml:space="preserve">each Person (other than an existing Lender) that will (in accordance with the allocation described in </w:t>
      </w:r>
      <w:r>
        <w:rPr>
          <w:rFonts w:ascii="Times New Roman;Times;serif" w:hAnsi="Times New Roman;Times;serif"/>
          <w:sz w:val="22"/>
          <w:u w:val="single"/>
        </w:rPr>
        <w:t>clause (d)</w:t>
      </w:r>
      <w:r>
        <w:rPr>
          <w:rFonts w:ascii="Times New Roman;Times;serif" w:hAnsi="Times New Roman;Times;serif"/>
          <w:sz w:val="20"/>
        </w:rPr>
        <w:t xml:space="preserve"> </w:t>
      </w:r>
      <w:r>
        <w:rPr>
          <w:rFonts w:ascii="Times New Roman;Times;serif" w:hAnsi="Times New Roman;Times;serif"/>
          <w:sz w:val="22"/>
        </w:rPr>
        <w:t>above) commit to any of such increase shall deliver to the Administrative Agent a joinder agreement in form and substance satisfactory to the Administrative Agent and its counsel, whereby such Person shall agree to be bound by this Credit Agreement as a Lender;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at least five days prior to the Increase Effective Date, any Borrower that qualifies as a “legal entity customer” under the Beneficial Ownership Regulation shall deliver a Beneficial Ownership Certification in relation to such Borrower to each Lender that so requests at least 10 days prior to the Increase Effective Date;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upon the reasonable request of any Lender made at least 10 days prior to the Increase Effective Date, the Borrowers shall have provided to such Lender the documentation and other information so requested in connection with applicable “know your customer” and anti-money-laundering rules and regulations, including, without limitation, the PATRIOT Act, in each case at least five days prior to the Increase Effective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The Borrowers shall prepay any Committed Loans outstanding on the Increase Effective Date (and pay any additional amounts required pursuant to </w:t>
      </w:r>
      <w:r>
        <w:rPr>
          <w:rFonts w:ascii="Times New Roman;Times;serif" w:hAnsi="Times New Roman;Times;serif"/>
          <w:sz w:val="22"/>
          <w:u w:val="single"/>
        </w:rPr>
        <w:t>Section 3.05</w:t>
      </w:r>
      <w:r>
        <w:rPr>
          <w:rFonts w:ascii="Times New Roman;Times;serif" w:hAnsi="Times New Roman;Times;serif"/>
          <w:sz w:val="22"/>
        </w:rPr>
        <w:t>) to the extent necessary to keep the outstanding Committed Loans ratable with any revised Applicable Percentages arising from any nonratable increase in the Commitments under this Section.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u w:val="single"/>
        </w:rPr>
        <w:t>Conflicting Provisions</w:t>
      </w:r>
      <w:r>
        <w:rPr>
          <w:rFonts w:ascii="Times New Roman;Times;serif" w:hAnsi="Times New Roman;Times;serif"/>
          <w:sz w:val="22"/>
        </w:rPr>
        <w:t xml:space="preserve">. This Section shall supersede any provisions in </w:t>
      </w:r>
      <w:r>
        <w:rPr>
          <w:rFonts w:ascii="Times New Roman;Times;serif" w:hAnsi="Times New Roman;Times;serif"/>
          <w:sz w:val="22"/>
          <w:u w:val="single"/>
        </w:rPr>
        <w:t>Section 2.13</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10.01</w:t>
      </w:r>
      <w:r>
        <w:rPr>
          <w:rFonts w:ascii="Times New Roman;Times;serif" w:hAnsi="Times New Roman;Times;serif"/>
          <w:sz w:val="20"/>
        </w:rPr>
        <w:t xml:space="preserve"> </w:t>
      </w:r>
      <w:r>
        <w:rPr>
          <w:rFonts w:ascii="Times New Roman;Times;serif" w:hAnsi="Times New Roman;Times;serif"/>
          <w:sz w:val="22"/>
        </w:rPr>
        <w:t>to the contrary.</w:t>
      </w:r>
    </w:p>
    <w:tbl>
      <w:tblPr>
        <w:tblW w:w="2088" w:type="dxa"/>
        <w:jc w:val="left"/>
        <w:tblInd w:w="0" w:type="dxa"/>
        <w:tblLayout w:type="fixed"/>
        <w:tblCellMar>
          <w:top w:w="0" w:type="dxa"/>
          <w:left w:w="0" w:type="dxa"/>
          <w:bottom w:w="0" w:type="dxa"/>
          <w:right w:w="0" w:type="dxa"/>
        </w:tblCellMar>
      </w:tblPr>
      <w:tblGrid>
        <w:gridCol w:w="23"/>
        <w:gridCol w:w="440"/>
        <w:gridCol w:w="162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40"/>
              <w:jc w:val="left"/>
              <w:rPr>
                <w:rFonts w:ascii="Times New Roman;Times;serif" w:hAnsi="Times New Roman;Times;serif"/>
                <w:b/>
                <w:sz w:val="22"/>
              </w:rPr>
            </w:pPr>
            <w:r>
              <w:rPr>
                <w:rFonts w:ascii="Times New Roman;Times;serif" w:hAnsi="Times New Roman;Times;serif"/>
                <w:b/>
                <w:sz w:val="22"/>
              </w:rPr>
              <w:t>2.16</w:t>
            </w:r>
          </w:p>
        </w:tc>
        <w:tc>
          <w:tcPr>
            <w:tcW w:w="1625" w:type="dxa"/>
            <w:tcBorders/>
            <w:vAlign w:val="center"/>
          </w:tcPr>
          <w:p>
            <w:pPr>
              <w:pStyle w:val="TableContents"/>
              <w:bidi w:val="0"/>
              <w:spacing w:before="0" w:after="240"/>
              <w:jc w:val="left"/>
              <w:rPr>
                <w:rFonts w:ascii="Times New Roman;Times;serif" w:hAnsi="Times New Roman;Times;serif"/>
                <w:b/>
                <w:sz w:val="22"/>
              </w:rPr>
            </w:pPr>
            <w:r>
              <w:rPr>
                <w:rFonts w:ascii="Times New Roman;Times;serif" w:hAnsi="Times New Roman;Times;serif"/>
                <w:b/>
                <w:sz w:val="22"/>
              </w:rPr>
              <w:t>Cash Collateral.</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Certain Credit Support Events</w:t>
      </w:r>
      <w:r>
        <w:rPr>
          <w:rFonts w:ascii="Times New Roman;Times;serif" w:hAnsi="Times New Roman;Times;serif"/>
          <w:sz w:val="22"/>
        </w:rPr>
        <w:t>. (i) Upon the request of the Administrative Agent or any L/C Issuer (A) if such L/C Issuer has honored any full or partial drawing request under any Letter of Credit and such drawing has resulted in an L/C Borrowing, or (B) if, as of the Letter of Credit Expiration Date, any L/C Obligation for any reason remains outstanding, the Company shall, in each case, within</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two Business Days following receipt of a written request of the Administrative Agent or such L/C Issuer, Cash Collateralize the then Outstanding Amount of all L/C Obligations.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 xml:space="preserve">At any time that there shall exist a Defaulting Lender, within two Business Days following receipt of a written request of the Administrative Agent, any L/C Issuer or the Swing Line Lender, the Company shall deliver to the Administrative Agent Cash Collateral in an amount sufficient to cover all Fronting Exposure of such L/C Issuer or the Swing Line Lender, as applicable, with respect to the Defaulting Lender (after giving effect to </w:t>
      </w:r>
      <w:r>
        <w:rPr>
          <w:rFonts w:ascii="Times New Roman;Times;serif" w:hAnsi="Times New Roman;Times;serif"/>
          <w:sz w:val="22"/>
          <w:u w:val="single"/>
        </w:rPr>
        <w:t>Section 2.17(a)(iv)</w:t>
      </w:r>
      <w:r>
        <w:rPr>
          <w:rFonts w:ascii="Times New Roman;Times;serif" w:hAnsi="Times New Roman;Times;serif"/>
          <w:sz w:val="20"/>
        </w:rPr>
        <w:t xml:space="preserve"> </w:t>
      </w:r>
      <w:r>
        <w:rPr>
          <w:rFonts w:ascii="Times New Roman;Times;serif" w:hAnsi="Times New Roman;Times;serif"/>
          <w:sz w:val="22"/>
        </w:rPr>
        <w:t xml:space="preserve">and any Cash Collateral provided by the Defaulting Lender). Subject to </w:t>
      </w:r>
      <w:r>
        <w:rPr>
          <w:rFonts w:ascii="Times New Roman;Times;serif" w:hAnsi="Times New Roman;Times;serif"/>
          <w:sz w:val="22"/>
          <w:u w:val="single"/>
        </w:rPr>
        <w:t>Section 10.20</w:t>
      </w:r>
      <w:r>
        <w:rPr>
          <w:rFonts w:ascii="Times New Roman;Times;serif" w:hAnsi="Times New Roman;Times;serif"/>
          <w:sz w:val="22"/>
        </w:rPr>
        <w:t>, no such delivery by the Company shall constitute a waiver or release of any claim by any Borrower against a Defaulting Lender arising from that Lender having become a Defaulting Lender.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In addition, if the Administrative Agent notifies the Company in writing at any time that the Outstanding Amount of all L/C Obligations at such time exceeds 102% of the Letter of Credit Sublimit then in effect, then, within two Business Days after receipt of such notice, the Company shall Cash Collateralize the L/C Obligations in an amount equal to the amount by which the Outstanding Amount of all L/C Obligations exceeds the Letter of Credit Sublimit.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Grant of Security Interest</w:t>
      </w:r>
      <w:r>
        <w:rPr>
          <w:rFonts w:ascii="Times New Roman;Times;serif" w:hAnsi="Times New Roman;Times;serif"/>
          <w:sz w:val="22"/>
        </w:rPr>
        <w:t xml:space="preserve">. All Cash Collateral (other than credit support not constituting funds subject to deposit) shall be maintained in blocked, interest-bearing deposit accounts at Bank of America. The Company, and to the extent provided by any Lender, such Lender, hereby grants to (and subjects to the control of) the Administrative Agent, for the benefit of the Administrative Agent, the L/C Issuers and the Lenders (including the Swing Line Lender),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Times;serif" w:hAnsi="Times New Roman;Times;serif"/>
          <w:sz w:val="22"/>
          <w:u w:val="single"/>
        </w:rPr>
        <w:t>Section 2.16(c)</w:t>
      </w:r>
      <w:r>
        <w:rPr>
          <w:rFonts w:ascii="Times New Roman;Times;serif" w:hAnsi="Times New Roman;Times;serif"/>
          <w:sz w:val="22"/>
        </w:rPr>
        <w:t>. If at any time the Administrative Agent determines that Cash Collateral is subject to any right or claim of any Person other than the Administrative Agent as herein provided, or that the total amount of such Cash Collateral is less than the Fronting Exposure and other obligations secured thereby (including by reason of exchange rate fluctuations), the Company or the relevant Defaulting Lender will, promptly upon demand by the Administrative Agent, pay or provide to the Administrative Agent additional Cash Collateral in an amount sufficient to eliminate such deficiency.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Application</w:t>
      </w:r>
      <w:r>
        <w:rPr>
          <w:rFonts w:ascii="Times New Roman;Times;serif" w:hAnsi="Times New Roman;Times;serif"/>
          <w:sz w:val="22"/>
        </w:rPr>
        <w:t xml:space="preserve">. Notwithstanding anything to the contrary contained in this Agreement, Cash Collateral provided under any of this </w:t>
      </w:r>
      <w:r>
        <w:rPr>
          <w:rFonts w:ascii="Times New Roman;Times;serif" w:hAnsi="Times New Roman;Times;serif"/>
          <w:sz w:val="22"/>
          <w:u w:val="single"/>
        </w:rPr>
        <w:t>Section 2.16</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Sections 2.03</w:t>
      </w:r>
      <w:r>
        <w:rPr>
          <w:rFonts w:ascii="Times New Roman;Times;serif" w:hAnsi="Times New Roman;Times;serif"/>
          <w:sz w:val="22"/>
        </w:rPr>
        <w:t xml:space="preserve">, </w:t>
      </w:r>
      <w:r>
        <w:rPr>
          <w:rFonts w:ascii="Times New Roman;Times;serif" w:hAnsi="Times New Roman;Times;serif"/>
          <w:sz w:val="22"/>
          <w:u w:val="single"/>
        </w:rPr>
        <w:t>2.04</w:t>
      </w:r>
      <w:r>
        <w:rPr>
          <w:rFonts w:ascii="Times New Roman;Times;serif" w:hAnsi="Times New Roman;Times;serif"/>
          <w:sz w:val="22"/>
        </w:rPr>
        <w:t xml:space="preserve">, </w:t>
      </w:r>
      <w:r>
        <w:rPr>
          <w:rFonts w:ascii="Times New Roman;Times;serif" w:hAnsi="Times New Roman;Times;serif"/>
          <w:sz w:val="22"/>
          <w:u w:val="single"/>
        </w:rPr>
        <w:t>2.05</w:t>
      </w:r>
      <w:r>
        <w:rPr>
          <w:rFonts w:ascii="Times New Roman;Times;serif" w:hAnsi="Times New Roman;Times;serif"/>
          <w:sz w:val="22"/>
        </w:rPr>
        <w:t xml:space="preserve">, </w:t>
      </w:r>
      <w:r>
        <w:rPr>
          <w:rFonts w:ascii="Times New Roman;Times;serif" w:hAnsi="Times New Roman;Times;serif"/>
          <w:sz w:val="22"/>
          <w:u w:val="single"/>
        </w:rPr>
        <w:t>2.17</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8.02</w:t>
      </w:r>
      <w:r>
        <w:rPr>
          <w:rFonts w:ascii="Times New Roman;Times;serif" w:hAnsi="Times New Roman;Times;serif"/>
          <w:sz w:val="20"/>
        </w:rPr>
        <w:t xml:space="preserve"> </w:t>
      </w:r>
      <w:r>
        <w:rPr>
          <w:rFonts w:ascii="Times New Roman;Times;serif" w:hAnsi="Times New Roman;Times;serif"/>
          <w:sz w:val="22"/>
        </w:rPr>
        <w:t>in respect of Letters of Credit or Swing Line Loans shall be held and applied to the satisfaction of the specific L/C Obligations, Swing Line Loans,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Release</w:t>
      </w:r>
      <w:r>
        <w:rPr>
          <w:rFonts w:ascii="Times New Roman;Times;serif" w:hAnsi="Times New Roman;Times;serif"/>
          <w:sz w:val="22"/>
        </w:rPr>
        <w:t xml:space="preserve">. Cash Collateral (or the appropriate portion thereof) provided to reduce the applicable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Times New Roman;Times;serif" w:hAnsi="Times New Roman;Times;serif"/>
          <w:sz w:val="22"/>
          <w:u w:val="single"/>
        </w:rPr>
        <w:t>Section 10.06(b)(vi)</w:t>
      </w:r>
      <w:r>
        <w:rPr>
          <w:rFonts w:ascii="Times New Roman;Times;serif" w:hAnsi="Times New Roman;Times;serif"/>
          <w:sz w:val="22"/>
        </w:rPr>
        <w:t xml:space="preserve">)) or (ii) the good faith determination by the Administrative Agent and any L/C Issuer that there exists excess Cash Collateral; </w:t>
      </w:r>
      <w:r>
        <w:rPr>
          <w:rFonts w:ascii="Times New Roman;Times;serif" w:hAnsi="Times New Roman;Times;serif"/>
          <w:sz w:val="22"/>
          <w:u w:val="single"/>
        </w:rPr>
        <w:t>provided</w:t>
      </w:r>
      <w:r>
        <w:rPr>
          <w:rFonts w:ascii="Times New Roman;Times;serif" w:hAnsi="Times New Roman;Times;serif"/>
          <w:sz w:val="22"/>
        </w:rPr>
        <w:t xml:space="preserve">, however, (x) that Cash Collateral furnished by or on behalf of a Loan Party shall not be released during the continuance of a Default or Event of Default (and following application as provided in this </w:t>
      </w:r>
      <w:r>
        <w:rPr>
          <w:rFonts w:ascii="Times New Roman;Times;serif" w:hAnsi="Times New Roman;Times;serif"/>
          <w:sz w:val="22"/>
          <w:u w:val="single"/>
        </w:rPr>
        <w:t>Section 2.16</w:t>
      </w:r>
      <w:r>
        <w:rPr>
          <w:rFonts w:ascii="Times New Roman;Times;serif" w:hAnsi="Times New Roman;Times;serif"/>
          <w:sz w:val="20"/>
        </w:rPr>
        <w:t xml:space="preserve"> </w:t>
      </w:r>
      <w:r>
        <w:rPr>
          <w:rFonts w:ascii="Times New Roman;Times;serif" w:hAnsi="Times New Roman;Times;serif"/>
          <w:sz w:val="22"/>
        </w:rPr>
        <w:t xml:space="preserve">may be otherwise applied in accordance with </w:t>
      </w:r>
      <w:r>
        <w:rPr>
          <w:rFonts w:ascii="Times New Roman;Times;serif" w:hAnsi="Times New Roman;Times;serif"/>
          <w:sz w:val="22"/>
          <w:u w:val="single"/>
        </w:rPr>
        <w:t>Section 8.03</w:t>
      </w:r>
      <w:r>
        <w:rPr>
          <w:rFonts w:ascii="Times New Roman;Times;serif" w:hAnsi="Times New Roman;Times;serif"/>
          <w:sz w:val="22"/>
        </w:rPr>
        <w:t>), and (y) the Person providing Cash Collateral</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and such L/C Issuer or Swing Line Lender, as applicable, may agree that Cash Collateral shall not be released but instead held to support future anticipated Fronting Exposure or other obligations.</w:t>
      </w:r>
    </w:p>
    <w:tbl>
      <w:tblPr>
        <w:tblW w:w="2418" w:type="dxa"/>
        <w:jc w:val="left"/>
        <w:tblInd w:w="0" w:type="dxa"/>
        <w:tblLayout w:type="fixed"/>
        <w:tblCellMar>
          <w:top w:w="0" w:type="dxa"/>
          <w:left w:w="0" w:type="dxa"/>
          <w:bottom w:w="0" w:type="dxa"/>
          <w:right w:w="0" w:type="dxa"/>
        </w:tblCellMar>
      </w:tblPr>
      <w:tblGrid>
        <w:gridCol w:w="23"/>
        <w:gridCol w:w="440"/>
        <w:gridCol w:w="195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40"/>
              <w:jc w:val="left"/>
              <w:rPr>
                <w:rFonts w:ascii="Times New Roman;Times;serif" w:hAnsi="Times New Roman;Times;serif"/>
                <w:b/>
                <w:sz w:val="22"/>
              </w:rPr>
            </w:pPr>
            <w:r>
              <w:rPr>
                <w:rFonts w:ascii="Times New Roman;Times;serif" w:hAnsi="Times New Roman;Times;serif"/>
                <w:b/>
                <w:sz w:val="22"/>
              </w:rPr>
              <w:t>2.17</w:t>
            </w:r>
          </w:p>
        </w:tc>
        <w:tc>
          <w:tcPr>
            <w:tcW w:w="1955" w:type="dxa"/>
            <w:tcBorders/>
            <w:vAlign w:val="center"/>
          </w:tcPr>
          <w:p>
            <w:pPr>
              <w:pStyle w:val="TableContents"/>
              <w:bidi w:val="0"/>
              <w:spacing w:before="0" w:after="240"/>
              <w:jc w:val="left"/>
              <w:rPr>
                <w:rFonts w:ascii="Times New Roman;Times;serif" w:hAnsi="Times New Roman;Times;serif"/>
                <w:b/>
                <w:sz w:val="22"/>
              </w:rPr>
            </w:pPr>
            <w:r>
              <w:rPr>
                <w:rFonts w:ascii="Times New Roman;Times;serif" w:hAnsi="Times New Roman;Times;serif"/>
                <w:b/>
                <w:sz w:val="22"/>
              </w:rPr>
              <w:t>Defaulting Lenders.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Adjustments</w:t>
      </w:r>
      <w:r>
        <w:rPr>
          <w:rFonts w:ascii="Times New Roman;Times;serif" w:hAnsi="Times New Roman;Times;serif"/>
          <w:sz w:val="22"/>
        </w:rPr>
        <w:t xml:space="preserve">. Notwithstanding anything to the contrary contained in this Agreement, if any Lender becomes a Defaulting Lender, then, until such time as that Lender is no longer a Defaulting Lender or is replaced pursuant to </w:t>
      </w:r>
      <w:r>
        <w:rPr>
          <w:rFonts w:ascii="Times New Roman;Times;serif" w:hAnsi="Times New Roman;Times;serif"/>
          <w:sz w:val="22"/>
          <w:u w:val="single"/>
        </w:rPr>
        <w:t>Section 10.13</w:t>
      </w:r>
      <w:r>
        <w:rPr>
          <w:rFonts w:ascii="Times New Roman;Times;serif" w:hAnsi="Times New Roman;Times;serif"/>
          <w:sz w:val="22"/>
        </w:rPr>
        <w:t>, to the extent permitted by applicable Law: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u w:val="single"/>
        </w:rPr>
        <w:t>Waivers and Amendments</w:t>
      </w:r>
      <w:r>
        <w:rPr>
          <w:rFonts w:ascii="Times New Roman;Times;serif" w:hAnsi="Times New Roman;Times;serif"/>
          <w:sz w:val="22"/>
        </w:rPr>
        <w:t xml:space="preserve">. That Defaulting Lender’s right to approve or disapprove any amendment, waiver or consent with respect to this Agreement shall be restricted as set forth in </w:t>
      </w:r>
      <w:r>
        <w:rPr>
          <w:rFonts w:ascii="Times New Roman;Times;serif" w:hAnsi="Times New Roman;Times;serif"/>
          <w:sz w:val="22"/>
          <w:u w:val="single"/>
        </w:rPr>
        <w:t>Section 10.01</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u w:val="single"/>
        </w:rPr>
        <w:t>Reallocation of Payments</w:t>
      </w:r>
      <w:r>
        <w:rPr>
          <w:rFonts w:ascii="Times New Roman;Times;serif" w:hAnsi="Times New Roman;Times;serif"/>
          <w:sz w:val="22"/>
        </w:rPr>
        <w:t xml:space="preserve">. Any payment of principal, interest, fees or other amounts received by the Administrative Agent for the account of that Defaulting Lender (whether voluntary or mandatory, at maturity, pursuant to </w:t>
      </w:r>
      <w:r>
        <w:rPr>
          <w:rFonts w:ascii="Times New Roman;Times;serif" w:hAnsi="Times New Roman;Times;serif"/>
          <w:sz w:val="22"/>
          <w:u w:val="single"/>
        </w:rPr>
        <w:t>Article VIII</w:t>
      </w:r>
      <w:r>
        <w:rPr>
          <w:rFonts w:ascii="Times New Roman;Times;serif" w:hAnsi="Times New Roman;Times;serif"/>
          <w:sz w:val="20"/>
        </w:rPr>
        <w:t xml:space="preserve"> </w:t>
      </w:r>
      <w:r>
        <w:rPr>
          <w:rFonts w:ascii="Times New Roman;Times;serif" w:hAnsi="Times New Roman;Times;serif"/>
          <w:sz w:val="22"/>
        </w:rPr>
        <w:t xml:space="preserve">or otherwise, and including any amounts made available to the Administrative Agent by that Defaulting Lender pursuant to </w:t>
      </w:r>
      <w:r>
        <w:rPr>
          <w:rFonts w:ascii="Times New Roman;Times;serif" w:hAnsi="Times New Roman;Times;serif"/>
          <w:sz w:val="22"/>
          <w:u w:val="single"/>
        </w:rPr>
        <w:t>Section 10.08</w:t>
      </w:r>
      <w:r>
        <w:rPr>
          <w:rFonts w:ascii="Times New Roman;Times;serif" w:hAnsi="Times New Roman;Times;serif"/>
          <w:sz w:val="22"/>
        </w:rPr>
        <w:t xml:space="preserve">) (excluding Cash Collateral), shall be applied at such time or times as may be determined by the Administrative Agent as follows: </w:t>
      </w:r>
      <w:r>
        <w:rPr>
          <w:rFonts w:ascii="Times New Roman;Times;serif" w:hAnsi="Times New Roman;Times;serif"/>
          <w:i/>
          <w:sz w:val="22"/>
        </w:rPr>
        <w:t>first</w:t>
      </w:r>
      <w:r>
        <w:rPr>
          <w:rFonts w:ascii="Times New Roman;Times;serif" w:hAnsi="Times New Roman;Times;serif"/>
          <w:sz w:val="22"/>
        </w:rPr>
        <w:t xml:space="preserve">, to the payment of any amounts owing by that Defaulting Lender to the Administrative Agent hereunder; </w:t>
      </w:r>
      <w:r>
        <w:rPr>
          <w:rFonts w:ascii="Times New Roman;Times;serif" w:hAnsi="Times New Roman;Times;serif"/>
          <w:i/>
          <w:sz w:val="22"/>
        </w:rPr>
        <w:t>second</w:t>
      </w:r>
      <w:r>
        <w:rPr>
          <w:rFonts w:ascii="Times New Roman;Times;serif" w:hAnsi="Times New Roman;Times;serif"/>
          <w:sz w:val="22"/>
        </w:rPr>
        <w:t xml:space="preserve">, to the payment on a pro rata basis of any amounts owing by that Defaulting Lender to any L/C Issuer or the Swing Line Lender hereunder; </w:t>
      </w:r>
      <w:r>
        <w:rPr>
          <w:rFonts w:ascii="Times New Roman;Times;serif" w:hAnsi="Times New Roman;Times;serif"/>
          <w:i/>
          <w:sz w:val="22"/>
        </w:rPr>
        <w:t>third</w:t>
      </w:r>
      <w:r>
        <w:rPr>
          <w:rFonts w:ascii="Times New Roman;Times;serif" w:hAnsi="Times New Roman;Times;serif"/>
          <w:sz w:val="22"/>
        </w:rPr>
        <w:t xml:space="preserve">, to Cash Collateralize each L/C Issuer’s Fronting Exposure with respect to such Defaulting Lender in accordance with </w:t>
      </w:r>
      <w:r>
        <w:rPr>
          <w:rFonts w:ascii="Times New Roman;Times;serif" w:hAnsi="Times New Roman;Times;serif"/>
          <w:sz w:val="22"/>
          <w:u w:val="single"/>
        </w:rPr>
        <w:t>Section 2.16</w:t>
      </w:r>
      <w:r>
        <w:rPr>
          <w:rFonts w:ascii="Times New Roman;Times;serif" w:hAnsi="Times New Roman;Times;serif"/>
          <w:sz w:val="22"/>
        </w:rPr>
        <w:t xml:space="preserve">; </w:t>
      </w:r>
      <w:r>
        <w:rPr>
          <w:rFonts w:ascii="Times New Roman;Times;serif" w:hAnsi="Times New Roman;Times;serif"/>
          <w:i/>
          <w:sz w:val="22"/>
        </w:rPr>
        <w:t>fourth</w:t>
      </w:r>
      <w:r>
        <w:rPr>
          <w:rFonts w:ascii="Times New Roman;Times;serif" w:hAnsi="Times New Roman;Times;serif"/>
          <w:sz w:val="22"/>
        </w:rPr>
        <w:t xml:space="preserve">, as the Company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Times;serif" w:hAnsi="Times New Roman;Times;serif"/>
          <w:i/>
          <w:sz w:val="22"/>
        </w:rPr>
        <w:t>fifth</w:t>
      </w:r>
      <w:r>
        <w:rPr>
          <w:rFonts w:ascii="Times New Roman;Times;serif" w:hAnsi="Times New Roman;Times;serif"/>
          <w:sz w:val="22"/>
        </w:rPr>
        <w:t xml:space="preserve">, if so determined by the Administrative Agent and the Company, to be held in a non-interest bearing deposit account and released pro rata in order to (x) satisfy obligations of that Defaulting Lender to fund Loans under this Agreement and (y) Cash Collateralize any L/C Issuer’s future Fronting Exposure with respect to such Defaulting Lender with respect to future Letters of Credit issued under this Agreement, in accordance with </w:t>
      </w:r>
      <w:r>
        <w:rPr>
          <w:rFonts w:ascii="Times New Roman;Times;serif" w:hAnsi="Times New Roman;Times;serif"/>
          <w:sz w:val="22"/>
          <w:u w:val="single"/>
        </w:rPr>
        <w:t>Section 2.16</w:t>
      </w:r>
      <w:r>
        <w:rPr>
          <w:rFonts w:ascii="Times New Roman;Times;serif" w:hAnsi="Times New Roman;Times;serif"/>
          <w:sz w:val="22"/>
        </w:rPr>
        <w:t xml:space="preserve">; </w:t>
      </w:r>
      <w:r>
        <w:rPr>
          <w:rFonts w:ascii="Times New Roman;Times;serif" w:hAnsi="Times New Roman;Times;serif"/>
          <w:i/>
          <w:sz w:val="22"/>
        </w:rPr>
        <w:t>sixth</w:t>
      </w:r>
      <w:r>
        <w:rPr>
          <w:rFonts w:ascii="Times New Roman;Times;serif" w:hAnsi="Times New Roman;Times;serif"/>
          <w:sz w:val="22"/>
        </w:rPr>
        <w:t xml:space="preserve">, to the payment of any amounts owing to the Lenders, the L/C Issuers or the Swing Line Lender as a result of any judgment of a court of competent jurisdiction obtained by any Lender, any L/C Issuer or the Swing Line Lender against that Defaulting Lender as a result of that Defaulting Lender’s breach of its obligations under this Agreement; </w:t>
      </w:r>
      <w:r>
        <w:rPr>
          <w:rFonts w:ascii="Times New Roman;Times;serif" w:hAnsi="Times New Roman;Times;serif"/>
          <w:i/>
          <w:sz w:val="22"/>
        </w:rPr>
        <w:t>seventh</w:t>
      </w:r>
      <w:r>
        <w:rPr>
          <w:rFonts w:ascii="Times New Roman;Times;serif" w:hAnsi="Times New Roman;Times;serif"/>
          <w:sz w:val="22"/>
        </w:rPr>
        <w:t xml:space="preserve">, so long as no Default or Event of Default exists, to the payment of any amounts owing to the Company as a result of any judgment of a court of competent jurisdiction obtained by the Company against that Defaulting Lender as a result of that Defaulting Lender’s breach of its obligations under this Agreement; and </w:t>
      </w:r>
      <w:r>
        <w:rPr>
          <w:rFonts w:ascii="Times New Roman;Times;serif" w:hAnsi="Times New Roman;Times;serif"/>
          <w:i/>
          <w:sz w:val="22"/>
        </w:rPr>
        <w:t>eighth</w:t>
      </w:r>
      <w:r>
        <w:rPr>
          <w:rFonts w:ascii="Times New Roman;Times;serif" w:hAnsi="Times New Roman;Times;serif"/>
          <w:sz w:val="22"/>
        </w:rPr>
        <w:t xml:space="preserve">, to that Defaulting Lender or as otherwise directed by a court of competent jurisdiction;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if (x) such payment is a payment of the principal amount of any Loans or L/C Borrowings in respect of which that Defaulting Lender has not fully funded its appropriate share and (y) such Loans or L/C Borrowings were made or the related Letters of Credit were issued at a time when the conditions set forth in </w:t>
      </w:r>
      <w:r>
        <w:rPr>
          <w:rFonts w:ascii="Times New Roman;Times;serif" w:hAnsi="Times New Roman;Times;serif"/>
          <w:sz w:val="22"/>
          <w:u w:val="single"/>
        </w:rPr>
        <w:t>Section 4.02</w:t>
      </w:r>
      <w:r>
        <w:rPr>
          <w:rFonts w:ascii="Times New Roman;Times;serif" w:hAnsi="Times New Roman;Times;serif"/>
          <w:sz w:val="20"/>
        </w:rPr>
        <w:t xml:space="preserve"> </w:t>
      </w:r>
      <w:r>
        <w:rPr>
          <w:rFonts w:ascii="Times New Roman;Times;serif" w:hAnsi="Times New Roman;Times;serif"/>
          <w:sz w:val="22"/>
        </w:rPr>
        <w:t xml:space="preserve">were satisfied or waived, such payment shall be applied solely to pay the Loans of, and L/C Borrowings owed to, all non-Defaulting Lenders on a pro rata basis prior to being applied to the payment of any Loans of, or L/C Borrowings owed to, such Defaulting Lender until such time as all Loans and funded and unfunded participations in L/C Obligations and Swing Line Loans are held by the Lenders pro rata in accordance with the Commitments hereunder without giving effect to </w:t>
      </w:r>
      <w:r>
        <w:rPr>
          <w:rFonts w:ascii="Times New Roman;Times;serif" w:hAnsi="Times New Roman;Times;serif"/>
          <w:sz w:val="22"/>
          <w:u w:val="single"/>
        </w:rPr>
        <w:t>Section 2.17(a)(iv)</w:t>
      </w:r>
      <w:r>
        <w:rPr>
          <w:rFonts w:ascii="Times New Roman;Times;serif" w:hAnsi="Times New Roman;Times;serif"/>
          <w:sz w:val="22"/>
        </w:rPr>
        <w:t xml:space="preserve">. Any payments, prepayments or other amounts paid or payable to a Defaulting Lender that are applied (or held) to pay amounts owed by a Defaulting Lender or to post Cash Collateral pursuant to this </w:t>
      </w:r>
      <w:r>
        <w:rPr>
          <w:rFonts w:ascii="Times New Roman;Times;serif" w:hAnsi="Times New Roman;Times;serif"/>
          <w:sz w:val="22"/>
          <w:u w:val="single"/>
        </w:rPr>
        <w:t>Section 2.17(a)(ii)</w:t>
      </w:r>
      <w:r>
        <w:rPr>
          <w:rFonts w:ascii="Times New Roman;Times;serif" w:hAnsi="Times New Roman;Times;serif"/>
          <w:sz w:val="20"/>
        </w:rPr>
        <w:t xml:space="preserve"> </w:t>
      </w:r>
      <w:r>
        <w:rPr>
          <w:rFonts w:ascii="Times New Roman;Times;serif" w:hAnsi="Times New Roman;Times;serif"/>
          <w:sz w:val="22"/>
        </w:rPr>
        <w:t>shall be</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720" w:right="0" w:hanging="0"/>
        <w:jc w:val="left"/>
        <w:rPr>
          <w:rFonts w:ascii="Times New Roman;Times;serif" w:hAnsi="Times New Roman;Times;serif"/>
          <w:sz w:val="22"/>
        </w:rPr>
      </w:pPr>
      <w:r>
        <w:rPr>
          <w:rFonts w:ascii="Times New Roman;Times;serif" w:hAnsi="Times New Roman;Times;serif"/>
          <w:sz w:val="22"/>
        </w:rPr>
        <w:t>deemed paid to and redirected by that Defaulting Lender, and each Lender irrevocably consents hereto.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u w:val="single"/>
        </w:rPr>
        <w:t>Certain Fees</w:t>
      </w:r>
      <w:r>
        <w:rPr>
          <w:rFonts w:ascii="Times New Roman;Times;serif" w:hAnsi="Times New Roman;Times;serif"/>
          <w:sz w:val="22"/>
        </w:rPr>
        <w:t xml:space="preserve">. That Defaulting Lender (x) shall be entitled to receive any facility fee pursuant to </w:t>
      </w:r>
      <w:r>
        <w:rPr>
          <w:rFonts w:ascii="Times New Roman;Times;serif" w:hAnsi="Times New Roman;Times;serif"/>
          <w:sz w:val="22"/>
          <w:u w:val="single"/>
        </w:rPr>
        <w:t>Section 2.09(a)</w:t>
      </w:r>
      <w:r>
        <w:rPr>
          <w:rFonts w:ascii="Times New Roman;Times;serif" w:hAnsi="Times New Roman;Times;serif"/>
          <w:sz w:val="20"/>
        </w:rPr>
        <w:t xml:space="preserve"> </w:t>
      </w:r>
      <w:r>
        <w:rPr>
          <w:rFonts w:ascii="Times New Roman;Times;serif" w:hAnsi="Times New Roman;Times;serif"/>
          <w:sz w:val="22"/>
        </w:rPr>
        <w:t xml:space="preserve">for any period during which that Lender is a Defaulting Lender only to extent allocable to the sum of (1) the Outstanding Amount of the Committed Loans funded by it and (2) its Applicable Percentage of the stated amount of Letters of Credit and Swing Line Loans for which it has provided Cash Collateral pursuant to </w:t>
      </w:r>
      <w:r>
        <w:rPr>
          <w:rFonts w:ascii="Times New Roman;Times;serif" w:hAnsi="Times New Roman;Times;serif"/>
          <w:sz w:val="22"/>
          <w:u w:val="single"/>
        </w:rPr>
        <w:t>Section 2.03, Section 2.04</w:t>
      </w:r>
      <w:r>
        <w:rPr>
          <w:rFonts w:ascii="Times New Roman;Times;serif" w:hAnsi="Times New Roman;Times;serif"/>
          <w:sz w:val="22"/>
        </w:rPr>
        <w:t xml:space="preserve">, </w:t>
      </w:r>
      <w:r>
        <w:rPr>
          <w:rFonts w:ascii="Times New Roman;Times;serif" w:hAnsi="Times New Roman;Times;serif"/>
          <w:sz w:val="22"/>
          <w:u w:val="single"/>
        </w:rPr>
        <w:t>Section 2.16</w:t>
      </w:r>
      <w:r>
        <w:rPr>
          <w:rFonts w:ascii="Times New Roman;Times;serif" w:hAnsi="Times New Roman;Times;serif"/>
          <w:sz w:val="22"/>
        </w:rPr>
        <w:t xml:space="preserve">, or </w:t>
      </w:r>
      <w:r>
        <w:rPr>
          <w:rFonts w:ascii="Times New Roman;Times;serif" w:hAnsi="Times New Roman;Times;serif"/>
          <w:sz w:val="22"/>
          <w:u w:val="single"/>
        </w:rPr>
        <w:t>Section 2.17(a)(ii)</w:t>
      </w:r>
      <w:r>
        <w:rPr>
          <w:rFonts w:ascii="Times New Roman;Times;serif" w:hAnsi="Times New Roman;Times;serif"/>
          <w:sz w:val="22"/>
        </w:rPr>
        <w:t xml:space="preserve">, as applicable (and the Company shall (A) be required to pay to an L/C Issuer and the Swing Line Lender, as applicable, the amount of such fee allocable to its Fronting Exposure arising from that Defaulting Lender and (B) not be required to pay the remaining amount of such fee that otherwise would have been required to have been paid to that Defaulting Lender) and (y) shall be limited in its right to receive Letter of Credit Fees as provided in </w:t>
      </w:r>
      <w:r>
        <w:rPr>
          <w:rFonts w:ascii="Times New Roman;Times;serif" w:hAnsi="Times New Roman;Times;serif"/>
          <w:sz w:val="22"/>
          <w:u w:val="single"/>
        </w:rPr>
        <w:t>Section 2.03(h)</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u w:val="single"/>
        </w:rPr>
        <w:t>Reallocation of Applicable Percentages to Reduce Fronting Exposure</w:t>
      </w:r>
      <w:r>
        <w:rPr>
          <w:rFonts w:ascii="Times New Roman;Times;serif" w:hAnsi="Times New Roman;Times;serif"/>
          <w:sz w:val="22"/>
        </w:rPr>
        <w:t xml:space="preserve">.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such reallocation does not cause the aggregate Revolving Credit Exposure of any Non-Defaulting Lender to exceed such Non-Defaulting Lender’s Commitment. Subject to </w:t>
      </w:r>
      <w:r>
        <w:rPr>
          <w:rFonts w:ascii="Times New Roman;Times;serif" w:hAnsi="Times New Roman;Times;serif"/>
          <w:sz w:val="22"/>
          <w:u w:val="single"/>
        </w:rPr>
        <w:t>Section 10.20</w:t>
      </w:r>
      <w:r>
        <w:rPr>
          <w:rFonts w:ascii="Times New Roman;Times;serif" w:hAnsi="Times New Roman;Times;serif"/>
          <w:sz w:val="22"/>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w:t>
      </w:r>
      <w:r>
        <w:rPr>
          <w:rFonts w:ascii="Times New Roman;Times;serif" w:hAnsi="Times New Roman;Times;serif"/>
          <w:sz w:val="22"/>
          <w:u w:val="single"/>
        </w:rPr>
        <w:t>Cash Collateral, Repayment of Swing Line Loans</w:t>
      </w:r>
      <w:r>
        <w:rPr>
          <w:rFonts w:ascii="Times New Roman;Times;serif" w:hAnsi="Times New Roman;Times;serif"/>
          <w:sz w:val="22"/>
        </w:rPr>
        <w:t xml:space="preserve">. If the reallocation described in clause (a)(iv) above cannot, or can only partially, be effected, the Company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Times New Roman;Times;serif" w:hAnsi="Times New Roman;Times;serif"/>
          <w:sz w:val="22"/>
          <w:u w:val="single"/>
        </w:rPr>
        <w:t>Section 2.17</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Defaulting Lender Cure</w:t>
      </w:r>
      <w:r>
        <w:rPr>
          <w:rFonts w:ascii="Times New Roman;Times;serif" w:hAnsi="Times New Roman;Times;serif"/>
          <w:sz w:val="22"/>
        </w:rPr>
        <w:t xml:space="preserve">. If the Company, the Administrative Agent, Swing Line Lender and the L/C Issuers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Committed Loans and funded and unfunded participations in Letters of Credit and Swing Line Loans to be held on a pro rata basis by the Lenders in accordance with their Applicable Percentages (without giving effect to </w:t>
      </w:r>
      <w:r>
        <w:rPr>
          <w:rFonts w:ascii="Times New Roman;Times;serif" w:hAnsi="Times New Roman;Times;serif"/>
          <w:sz w:val="22"/>
          <w:u w:val="single"/>
        </w:rPr>
        <w:t>Section 2.17(a)(iv)</w:t>
      </w:r>
      <w:r>
        <w:rPr>
          <w:rFonts w:ascii="Times New Roman;Times;serif" w:hAnsi="Times New Roman;Times;serif"/>
          <w:sz w:val="22"/>
        </w:rPr>
        <w:t>), whereupon that Lender will cease to be a Defaulting Lender; provided that no adjustments will be made retroactively with respect to fees accrued or payments made by or on behalf of the Company while that Lender was a Defaulting Lender; and provided, further,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III.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TAXES, YIELD PROTECTION AND ILLEGALITY</w:t>
      </w:r>
    </w:p>
    <w:tbl>
      <w:tblPr>
        <w:tblW w:w="1128" w:type="dxa"/>
        <w:jc w:val="left"/>
        <w:tblInd w:w="0" w:type="dxa"/>
        <w:tblLayout w:type="fixed"/>
        <w:tblCellMar>
          <w:top w:w="0" w:type="dxa"/>
          <w:left w:w="0" w:type="dxa"/>
          <w:bottom w:w="0" w:type="dxa"/>
          <w:right w:w="0" w:type="dxa"/>
        </w:tblCellMar>
      </w:tblPr>
      <w:tblGrid>
        <w:gridCol w:w="23"/>
        <w:gridCol w:w="440"/>
        <w:gridCol w:w="66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40"/>
              <w:jc w:val="left"/>
              <w:rPr>
                <w:rFonts w:ascii="Times New Roman;Times;serif" w:hAnsi="Times New Roman;Times;serif"/>
                <w:b/>
                <w:sz w:val="22"/>
              </w:rPr>
            </w:pPr>
            <w:r>
              <w:rPr>
                <w:rFonts w:ascii="Times New Roman;Times;serif" w:hAnsi="Times New Roman;Times;serif"/>
                <w:b/>
                <w:sz w:val="22"/>
              </w:rPr>
              <w:t>3.01</w:t>
            </w:r>
          </w:p>
        </w:tc>
        <w:tc>
          <w:tcPr>
            <w:tcW w:w="665" w:type="dxa"/>
            <w:tcBorders/>
            <w:vAlign w:val="center"/>
          </w:tcPr>
          <w:p>
            <w:pPr>
              <w:pStyle w:val="TableContents"/>
              <w:bidi w:val="0"/>
              <w:spacing w:before="0" w:after="240"/>
              <w:jc w:val="left"/>
              <w:rPr>
                <w:rFonts w:ascii="Times New Roman;Times;serif" w:hAnsi="Times New Roman;Times;serif"/>
                <w:b/>
                <w:sz w:val="22"/>
              </w:rPr>
            </w:pPr>
            <w:r>
              <w:rPr>
                <w:rFonts w:ascii="Times New Roman;Times;serif" w:hAnsi="Times New Roman;Times;serif"/>
                <w:b/>
                <w:sz w:val="22"/>
              </w:rPr>
              <w:t>Taxes.</w:t>
            </w:r>
          </w:p>
        </w:tc>
      </w:tr>
    </w:tbl>
    <w:tbl>
      <w:tblPr>
        <w:tblW w:w="7938" w:type="dxa"/>
        <w:jc w:val="left"/>
        <w:tblInd w:w="0" w:type="dxa"/>
        <w:tblLayout w:type="fixed"/>
        <w:tblCellMar>
          <w:top w:w="0" w:type="dxa"/>
          <w:left w:w="0" w:type="dxa"/>
          <w:bottom w:w="0" w:type="dxa"/>
          <w:right w:w="0" w:type="dxa"/>
        </w:tblCellMar>
      </w:tblPr>
      <w:tblGrid>
        <w:gridCol w:w="23"/>
        <w:gridCol w:w="275"/>
        <w:gridCol w:w="764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w:t>
            </w:r>
          </w:p>
        </w:tc>
        <w:tc>
          <w:tcPr>
            <w:tcW w:w="76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2"/>
                <w:u w:val="single"/>
              </w:rPr>
              <w:t>Payments Free of Taxes; Obligation to Withhold; Payments on Account of Taxes</w:t>
            </w:r>
            <w:r>
              <w:rPr>
                <w:rFonts w:ascii="Times New Roman;Times;serif" w:hAnsi="Times New Roman;Times;serif"/>
                <w:sz w:val="22"/>
              </w:rPr>
              <w:t>.</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Times New Roman;Times;serif" w:hAnsi="Times New Roman;Times;serif"/>
          <w:sz w:val="22"/>
          <w:u w:val="single"/>
        </w:rPr>
        <w:t>subsection (e)</w:t>
      </w:r>
      <w:r>
        <w:rPr>
          <w:rFonts w:ascii="Times New Roman;Times;serif" w:hAnsi="Times New Roman;Times;serif"/>
          <w:sz w:val="20"/>
        </w:rPr>
        <w:t xml:space="preserve"> </w:t>
      </w:r>
      <w:r>
        <w:rPr>
          <w:rFonts w:ascii="Times New Roman;Times;serif" w:hAnsi="Times New Roman;Times;serif"/>
          <w:sz w:val="22"/>
        </w:rPr>
        <w:t>below.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 xml:space="preserve">If any Loan Party or the Administrative Agent shall be required by the Code to withhold or deduct any Taxes, including United States withholding taxes, from any payment, then (A) the Administrative Agent shall withhold or make such deductions as are determined by the Administrative Agent to be required based upon the information and documentation it has received pursuant to </w:t>
      </w:r>
      <w:r>
        <w:rPr>
          <w:rFonts w:ascii="Times New Roman;Times;serif" w:hAnsi="Times New Roman;Times;serif"/>
          <w:sz w:val="22"/>
          <w:u w:val="single"/>
        </w:rPr>
        <w:t>subsection (e)</w:t>
      </w:r>
      <w:r>
        <w:rPr>
          <w:rFonts w:ascii="Times New Roman;Times;serif" w:hAnsi="Times New Roman;Times;serif"/>
          <w:sz w:val="20"/>
        </w:rPr>
        <w:t xml:space="preserve"> </w:t>
      </w:r>
      <w:r>
        <w:rPr>
          <w:rFonts w:ascii="Times New Roman;Times;serif" w:hAnsi="Times New Roman;Times;serif"/>
          <w:sz w:val="22"/>
        </w:rPr>
        <w:t xml:space="preserve">below, (B) the Administrative Agent shall timely pay the full amount withheld or deducted to the relevant Governmental Authority in accordance with the Code, and (C) to the extent such withholding or deduction is made on account of Indemnified Taxes, the sum payable by the applicable Loan Party shall be increased as necessary so that after such required withholding or the making of such required deductions (including deductions applicable to additional sums payable under this </w:t>
      </w:r>
      <w:r>
        <w:rPr>
          <w:rFonts w:ascii="Times New Roman;Times;serif" w:hAnsi="Times New Roman;Times;serif"/>
          <w:sz w:val="22"/>
          <w:u w:val="single"/>
        </w:rPr>
        <w:t>Section 3.01(a)(ii)</w:t>
      </w:r>
      <w:r>
        <w:rPr>
          <w:rFonts w:ascii="Times New Roman;Times;serif" w:hAnsi="Times New Roman;Times;serif"/>
          <w:sz w:val="22"/>
        </w:rPr>
        <w:t>) the applicable Recipient receives an amount equal to the sum it would have received had no such withholding or deduction been made.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 xml:space="preserve">If any Loan Party or the Administrative Agent shall be required by any applicable Laws other than the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Times New Roman;Times;serif" w:hAnsi="Times New Roman;Times;serif"/>
          <w:sz w:val="22"/>
          <w:u w:val="single"/>
        </w:rPr>
        <w:t>subsection (e)</w:t>
      </w:r>
      <w:r>
        <w:rPr>
          <w:rFonts w:ascii="Times New Roman;Times;serif" w:hAnsi="Times New Roman;Times;serif"/>
          <w:sz w:val="20"/>
        </w:rPr>
        <w:t xml:space="preserve"> </w:t>
      </w:r>
      <w:r>
        <w:rPr>
          <w:rFonts w:ascii="Times New Roman;Times;serif" w:hAnsi="Times New Roman;Times;serif"/>
          <w:sz w:val="22"/>
        </w:rPr>
        <w:t>below, (B) such Loan Party or the Administrative Agent, to the extent required by such Laws, shall timely pay the full amount so withheld or deducted to the relevant Governmental Authority in accordance with such Laws, and (C) to the extent that such withholding or deduction is made on account of Indemnified Taxes, the sum payable by the applicable Loan Party shall be increased as necessary so that after such required withholding or the making of such required deductions (including deductions applicable to additional sums payable under this Section 3.01(a)(iii)) the applicable Recipient receives an amount equal to the sum it would have received had no such withholding or deduction been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Payment of Other Taxes by the Borrowers</w:t>
      </w:r>
      <w:r>
        <w:rPr>
          <w:rFonts w:ascii="Times New Roman;Times;serif" w:hAnsi="Times New Roman;Times;serif"/>
          <w:sz w:val="22"/>
        </w:rPr>
        <w:t xml:space="preserve">. Without limiting the provisions of </w:t>
      </w:r>
      <w:r>
        <w:rPr>
          <w:rFonts w:ascii="Times New Roman;Times;serif" w:hAnsi="Times New Roman;Times;serif"/>
          <w:sz w:val="22"/>
          <w:u w:val="single"/>
        </w:rPr>
        <w:t>subsection (a)</w:t>
      </w:r>
      <w:r>
        <w:rPr>
          <w:rFonts w:ascii="Times New Roman;Times;serif" w:hAnsi="Times New Roman;Times;serif"/>
          <w:sz w:val="20"/>
        </w:rPr>
        <w:t xml:space="preserve"> </w:t>
      </w:r>
      <w:r>
        <w:rPr>
          <w:rFonts w:ascii="Times New Roman;Times;serif" w:hAnsi="Times New Roman;Times;serif"/>
          <w:sz w:val="22"/>
        </w:rPr>
        <w:t>above, each Borrower shall timely pay to the relevant Governmental Authority in accordance with applicable law, or at the option of the Administrative Agent timely reimburse it for the payment of, any Other Taxes.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Tax Indemnifications</w:t>
      </w:r>
      <w:r>
        <w:rPr>
          <w:rFonts w:ascii="Times New Roman;Times;serif" w:hAnsi="Times New Roman;Times;serif"/>
          <w:sz w:val="22"/>
        </w:rPr>
        <w:t>.</w:t>
      </w:r>
    </w:p>
    <w:p>
      <w:pPr>
        <w:pStyle w:val="TextBody"/>
        <w:bidi w:val="0"/>
        <w:spacing w:before="0" w:after="240"/>
        <w:ind w:left="0" w:right="0" w:hanging="718"/>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 xml:space="preserve">Without limiting the provisions of </w:t>
      </w:r>
      <w:r>
        <w:rPr>
          <w:rFonts w:ascii="Times New Roman;Times;serif" w:hAnsi="Times New Roman;Times;serif"/>
          <w:sz w:val="22"/>
          <w:u w:val="single"/>
        </w:rPr>
        <w:t>subsection (a)</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(b)</w:t>
      </w:r>
      <w:r>
        <w:rPr>
          <w:rFonts w:ascii="Times New Roman;Times;serif" w:hAnsi="Times New Roman;Times;serif"/>
          <w:sz w:val="20"/>
        </w:rPr>
        <w:t xml:space="preserve"> </w:t>
      </w:r>
      <w:r>
        <w:rPr>
          <w:rFonts w:ascii="Times New Roman;Times;serif" w:hAnsi="Times New Roman;Times;serif"/>
          <w:sz w:val="22"/>
        </w:rPr>
        <w:t xml:space="preserve">above, each Borrower shall, and does hereby, jointly and severally indemnify each Recipient and shall make payment in respect thereof within 10 days after demand therefor, for the full amount of any Indemnified Taxes (including Indemnified Taxes imposed or asserted on or attributable to amounts payable under this </w:t>
      </w:r>
      <w:r>
        <w:rPr>
          <w:rFonts w:ascii="Times New Roman;Times;serif" w:hAnsi="Times New Roman;Times;serif"/>
          <w:sz w:val="22"/>
          <w:u w:val="single"/>
        </w:rPr>
        <w:t>Section 3.01</w:t>
      </w:r>
      <w:r>
        <w:rPr>
          <w:rFonts w:ascii="Times New Roman;Times;serif" w:hAnsi="Times New Roman;Times;serif"/>
          <w:sz w:val="22"/>
        </w:rPr>
        <w:t xml:space="preserve">) payable or paid by such Recipient or required to be withheld or deducted from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Company by a Lender or an L/C Issuer (with a copy to the Administrative Agent), or by the Administrative Agent on its own behalf or on behalf of a Lender or an L/C Issuer, shall be conclusive absent manifest error. Each Borrower shall, and does hereby, jointly and severally indemnify the Administrative Agent, and shall make payment in respect thereof within 10 days after such Borrower’s receipt of such certificate, showing the amount of the payment requested, for any amount which a Lender or an L/C Issuer for any reason fails to pay indefeasibly to the Administrative Agent as required pursuant to </w:t>
      </w:r>
      <w:r>
        <w:rPr>
          <w:rFonts w:ascii="Times New Roman;Times;serif" w:hAnsi="Times New Roman;Times;serif"/>
          <w:sz w:val="22"/>
          <w:u w:val="single"/>
        </w:rPr>
        <w:t>Section 3.01(c)(ii)</w:t>
      </w:r>
      <w:r>
        <w:rPr>
          <w:rFonts w:ascii="Times New Roman;Times;serif" w:hAnsi="Times New Roman;Times;serif"/>
          <w:sz w:val="20"/>
        </w:rPr>
        <w:t xml:space="preserve"> </w:t>
      </w:r>
      <w:r>
        <w:rPr>
          <w:rFonts w:ascii="Times New Roman;Times;serif" w:hAnsi="Times New Roman;Times;serif"/>
          <w:sz w:val="22"/>
        </w:rPr>
        <w:t>below.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 xml:space="preserve">Each Lender and each L/C Issuer shall, and does hereby, severally indemnify, and shall make payment in respect thereof within 10 days after demand therefor, (x) the Administrative Agent against any Indemnified Taxes attributable to such Lender or such L/C Issuer (but only to the extent that any Borrower has not already indemnified the Administrative Agent for such Indemnified Taxes and without limiting the obligation of the Borrowers to do so), (y) the Administrative Agent and the Borrowers, as applicable, against any Taxes attributable to such Lender’s failure to comply with the provisions of </w:t>
      </w:r>
      <w:r>
        <w:rPr>
          <w:rFonts w:ascii="Times New Roman;Times;serif" w:hAnsi="Times New Roman;Times;serif"/>
          <w:sz w:val="22"/>
          <w:u w:val="single"/>
        </w:rPr>
        <w:t>Section 10.06(e)</w:t>
      </w:r>
      <w:r>
        <w:rPr>
          <w:rFonts w:ascii="Times New Roman;Times;serif" w:hAnsi="Times New Roman;Times;serif"/>
          <w:sz w:val="20"/>
        </w:rPr>
        <w:t xml:space="preserve"> </w:t>
      </w:r>
      <w:r>
        <w:rPr>
          <w:rFonts w:ascii="Times New Roman;Times;serif" w:hAnsi="Times New Roman;Times;serif"/>
          <w:sz w:val="22"/>
        </w:rPr>
        <w:t xml:space="preserve">relating to the maintenance of a Participant Register and (z) the Administrative Agent and the Borrowers, as applicable, against any Excluded Taxes attributable to such Lender or such L/C Issuer, in each case, that are payable or paid by the Administrative Agent or a Borrower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and each L/C Issuer hereby authorizes the Administrative Agent to set off and apply any and all amounts at any time owing to such Lender or such L/C Issuer, as the case may be, under this Agreement or any other Loan Document against any amount due to the Administrative Agent under this </w:t>
      </w:r>
      <w:r>
        <w:rPr>
          <w:rFonts w:ascii="Times New Roman;Times;serif" w:hAnsi="Times New Roman;Times;serif"/>
          <w:sz w:val="22"/>
          <w:u w:val="single"/>
        </w:rPr>
        <w:t>clause (ii)</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 xml:space="preserve">Each Lender and each L/C Issuer shall, and does hereby, severally indemnify, and shall make payment in respect thereof within 10 days after demand therefor, any Borrower for any loss incurred by such Borrower as a result of such Borrower being required to make a payment to the Administrative Agent pursuant to the last sentence of </w:t>
      </w:r>
      <w:r>
        <w:rPr>
          <w:rFonts w:ascii="Times New Roman;Times;serif" w:hAnsi="Times New Roman;Times;serif"/>
          <w:sz w:val="22"/>
          <w:u w:val="single"/>
        </w:rPr>
        <w:t>Section 3.01(c)(i)</w:t>
      </w:r>
      <w:r>
        <w:rPr>
          <w:rFonts w:ascii="Times New Roman;Times;serif" w:hAnsi="Times New Roman;Times;serif"/>
          <w:sz w:val="20"/>
        </w:rPr>
        <w:t xml:space="preserve"> </w:t>
      </w:r>
      <w:r>
        <w:rPr>
          <w:rFonts w:ascii="Times New Roman;Times;serif" w:hAnsi="Times New Roman;Times;serif"/>
          <w:sz w:val="22"/>
        </w:rPr>
        <w:t>with respect to such Lender or L/C Issuer.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Evidence of Payments</w:t>
      </w:r>
      <w:r>
        <w:rPr>
          <w:rFonts w:ascii="Times New Roman;Times;serif" w:hAnsi="Times New Roman;Times;serif"/>
          <w:sz w:val="22"/>
        </w:rPr>
        <w:t xml:space="preserve">. Upon request by a Borrower or the Administrative Agent, as the case may be, after any payment of Taxes by a Borrower or by the Administrative Agent to a Governmental Authority as provided in this </w:t>
      </w:r>
      <w:r>
        <w:rPr>
          <w:rFonts w:ascii="Times New Roman;Times;serif" w:hAnsi="Times New Roman;Times;serif"/>
          <w:sz w:val="22"/>
          <w:u w:val="single"/>
        </w:rPr>
        <w:t>Section 3.01</w:t>
      </w:r>
      <w:r>
        <w:rPr>
          <w:rFonts w:ascii="Times New Roman;Times;serif" w:hAnsi="Times New Roman;Times;serif"/>
          <w:sz w:val="22"/>
        </w:rPr>
        <w:t>, such Borrower shall deliver to the Administrative Agent or the Administrative Agent shall deliver to such Borrower, as the case may be, the original or a certified copy of a receipt issued by such Governmental Authority evidencing such payment, a copy of any return required by Laws to report such payment or other evidence of such payment reasonably satisfactory to such Borrower or the Administrative Agent,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u w:val="single"/>
        </w:rPr>
        <w:t>Status of Lenders; Tax Documentation</w:t>
      </w:r>
      <w:r>
        <w:rPr>
          <w:rFonts w:ascii="Times New Roman;Times;serif" w:hAnsi="Times New Roman;Times;serif"/>
          <w:sz w:val="22"/>
        </w:rPr>
        <w:t>.</w:t>
      </w:r>
    </w:p>
    <w:p>
      <w:pPr>
        <w:pStyle w:val="TextBody"/>
        <w:bidi w:val="0"/>
        <w:spacing w:before="0" w:after="240"/>
        <w:ind w:left="0" w:right="0" w:hanging="718"/>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 xml:space="preserve">Any Lender that is entitled to an exemption from or reduction of withholding Tax with respect to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shall deliver such other documentation prescribed by applicable law or the taxing authority of a jurisdiction pursuant to such applicable law or reasonably requested by the Company or the Administrative Agent as will enable the Company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either (A) set forth in </w:t>
      </w:r>
      <w:r>
        <w:rPr>
          <w:rFonts w:ascii="Times New Roman;Times;serif" w:hAnsi="Times New Roman;Times;serif"/>
          <w:sz w:val="22"/>
          <w:u w:val="single"/>
        </w:rPr>
        <w:t>Section 3.01(e)(ii)(A)</w:t>
      </w:r>
      <w:r>
        <w:rPr>
          <w:rFonts w:ascii="Times New Roman;Times;serif" w:hAnsi="Times New Roman;Times;serif"/>
          <w:sz w:val="22"/>
        </w:rPr>
        <w:t xml:space="preserve">, </w:t>
      </w:r>
      <w:r>
        <w:rPr>
          <w:rFonts w:ascii="Times New Roman;Times;serif" w:hAnsi="Times New Roman;Times;serif"/>
          <w:sz w:val="22"/>
          <w:u w:val="single"/>
        </w:rPr>
        <w:t>(ii)(B)</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(ii)(D)</w:t>
      </w:r>
      <w:r>
        <w:rPr>
          <w:rFonts w:ascii="Times New Roman;Times;serif" w:hAnsi="Times New Roman;Times;serif"/>
          <w:sz w:val="20"/>
        </w:rPr>
        <w:t xml:space="preserve"> </w:t>
      </w:r>
      <w:r>
        <w:rPr>
          <w:rFonts w:ascii="Times New Roman;Times;serif" w:hAnsi="Times New Roman;Times;serif"/>
          <w:sz w:val="22"/>
        </w:rPr>
        <w:t>below or (B) required by applicable law other than the Code or the taxing authorities of the jurisdiction pursuant to such applicable law to comply with the requirements for exemption or reduction of withholding tax in that jurisdiction)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Without limiting the generality of the foregoing, in the event that a Borrower is a U.S. Person,</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z w:val="22"/>
        </w:rPr>
        <w:t>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2"/>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on behalf of such Borrower or the Administrative Agent), whichever of the following is applicable:</w:t>
      </w:r>
    </w:p>
    <w:p>
      <w:pPr>
        <w:pStyle w:val="TextBody"/>
        <w:bidi w:val="0"/>
        <w:spacing w:before="0" w:after="240"/>
        <w:ind w:left="2160" w:right="0" w:firstLine="720"/>
        <w:jc w:val="both"/>
        <w:rPr>
          <w:rFonts w:ascii="Times New Roman;Times;serif" w:hAnsi="Times New Roman;Times;serif"/>
          <w:sz w:val="22"/>
        </w:rPr>
      </w:pPr>
      <w:r>
        <w:rPr>
          <w:rFonts w:ascii="Times New Roman;Times;serif" w:hAnsi="Times New Roman;Times;serif"/>
          <w:sz w:val="22"/>
        </w:rPr>
        <w:t>(I)in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pStyle w:val="TextBody"/>
        <w:bidi w:val="0"/>
        <w:spacing w:before="0" w:after="240"/>
        <w:ind w:left="2160" w:right="0" w:firstLine="720"/>
        <w:jc w:val="both"/>
        <w:rPr>
          <w:rFonts w:ascii="Times New Roman;Times;serif" w:hAnsi="Times New Roman;Times;serif"/>
          <w:sz w:val="22"/>
        </w:rPr>
      </w:pPr>
      <w:r>
        <w:rPr>
          <w:rFonts w:ascii="Times New Roman;Times;serif" w:hAnsi="Times New Roman;Times;serif"/>
          <w:sz w:val="22"/>
        </w:rPr>
        <w:t>(II)executed copies of IRS Form W-8ECI;</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2"/>
        </w:rPr>
        <w:t xml:space="preserve">(III)in the case of a Foreign Lender claiming the benefits of the exemption for portfolio interest under Section 881(c) of the Code, (x) a certificate substantially in the form of </w:t>
      </w:r>
      <w:r>
        <w:rPr>
          <w:rFonts w:ascii="Times New Roman;Times;serif" w:hAnsi="Times New Roman;Times;serif"/>
          <w:sz w:val="22"/>
          <w:u w:val="single"/>
        </w:rPr>
        <w:t>Exhibit L-1</w:t>
      </w:r>
      <w:r>
        <w:rPr>
          <w:rFonts w:ascii="Times New Roman;Times;serif" w:hAnsi="Times New Roman;Times;serif"/>
          <w:sz w:val="20"/>
        </w:rPr>
        <w:t xml:space="preserve"> </w:t>
      </w:r>
      <w:r>
        <w:rPr>
          <w:rFonts w:ascii="Times New Roman;Times;serif" w:hAnsi="Times New Roman;Times;serif"/>
          <w:sz w:val="22"/>
        </w:rPr>
        <w:t>to the effect that such Foreign Lender is not a “bank” within the meaning of Section 881(c)(3)(A) of the Code,</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2160" w:right="0" w:hanging="0"/>
        <w:jc w:val="both"/>
        <w:rPr>
          <w:rFonts w:ascii="Times New Roman;Times;serif" w:hAnsi="Times New Roman;Times;serif"/>
          <w:sz w:val="22"/>
        </w:rPr>
      </w:pPr>
      <w:r>
        <w:rPr>
          <w:rFonts w:ascii="Times New Roman;Times;serif" w:hAnsi="Times New Roman;Times;serif"/>
          <w:sz w:val="22"/>
        </w:rPr>
        <w:t>a “10 percent shareholder” of any Borrower within the meaning of Section 881(c)(3)(B) of the Code, or a “controlled foreign corporation” described in Section 881(c)(3)(C) of the Code (a “U.S. Tax Compliance Certificate”) and (y) executed copies of IRS Form W-8BEN-E (or W-8BEN, as applicable); or</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sz w:val="22"/>
        </w:rPr>
        <w:t xml:space="preserve">(IV)to the extent a Foreign Lender is not the beneficial owner, executed copies of IRS Form W-8IMY, accompanied by IRS Form W-8ECI, IRS Form W-8BEN-E (or W-8BEN, as applicable), a U.S. Tax Compliance Certificate substantially in the form of </w:t>
      </w:r>
      <w:r>
        <w:rPr>
          <w:rFonts w:ascii="Times New Roman;Times;serif" w:hAnsi="Times New Roman;Times;serif"/>
          <w:sz w:val="22"/>
          <w:u w:val="single"/>
        </w:rPr>
        <w:t>Exhibit L-2</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Exhibit L-3</w:t>
      </w:r>
      <w:r>
        <w:rPr>
          <w:rFonts w:ascii="Times New Roman;Times;serif" w:hAnsi="Times New Roman;Times;serif"/>
          <w:sz w:val="22"/>
        </w:rPr>
        <w:t xml:space="preserv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Times;serif" w:hAnsi="Times New Roman;Times;serif"/>
          <w:sz w:val="22"/>
          <w:u w:val="single"/>
        </w:rPr>
        <w:t>Exhibit L-4</w:t>
      </w:r>
      <w:r>
        <w:rPr>
          <w:rFonts w:ascii="Times New Roman;Times;serif" w:hAnsi="Times New Roman;Times;serif"/>
          <w:sz w:val="20"/>
        </w:rPr>
        <w:t xml:space="preserve"> </w:t>
      </w:r>
      <w:r>
        <w:rPr>
          <w:rFonts w:ascii="Times New Roman;Times;serif" w:hAnsi="Times New Roman;Times;serif"/>
          <w:sz w:val="22"/>
        </w:rPr>
        <w:t>on behalf of each such direct and indirect partner;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(C)</w:t>
      </w:r>
      <w:r>
        <w:rPr>
          <w:rFonts w:ascii="Times New Roman;Times;serif" w:hAnsi="Times New Roman;Times;serif"/>
          <w:sz w:val="22"/>
        </w:rPr>
        <w:t>any Foreign Lender shall, to the extent it is legally entitled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of any other form prescribed by applicable law as a basis for claiming exemption from or a reduction in U.S. federal withholding Tax, duly completed, together with such supplementary documentation as may be prescribed by applicable Laws to permit such Borrower or the Administrative Agent to determine the withholding or deduction required to be made;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(D)</w:t>
      </w:r>
      <w:r>
        <w:rPr>
          <w:rFonts w:ascii="Times New Roman;Times;serif" w:hAnsi="Times New Roman;Times;serif"/>
          <w:sz w:val="22"/>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any Borrower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Times;serif" w:hAnsi="Times New Roman;Times;serif"/>
          <w:sz w:val="22"/>
          <w:u w:val="single"/>
        </w:rPr>
        <w:t>clause (D)</w:t>
      </w:r>
      <w:r>
        <w:rPr>
          <w:rFonts w:ascii="Times New Roman;Times;serif" w:hAnsi="Times New Roman;Times;serif"/>
          <w:sz w:val="22"/>
        </w:rPr>
        <w:t>, “FATCA” shall include any amendments made to FATCA after the date of this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Each Lender shall promptly (A) notify the Company and the Administrative Agent of any change in circumstances which would modify or render invalid any claimed exemption or reduction, and (B) take such steps as shall not be materially disadvantageous to it, in the reasonable judgment of such Lender, and as may be reasonably necessary (including the re-designation of its Lending Office) to avoid any requirement of applicable Laws of any jurisdiction that any Borrower or the Administrative Agent make any withholding or deduction for taxes from amounts payable to such Lender.</w:t>
      </w:r>
    </w:p>
    <w:p>
      <w:pPr>
        <w:pStyle w:val="TextBody"/>
        <w:bidi w:val="0"/>
        <w:spacing w:before="0" w:after="240"/>
        <w:ind w:left="0" w:right="0" w:firstLine="784"/>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w:t>
      </w:r>
      <w:r>
        <w:rPr>
          <w:rFonts w:ascii="Times New Roman;Times;serif" w:hAnsi="Times New Roman;Times;serif"/>
          <w:sz w:val="22"/>
        </w:rPr>
        <w:t>Each of the Borrowers shall, to the extent it is legally entitled to do so, promptly deliver to the Administrative Agent or any Lender, as the Administrative Agent or such Lender shall reasonably request, on or prior to the Closing Date (or such later date on which it first becomes a Borrower), and in a timely fashion thereafter, such documents and forms as are reasonably available to such Borrower and are required by any relevant taxing authorities under the Laws of any jurisdiction, duly executed and completed by such Borrower, as are required to be furnished by such Lender or the Administrative Agent under such Laws in connection with any payment by the Administrative Agent or any Lender of Taxes, or otherwise in connection with the Loan Documents, with respect to such jurisdiction.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w:t>
      </w:r>
      <w:r>
        <w:rPr>
          <w:rFonts w:ascii="Times New Roman;Times;serif" w:hAnsi="Times New Roman;Times;serif"/>
          <w:sz w:val="22"/>
        </w:rPr>
        <w:t xml:space="preserve">Each Lender agrees that if any form or certification it previously delivered pursuant to this </w:t>
      </w:r>
      <w:r>
        <w:rPr>
          <w:rFonts w:ascii="Times New Roman;Times;serif" w:hAnsi="Times New Roman;Times;serif"/>
          <w:sz w:val="22"/>
          <w:u w:val="single"/>
        </w:rPr>
        <w:t>Section 3.01</w:t>
      </w:r>
      <w:r>
        <w:rPr>
          <w:rFonts w:ascii="Times New Roman;Times;serif" w:hAnsi="Times New Roman;Times;serif"/>
          <w:sz w:val="20"/>
        </w:rPr>
        <w:t xml:space="preserve"> </w:t>
      </w:r>
      <w:r>
        <w:rPr>
          <w:rFonts w:ascii="Times New Roman;Times;serif" w:hAnsi="Times New Roman;Times;serif"/>
          <w:sz w:val="22"/>
        </w:rPr>
        <w:t>expires or becomes obsolete or inaccurate in any respect, it shall update such form or certification or promptly notify the Company and the Administrative Agent in writing of its legal inability to do so.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u w:val="single"/>
        </w:rPr>
        <w:t>Treatment of Certain Refunds</w:t>
      </w:r>
      <w:r>
        <w:rPr>
          <w:rFonts w:ascii="Times New Roman;Times;serif" w:hAnsi="Times New Roman;Times;serif"/>
          <w:sz w:val="22"/>
        </w:rPr>
        <w:t xml:space="preserve">. Unless required by applicable Laws, at no time shall the Administrative Agent have any obligation to file for or otherwise pursue on behalf of a Lender or an L/C Issuer, or have any obligation to pay to any Lender or any L/C Issuer, any refund of Taxes withheld or deducted from funds paid for the account of such Lender or such L/C Issuer, as the case may be. If any Recipient determines, in its sole discretion, that it has received a refund of any Taxes as to which it has been indemnified by any Borrower or with respect to which any Borrower has paid additional amounts pursuant to this Section, it shall pay to such Borrower an amount equal to such refund (but only to the extent of indemnity payments made, or additional amounts paid, by such Borrower under this Section 3.01 with respect to the Taxes giving rise to such refund), net of all out-of-pocket expenses (including Taxes) incurred by such Recipient and net of any loss or gain realized in the conversion of such funds from or to another currency incurred by the Recipient, and without interest (other than any interest paid by the relevant Governmental Authority with respect to such refund),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each Borrower, upon the request of the Recipient shall repay the amount paid over to such Borrower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any penalties, interest or other charges imposed by the relevant Governmental Authority) to the Recipient in the event the Recipient is required to repay such refund to such Governmental Authority. Notwithstanding anything to the contrary in this subsection, in no event will the Recipient be required to pay any amount to any Borrower pursuant to this subsection the payment of which would place the Recipient in a less favorable net after-Tax position than the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Borrower or any other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u w:val="single"/>
        </w:rPr>
        <w:t>Survival</w:t>
      </w:r>
      <w:r>
        <w:rPr>
          <w:rFonts w:ascii="Times New Roman;Times;serif" w:hAnsi="Times New Roman;Times;serif"/>
          <w:sz w:val="22"/>
        </w:rPr>
        <w:t xml:space="preserve">. Each party’s obligations under this </w:t>
      </w:r>
      <w:r>
        <w:rPr>
          <w:rFonts w:ascii="Times New Roman;Times;serif" w:hAnsi="Times New Roman;Times;serif"/>
          <w:sz w:val="22"/>
          <w:u w:val="single"/>
        </w:rPr>
        <w:t>Section 3.01</w:t>
      </w:r>
      <w:r>
        <w:rPr>
          <w:rFonts w:ascii="Times New Roman;Times;serif" w:hAnsi="Times New Roman;Times;serif"/>
          <w:sz w:val="20"/>
        </w:rPr>
        <w:t xml:space="preserve"> </w:t>
      </w:r>
      <w:r>
        <w:rPr>
          <w:rFonts w:ascii="Times New Roman;Times;serif" w:hAnsi="Times New Roman;Times;serif"/>
          <w:sz w:val="22"/>
        </w:rPr>
        <w:t>shall survive the resignation or replacement of the Administrative Agent or any assignment of rights by, or the replacement of, a Lender or an L/C Issuer, the termination of the Commitments and the repayment, satisfaction or discharge of all other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3.02</w:t>
      </w:r>
      <w:r>
        <w:rPr>
          <w:rFonts w:ascii="Times New Roman;Times;serif" w:hAnsi="Times New Roman;Times;serif"/>
          <w:b/>
          <w:sz w:val="22"/>
        </w:rPr>
        <w:t>Illegality</w:t>
      </w:r>
      <w:r>
        <w:rPr>
          <w:rFonts w:ascii="Times New Roman;Times;serif" w:hAnsi="Times New Roman;Times;serif"/>
          <w:sz w:val="22"/>
        </w:rPr>
        <w:t>. If any Lender determines that any Law has made it unlawful, or that any Governmental Authority has asserted that it is unlawful, for any Lender or its applicable Lending Office to make, maintain or fund Loans whose interest is determined by reference to a Relevant Rate (whether denominated in Dollars or an Alternative Currency), or to determine or charge interest rates based upon a Relevant Rate, or any Governmental Authority has imposed material restrictions on the authority of such Lender to purchase or sell, or to take deposits of, Dollars or any Alternative Currency in the applicable interbank market, then, on notice thereof by such Lender to the Company through the Administrative Agent, (i) any obligation of such Lender to make or maintain Euro Swing Line Loans, make or maintain</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Alternative Currency Loans in the affected currency or currencies or, in the case of Committed Loans denominated in Dollars, make or maintain Term SOFR Loans or SOFR Daily Floating Rate Loans or to convert Base Rate Committed Loans to Term SOFR Loans or SOFR Daily Floating Rate Loans, shall, in each case, be suspended, and (ii) if such notice asserts the illegality of such Lender making or maintaining Base Rate Loans the interest rate on which is determined by reference to the Term SOFR component of the Base Rate, the interest rate on which Base Rate Loans of such Lender shall, if necessary to avoid such illegality, be determined by the Administrative Agent without reference to the Term SOFR component of the Base Rate, in each case until such Lender notifies the Administrative Agent and the Company that the circumstances giving rise to such determination no longer exist. Upon receipt of such notice, (x) the Borrowers shall, upon demand from such Lender (with a copy to the Administrative Agent), prepay or, if applicable and such Loans are denominated in Dollars, convert all such Term SOFR Loans, SOFR Daily Floating Rate Loans and Alternative Currency Loans of such Lender to Base Rate Loans (the interest rate on which Base Rate Loans of such Lender shall, if necessary to avoid such illegality, be determined by the Administrative Agent without reference to the Term SOFR component of the Base Rate), either on the last day of the Interest Period therefor, if such Lender may lawfully continue to maintain such Term SOFR Loans, SOFR Daily Floating Rate Loans or Alternative Currency Loans to such day, or immediately, if such Lender may not lawfully continue to maintain such Term SOFR Loans, SOFR Daily Floating Rate Loans or Alternative Currency Loans, (y) if such notice relates to Euro Swing Line Loans, prepay all Euro Swing Line Loans immediately and (z) if such notice asserts the illegality of such Lender determining or charging interest rates based upon Term SOFR, the Administrative Agent shall during the period of such suspension compute the Base Rate applicable to such Lender without reference to the Term SOFR component thereof until the Administrative Agent is advised in writing by such Lender that it is no longer illegal for such Lender to determine or charge interest rates based upon Term SOFR. Upon any such prepayment or conversion, the Borrowers shall also pay accrued interest on the amount so prepaid or converted, together with any additional amounts required pursuant to </w:t>
      </w:r>
      <w:r>
        <w:rPr>
          <w:rFonts w:ascii="Times New Roman;Times;serif" w:hAnsi="Times New Roman;Times;serif"/>
          <w:sz w:val="22"/>
          <w:u w:val="single"/>
        </w:rPr>
        <w:t>Section 3.05</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3.03</w:t>
      </w:r>
      <w:r>
        <w:rPr>
          <w:rFonts w:ascii="Times New Roman;Times;serif" w:hAnsi="Times New Roman;Times;serif"/>
          <w:b/>
          <w:sz w:val="22"/>
        </w:rPr>
        <w:t>Inability to Determine Rates</w:t>
      </w:r>
      <w:r>
        <w:rPr>
          <w:rFonts w:ascii="Times New Roman;Times;serif" w:hAnsi="Times New Roman;Times;serif"/>
          <w:sz w:val="22"/>
        </w:rPr>
        <w:t xml:space="preserve">. (a) If in connection with any request for a Term SOFR Loan or a SOFR Daily Floating Rate Loan or an Alternative Currency Loan or a conversion of Base Rate Loans to Term SOFR Loans or SOFR Daily Floating Rate Loans or a continuation of any of such Loans, as applicable, (i) the Administrative Agent determines (which determination shall be conclusive absent manifest error) that (A) no Successor Rate for the Relevant Rate for the applicable currency has been determined in accordance with </w:t>
      </w:r>
      <w:r>
        <w:rPr>
          <w:rFonts w:ascii="Times New Roman;Times;serif" w:hAnsi="Times New Roman;Times;serif"/>
          <w:sz w:val="22"/>
          <w:u w:val="single"/>
        </w:rPr>
        <w:t>Section 3.03(b)</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Section 3.03(c)</w:t>
      </w:r>
      <w:r>
        <w:rPr>
          <w:rFonts w:ascii="Times New Roman;Times;serif" w:hAnsi="Times New Roman;Times;serif"/>
          <w:sz w:val="20"/>
        </w:rPr>
        <w:t xml:space="preserve"> </w:t>
      </w:r>
      <w:r>
        <w:rPr>
          <w:rFonts w:ascii="Times New Roman;Times;serif" w:hAnsi="Times New Roman;Times;serif"/>
          <w:sz w:val="22"/>
        </w:rPr>
        <w:t xml:space="preserve">and the circumstances under </w:t>
      </w:r>
      <w:r>
        <w:rPr>
          <w:rFonts w:ascii="Times New Roman;Times;serif" w:hAnsi="Times New Roman;Times;serif"/>
          <w:sz w:val="22"/>
          <w:u w:val="single"/>
        </w:rPr>
        <w:t>clause (i)</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sz w:val="22"/>
          <w:u w:val="single"/>
        </w:rPr>
        <w:t>Section 3.03(b)</w:t>
      </w:r>
      <w:r>
        <w:rPr>
          <w:rFonts w:ascii="Times New Roman;Times;serif" w:hAnsi="Times New Roman;Times;serif"/>
          <w:sz w:val="20"/>
        </w:rPr>
        <w:t xml:space="preserve"> </w:t>
      </w:r>
      <w:r>
        <w:rPr>
          <w:rFonts w:ascii="Times New Roman;Times;serif" w:hAnsi="Times New Roman;Times;serif"/>
          <w:sz w:val="22"/>
        </w:rPr>
        <w:t xml:space="preserve">or of </w:t>
      </w:r>
      <w:r>
        <w:rPr>
          <w:rFonts w:ascii="Times New Roman;Times;serif" w:hAnsi="Times New Roman;Times;serif"/>
          <w:sz w:val="22"/>
          <w:u w:val="single"/>
        </w:rPr>
        <w:t>Section 3.03(c)</w:t>
      </w:r>
      <w:r>
        <w:rPr>
          <w:rFonts w:ascii="Times New Roman;Times;serif" w:hAnsi="Times New Roman;Times;serif"/>
          <w:sz w:val="20"/>
        </w:rPr>
        <w:t xml:space="preserve"> </w:t>
      </w:r>
      <w:r>
        <w:rPr>
          <w:rFonts w:ascii="Times New Roman;Times;serif" w:hAnsi="Times New Roman;Times;serif"/>
          <w:sz w:val="22"/>
        </w:rPr>
        <w:t>or the Scheduled Unavailability Date has occurred with respect to such Relevant Rate (as applicable), or (B) adequate and reasonable means do not otherwise exist for determining the Relevant Rate for the applicable currency for any determination date(s) or requested Interest Period, as applicable, with respect to a proposed Term SOFR Loan, SOFR Daily Floating Rate Loan or an Alternative Currency Loan or in connection with an existing or proposed Base Rate Loan, or (ii) the Administrative Agent or the Required Lenders determine that for any reason that the Relevant Rate with respect to a proposed Loan denominated in a currency for any requested Interest Period or determination date(s) does not adequately and fairly reflect the cost to such Lenders of funding such Loan, the Administrative Agent will promptly so notify the Company and each Lender.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Thereafter, (x) the obligation of the Lenders to make or maintain Loans in the affected currencies, as applicable, or to convert Base Rate Loans to Term SOFR Loans or SOFR Daily Floating Rate Loans, shall be suspended in each case to the extent of the affected Alternative Currency Loans or Interest Period or determination date(s), as applicable, and (y) 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w:t>
      </w:r>
      <w:r>
        <w:rPr>
          <w:rFonts w:ascii="Times New Roman;Times;serif" w:hAnsi="Times New Roman;Times;serif"/>
          <w:sz w:val="22"/>
          <w:u w:val="single"/>
        </w:rPr>
        <w:t>clause (ii)</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2"/>
        </w:rPr>
        <w:t xml:space="preserve">of this </w:t>
      </w:r>
      <w:r>
        <w:rPr>
          <w:rFonts w:ascii="Times New Roman;Times;serif" w:hAnsi="Times New Roman;Times;serif"/>
          <w:sz w:val="22"/>
          <w:u w:val="single"/>
        </w:rPr>
        <w:t>Section 3.03(a)</w:t>
      </w:r>
      <w:r>
        <w:rPr>
          <w:rFonts w:ascii="Times New Roman;Times;serif" w:hAnsi="Times New Roman;Times;serif"/>
          <w:sz w:val="22"/>
        </w:rPr>
        <w:t>, until the Administrative Agent upon instruction of the Required Lenders) revokes such notice.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Upon receipt of such notice, (i) the Borrowers may revoke any pending request for a Committed Borrowing of, or conversion to Term SOFR Loans or SOFR Daily Floating Rate Loans, or Committed Borrowing of, or continuation of Alternative Currency Loans to the extent of the affected Term SOFR Loans, SOFR Daily Floating Rate Loans, Alternative Currency Loans or Interest Period or determination date(s), as applicable or, failing that, will be deemed to have converted such request into a request for a Committed Borrowing of Base Rate Loans denominated in Dollars in the Dollar Equivalent of the amount specified therein and (ii) (A) any outstanding Term SOFR Loans or SOFR Daily Floating Rate Loans shall be deemed to have been converted to Base Rate Loans immediately and (B) any outstanding affected Alternative Currency Loans, at the Company’s election, shall either (1) be converted into a Committed Borrowing of Base Rate Loans denominated in Dollars in the Dollar Equivalent of the amount of such outstanding Alternative Currency Loan immediately, in the case of an Alternative Currency Daily Rate Loan or at the end of the applicable Interest Period, in the case of an Alternative Currency Term Rate Loan or (2) be prepaid in full immediately, in the case of an Alternative Currency Daily Rate Loan, or at the end of the applicable Interest Period, in the case of an Alternative Currency Term Rate Loan;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if no election is made by the Company (x) in the case of an Alternative Currency Daily Rate Loan, by the date that is three Business Days after receipt by the Company of such notice or (y) in the case of an Alternative Currency Term Rate Loan, by the last day of the current Interest Period for the applicable Alternative Currency Term Rate Loan, the Company shall be deemed to have elected </w:t>
      </w:r>
      <w:r>
        <w:rPr>
          <w:rFonts w:ascii="Times New Roman;Times;serif" w:hAnsi="Times New Roman;Times;serif"/>
          <w:sz w:val="22"/>
          <w:u w:val="single"/>
        </w:rPr>
        <w:t>clause (1)</w:t>
      </w:r>
      <w:r>
        <w:rPr>
          <w:rFonts w:ascii="Times New Roman;Times;serif" w:hAnsi="Times New Roman;Times;serif"/>
          <w:sz w:val="20"/>
        </w:rPr>
        <w:t xml:space="preserve"> </w:t>
      </w:r>
      <w:r>
        <w:rPr>
          <w:rFonts w:ascii="Times New Roman;Times;serif" w:hAnsi="Times New Roman;Times;serif"/>
          <w:sz w:val="22"/>
        </w:rPr>
        <w:t>above.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Replacement of Term SOFR, SOFR Daily Floating Rate or Term SOFR Successor Rate</w:t>
      </w:r>
      <w:r>
        <w:rPr>
          <w:rFonts w:ascii="Times New Roman;Times;serif" w:hAnsi="Times New Roman;Times;serif"/>
          <w:sz w:val="22"/>
        </w:rPr>
        <w:t>. Notwithstanding anything to the contrary in this Agreement or any other Loan Documents,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adequate and reasonable means do not exist for ascertaining each of one month, three month and six month interest periods of Term SOFR (or, in the case of SOFR Daily Floating Rate Loans, the one month interest period of Term SOFR), including, without limitation, because the Term SOFR Screen Rate is not available or published on a current basis and such circumstances are unlikely to be temporary;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 xml:space="preserve">CME or any successor administrator of the Term SOFR Screen Rate or a Governmental Authority having jurisdiction over the Administrative Agent or such administrator with respect to its publication of Term SOFR, in each case acting in such capacity, has made a public statement identifying a specific date after which each of one month, three month and six month interest periods of Term SOFR (or, in the case of SOFR Daily Floating Rate Loans, the one month interest period of Term SOFR) or the Term SOFR Screen Rate shall or will no longer be made available, or permitted to be used for determining the interest rate of Dollar denominated syndicated loans, or shall or will otherwise cease;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at the time of such statement, there is no successor administrator that is satisfactory to the Administrative Agent, that will continue to provide such interest periods of Term SOFR (or, in the case of SOFR Daily Floating Rate Loans, the one month interest period of Term SOFR) after such specific date (the latest date on which one month, three month and six month interest periods of Term SOFR (or, in the case of SOFR Daily Floating Rate Loans, the one month interest period of Term SOFR) or the Term</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SOFR Screen Rate are no longer available permanently or indefinitely, the “</w:t>
      </w:r>
      <w:r>
        <w:rPr>
          <w:rFonts w:ascii="Times New Roman;Times;serif" w:hAnsi="Times New Roman;Times;serif"/>
          <w:sz w:val="22"/>
          <w:u w:val="single"/>
        </w:rPr>
        <w:t>Term SOFR Scheduled Unavailability Date</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then, on a date and time determined by the Administrative Agent (any such date, the “</w:t>
      </w:r>
      <w:r>
        <w:rPr>
          <w:rFonts w:ascii="Times New Roman;Times;serif" w:hAnsi="Times New Roman;Times;serif"/>
          <w:sz w:val="22"/>
          <w:u w:val="single"/>
        </w:rPr>
        <w:t>Term SOFR Replacement Date</w:t>
      </w:r>
      <w:r>
        <w:rPr>
          <w:rFonts w:ascii="Times New Roman;Times;serif" w:hAnsi="Times New Roman;Times;serif"/>
          <w:sz w:val="20"/>
        </w:rPr>
        <w:t>”</w:t>
      </w:r>
      <w:r>
        <w:rPr>
          <w:rFonts w:ascii="Times New Roman;Times;serif" w:hAnsi="Times New Roman;Times;serif"/>
          <w:sz w:val="22"/>
        </w:rPr>
        <w:t xml:space="preserve">), which date shall be at the end of an Interest Period or on the relevant interest payment date, as applicable, for interest calculated and, solely with respect to clause (ii) above, no later than the Term SOFR Scheduled Unavailability Date, Term SOFR and the SOFR Daily Floating Rate will be replaced hereunder and under any Loan Document with Daily Simple SOFR </w:t>
      </w:r>
      <w:r>
        <w:rPr>
          <w:rFonts w:ascii="Times New Roman;Times;serif" w:hAnsi="Times New Roman;Times;serif"/>
          <w:color w:val="FF0000"/>
          <w:sz w:val="22"/>
        </w:rPr>
        <w:t xml:space="preserve">plus the SOFR Adjustment </w:t>
      </w:r>
      <w:r>
        <w:rPr>
          <w:rFonts w:ascii="Times New Roman;Times;serif" w:hAnsi="Times New Roman;Times;serif"/>
          <w:sz w:val="22"/>
        </w:rPr>
        <w:t>for any payment period for interest calculated that can be determined by the Administrative Agent, in each case, without any amendment to, or further action or consent of any other party to, this Agreement or any other Loan Document (the “</w:t>
      </w:r>
      <w:r>
        <w:rPr>
          <w:rFonts w:ascii="Times New Roman;Times;serif" w:hAnsi="Times New Roman;Times;serif"/>
          <w:sz w:val="22"/>
          <w:u w:val="single"/>
        </w:rPr>
        <w:t>Term SOFR Successor Rate</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If the Successor Rate is Daily Simple SOFR</w:t>
      </w:r>
      <w:r>
        <w:rPr>
          <w:rFonts w:ascii="Times New Roman;Times;serif" w:hAnsi="Times New Roman;Times;serif"/>
          <w:color w:val="FF0000"/>
          <w:sz w:val="20"/>
        </w:rPr>
        <w:t xml:space="preserve"> </w:t>
      </w:r>
      <w:r>
        <w:rPr>
          <w:rFonts w:ascii="Times New Roman;Times;serif" w:hAnsi="Times New Roman;Times;serif"/>
          <w:color w:val="FF0000"/>
          <w:sz w:val="22"/>
        </w:rPr>
        <w:t>plus the SOFR Adjustment</w:t>
      </w:r>
      <w:r>
        <w:rPr>
          <w:rFonts w:ascii="Times New Roman;Times;serif" w:hAnsi="Times New Roman;Times;serif"/>
          <w:sz w:val="22"/>
        </w:rPr>
        <w:t>, all interest payments will be payable on a monthly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Notwithstanding anything to the contrary herein, (i) if the Administrative Agent determines that Daily Simple SOFR is not available on or prior to the Term SOFR Replacement Date, or (ii) if the events or circumstances of the type described in </w:t>
      </w:r>
      <w:r>
        <w:rPr>
          <w:rFonts w:ascii="Times New Roman;Times;serif" w:hAnsi="Times New Roman;Times;serif"/>
          <w:sz w:val="22"/>
          <w:u w:val="single"/>
        </w:rPr>
        <w:t>Section 3.03(b)(i)</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(ii)</w:t>
      </w:r>
      <w:r>
        <w:rPr>
          <w:rFonts w:ascii="Times New Roman;Times;serif" w:hAnsi="Times New Roman;Times;serif"/>
          <w:sz w:val="20"/>
        </w:rPr>
        <w:t xml:space="preserve"> </w:t>
      </w:r>
      <w:r>
        <w:rPr>
          <w:rFonts w:ascii="Times New Roman;Times;serif" w:hAnsi="Times New Roman;Times;serif"/>
          <w:sz w:val="22"/>
        </w:rPr>
        <w:t xml:space="preserve">have occurred with respect to the Successor Rate then in effect, then in each case, the Administrative Agent and the Company may amend this Agreement solely for the purpose of replacing Term SOFR, the SOFR Daily Floating Rate or any then current Successor Rate in accordance with this </w:t>
      </w:r>
      <w:r>
        <w:rPr>
          <w:rFonts w:ascii="Times New Roman;Times;serif" w:hAnsi="Times New Roman;Times;serif"/>
          <w:sz w:val="22"/>
          <w:u w:val="single"/>
        </w:rPr>
        <w:t>Section 3.03</w:t>
      </w:r>
      <w:r>
        <w:rPr>
          <w:rFonts w:ascii="Times New Roman;Times;serif" w:hAnsi="Times New Roman;Times;serif"/>
          <w:sz w:val="20"/>
        </w:rPr>
        <w:t xml:space="preserve"> </w:t>
      </w:r>
      <w:r>
        <w:rPr>
          <w:rFonts w:ascii="Times New Roman;Times;serif" w:hAnsi="Times New Roman;Times;serif"/>
          <w:sz w:val="22"/>
        </w:rPr>
        <w:t>at the end of any Interest Period, relevant interest payment date or payment period (or, in the case of a daily floating interest rate, upon the effectiveness of such amendment) for interest calculated, as applicable, with an alternative benchmark rate giving due consideration to any evolving or then existing convention for similar Dollar denominated credit facilities syndicated and agented in the United States for such alternative benchmark and, in each case, including any mathematical or other adjustments to such benchmark giving due consideration to any evolving or then existing convention for similar Dollar denominated credit facilities syndicated and agented in the United States for such benchmark, which 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 shall constitute a “Term SOFR Successor Rate”.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Replacement of Relevant Rate or Successor Rate</w:t>
      </w:r>
      <w:r>
        <w:rPr>
          <w:rFonts w:ascii="Times New Roman;Times;serif" w:hAnsi="Times New Roman;Times;serif"/>
          <w:sz w:val="22"/>
        </w:rPr>
        <w:t>. Notwithstanding anything to the contrary in this Agreement or any other Loan Documents, if the Administrative Agent determines (which determination shall be conclusive absent manifest error), or the Company or Required Lenders notify the Administrative Agent (with, in the case of the Required Lenders, a copy to the Company) that the Company or Required Lenders (as applicable) have determined, that: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adequate and reasonable means do not exist for ascertaining the Relevant Rate (other than Term SOFR) for a currency (other than Dollars) because none of the tenors of such Relevant Rate (other than Term SOFR) under this Agreement is available or published on a current basis, and such circumstances are unlikely to be temporary;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 xml:space="preserve">the Applicable Authority has made a public statement identifying a specific date after which all tenors of the Relevant Rate (other than Term SOFR) for a currency (other than Dollars) under this Agreement shall or will no longer be representative or made available, or permitted to be used for determining the interest rate of syndicated loans denominated in such currency (other than Dollars), or shall or will otherwise cease,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in each case, at the</w:t>
      </w:r>
    </w:p>
    <w:p>
      <w:pPr>
        <w:pStyle w:val="TextBody"/>
        <w:bidi w:val="0"/>
        <w:spacing w:before="0" w:after="240"/>
        <w:ind w:left="0" w:right="0" w:firstLine="446"/>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2"/>
        </w:rPr>
        <w:t>time of such statement, there is no successor administrator that is satisfactory to the Administrative Agent that will continue to provide such representative tenor(s) of the Relevant Rate (other than Term SOFR) for such currency (other than Dollars) (the latest date on which all tenors of the Relevant Rate for such currency (other than Dollars) under this Agreement are no longer representative or available permanently or indefinitely, the “</w:t>
      </w:r>
      <w:r>
        <w:rPr>
          <w:rFonts w:ascii="Times New Roman;Times;serif" w:hAnsi="Times New Roman;Times;serif"/>
          <w:sz w:val="22"/>
          <w:u w:val="single"/>
        </w:rPr>
        <w:t>Scheduled Unavailability Date</w:t>
      </w:r>
      <w:r>
        <w:rPr>
          <w:rFonts w:ascii="Times New Roman;Times;serif" w:hAnsi="Times New Roman;Times;serif"/>
          <w:sz w:val="20"/>
        </w:rPr>
        <w:t>”</w:t>
      </w:r>
      <w:r>
        <w:rPr>
          <w:rFonts w:ascii="Times New Roman;Times;serif" w:hAnsi="Times New Roman;Times;serif"/>
          <w:sz w:val="22"/>
        </w:rPr>
        <w:t xml:space="preserve">); or </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 xml:space="preserve">if the events or circumstances of the type described in Section </w:t>
      </w:r>
      <w:r>
        <w:rPr>
          <w:rFonts w:ascii="Times New Roman;Times;serif" w:hAnsi="Times New Roman;Times;serif"/>
          <w:sz w:val="22"/>
          <w:u w:val="single"/>
        </w:rPr>
        <w:t>3.03(c)(i)</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(ii)</w:t>
      </w:r>
      <w:r>
        <w:rPr>
          <w:rFonts w:ascii="Times New Roman;Times;serif" w:hAnsi="Times New Roman;Times;serif"/>
          <w:sz w:val="20"/>
        </w:rPr>
        <w:t xml:space="preserve"> </w:t>
      </w:r>
      <w:r>
        <w:rPr>
          <w:rFonts w:ascii="Times New Roman;Times;serif" w:hAnsi="Times New Roman;Times;serif"/>
          <w:sz w:val="22"/>
        </w:rPr>
        <w:t xml:space="preserve">have occurred with respect to the Successor Rate then in effect, then, the Administrative Agent and the Company may amend this Agreement solely for the purpose of replacing the Relevant Rate for a currency or any then current Successor Rate for a currency in accordance with this </w:t>
      </w:r>
      <w:r>
        <w:rPr>
          <w:rFonts w:ascii="Times New Roman;Times;serif" w:hAnsi="Times New Roman;Times;serif"/>
          <w:sz w:val="22"/>
          <w:u w:val="single"/>
        </w:rPr>
        <w:t>Section 3.03</w:t>
      </w:r>
      <w:r>
        <w:rPr>
          <w:rFonts w:ascii="Times New Roman;Times;serif" w:hAnsi="Times New Roman;Times;serif"/>
          <w:sz w:val="20"/>
        </w:rPr>
        <w:t xml:space="preserve"> </w:t>
      </w:r>
      <w:r>
        <w:rPr>
          <w:rFonts w:ascii="Times New Roman;Times;serif" w:hAnsi="Times New Roman;Times;serif"/>
          <w:sz w:val="22"/>
        </w:rPr>
        <w:t>with an alternative benchmark rate giving due consideration to any evolving or then existing convention for similar credit facilities syndicated and agented in the U.S. and denominated in such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currency for such benchmarks, which adjustment or method for calculating such adjustment shall be published on an information service as selected by the Administrative Agent from time to time in its reasonable discretion and may be periodically updated (and any such proposed rate, including for the avoidance of doubt, any adjustment thereto, a “</w:t>
      </w:r>
      <w:r>
        <w:rPr>
          <w:rFonts w:ascii="Times New Roman;Times;serif" w:hAnsi="Times New Roman;Times;serif"/>
          <w:sz w:val="22"/>
          <w:u w:val="single"/>
        </w:rPr>
        <w:t>Non-SOFR Successor Rate</w:t>
      </w:r>
      <w:r>
        <w:rPr>
          <w:rFonts w:ascii="Times New Roman;Times;serif" w:hAnsi="Times New Roman;Times;serif"/>
          <w:sz w:val="20"/>
        </w:rPr>
        <w:t>”</w:t>
      </w:r>
      <w:r>
        <w:rPr>
          <w:rFonts w:ascii="Times New Roman;Times;serif" w:hAnsi="Times New Roman;Times;serif"/>
          <w:sz w:val="22"/>
        </w:rPr>
        <w:t>, and collectively with the Term SOFR Successor Rate, each a “</w:t>
      </w:r>
      <w:r>
        <w:rPr>
          <w:rFonts w:ascii="Times New Roman;Times;serif" w:hAnsi="Times New Roman;Times;serif"/>
          <w:sz w:val="22"/>
          <w:u w:val="single"/>
        </w:rPr>
        <w:t>Successor Rate</w:t>
      </w:r>
      <w:r>
        <w:rPr>
          <w:rFonts w:ascii="Times New Roman;Times;serif" w:hAnsi="Times New Roman;Times;serif"/>
          <w:sz w:val="20"/>
        </w:rPr>
        <w:t>”</w:t>
      </w:r>
      <w:r>
        <w:rPr>
          <w:rFonts w:ascii="Times New Roman;Times;serif" w:hAnsi="Times New Roman;Times;serif"/>
          <w:sz w:val="22"/>
        </w:rPr>
        <w:t>), and any such amendment shall become effective at 5:00 p.m. on the fifth Business Day after the Administrative Agent shall have posted such proposed amendment to all Lenders and the Company unless, prior to such time, Lenders comprising the Required Lenders have delivered to the Administrative Agent written notice that such Required Lenders object to such amendment.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Successor Rate</w:t>
      </w:r>
      <w:r>
        <w:rPr>
          <w:rFonts w:ascii="Times New Roman;Times;serif" w:hAnsi="Times New Roman;Times;serif"/>
          <w:sz w:val="22"/>
        </w:rPr>
        <w:t>. The Administrative Agent will promptly (in one or more notices) notify the Company and each Lender of the implementation of any Successor Rate.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Any Successor Rate shall be applied in a manner consistent with market practice;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to the extent such market practice is not administratively feasible for the Administrative Agent, such Successor Rate shall be applied in a manner as otherwise reasonably determined by the Administrative Agent.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Notwithstanding anything else herein, if at any time any Successor Rate as so determined would otherwise be less than zero, the Successor Rate will be deemed to be zero for the purposes of this Agreement and the other Loan Documents.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with respect to any such amendment effected, the Administrative Agent shall post each such amendment implementing such Conforming Changes to the Borrowers and the Lenders reasonably promptly after such amendment becomes effective.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 xml:space="preserve">For purposes of this </w:t>
      </w:r>
      <w:r>
        <w:rPr>
          <w:rFonts w:ascii="Times New Roman;Times;serif" w:hAnsi="Times New Roman;Times;serif"/>
          <w:sz w:val="22"/>
          <w:u w:val="single"/>
        </w:rPr>
        <w:t>Section 3.03</w:t>
      </w:r>
      <w:r>
        <w:rPr>
          <w:rFonts w:ascii="Times New Roman;Times;serif" w:hAnsi="Times New Roman;Times;serif"/>
          <w:sz w:val="22"/>
        </w:rPr>
        <w:t>, those Lenders that either have not made, or do not have an obligation under this Agreement to make, the relevant Loans in the relevant currency shall be excluded from any determination of Required Lenders.</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tbl>
      <w:tblPr>
        <w:tblW w:w="2103" w:type="dxa"/>
        <w:jc w:val="left"/>
        <w:tblInd w:w="0" w:type="dxa"/>
        <w:tblLayout w:type="fixed"/>
        <w:tblCellMar>
          <w:top w:w="0" w:type="dxa"/>
          <w:left w:w="0" w:type="dxa"/>
          <w:bottom w:w="0" w:type="dxa"/>
          <w:right w:w="0" w:type="dxa"/>
        </w:tblCellMar>
      </w:tblPr>
      <w:tblGrid>
        <w:gridCol w:w="23"/>
        <w:gridCol w:w="440"/>
        <w:gridCol w:w="164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40"/>
              <w:jc w:val="left"/>
              <w:rPr>
                <w:rFonts w:ascii="Times New Roman;Times;serif" w:hAnsi="Times New Roman;Times;serif"/>
                <w:b/>
                <w:sz w:val="22"/>
              </w:rPr>
            </w:pPr>
            <w:r>
              <w:rPr>
                <w:rFonts w:ascii="Times New Roman;Times;serif" w:hAnsi="Times New Roman;Times;serif"/>
                <w:b/>
                <w:sz w:val="22"/>
              </w:rPr>
              <w:t>3.04</w:t>
            </w:r>
          </w:p>
        </w:tc>
        <w:tc>
          <w:tcPr>
            <w:tcW w:w="164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2"/>
              </w:rPr>
              <w:t>Increased Costs</w:t>
            </w:r>
            <w:r>
              <w:rPr>
                <w:rFonts w:ascii="Times New Roman;Times;serif" w:hAnsi="Times New Roman;Times;serif"/>
                <w:sz w:val="22"/>
              </w:rPr>
              <w:t>.</w:t>
            </w:r>
          </w:p>
        </w:tc>
      </w:tr>
    </w:tbl>
    <w:tbl>
      <w:tblPr>
        <w:tblW w:w="5478" w:type="dxa"/>
        <w:jc w:val="left"/>
        <w:tblInd w:w="0" w:type="dxa"/>
        <w:tblLayout w:type="fixed"/>
        <w:tblCellMar>
          <w:top w:w="0" w:type="dxa"/>
          <w:left w:w="0" w:type="dxa"/>
          <w:bottom w:w="0" w:type="dxa"/>
          <w:right w:w="0" w:type="dxa"/>
        </w:tblCellMar>
      </w:tblPr>
      <w:tblGrid>
        <w:gridCol w:w="23"/>
        <w:gridCol w:w="275"/>
        <w:gridCol w:w="518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w:t>
            </w:r>
          </w:p>
        </w:tc>
        <w:tc>
          <w:tcPr>
            <w:tcW w:w="518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2"/>
                <w:u w:val="single"/>
              </w:rPr>
              <w:t>Increased Costs Generally</w:t>
            </w:r>
            <w:r>
              <w:rPr>
                <w:rFonts w:ascii="Times New Roman;Times;serif" w:hAnsi="Times New Roman;Times;serif"/>
                <w:sz w:val="22"/>
              </w:rPr>
              <w:t>. If any Change in Law shall:</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impose, modify or deem applicable any reserve, special deposit, compulsory loan, insurance charge or similar requirement against assets of, deposits with or for the account of, or credit extended or participated in by, any Lender or any L/C Issuer;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impose on any Lender or any L/C Issuer or any applicable interbank market any other condition, cost or expense affecting this Agreement or Term SOFR Loans, Euro Swing Line Loans or Alternative Currency Loans made by such Lender or any Letter of Credit issued by any L/C Issuer or any participation therein;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and the result of any of the foregoing shall be to increase the cost to such Lender of making, converting to, continuing or maintaining any Loan (or of maintaining its obligation to make any such Loan), or to increase the cost to such Lender or such L/C Issuer of participating in, issuing or maintaining any Letter of Credit (or of maintaining its obligation to participate in or to issue any Letter of Credit), or to reduce the amount of any sum received or receivable by such Lender or such L/C Issuer hereunder (whether of principal, interest or any other amount) then, upon request of such Lender or such L/C Issuer, the Company will pay (or cause the applicable Designated Borrower to pay) to such Lender or such L/C Issuer, as the case may be, such additional amount or amounts as will compensate such Lender or such L/C Issuer, as the case may be, for such additional costs incurred or reduction suffered.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Capital Requirements</w:t>
      </w:r>
      <w:r>
        <w:rPr>
          <w:rFonts w:ascii="Times New Roman;Times;serif" w:hAnsi="Times New Roman;Times;serif"/>
          <w:sz w:val="22"/>
        </w:rPr>
        <w:t>. If any Lender or any L/C Issuer determines that any Change in Law affecting such Lender or such L/C Issuer or any Lending Office of such Lender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 Line Loans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and liquidity), then from time to time the Company will pay (or cause the applicable Designated Borrower to pay) to such Lender or such L/C Issuer, as the case may be, such additional amount or amounts as will compensate such Lender or such L/C Issuer or such Lender’s or such L/C Issuer’s holding company for any such reduction suffered.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Certificates for Reimbursement</w:t>
      </w:r>
      <w:r>
        <w:rPr>
          <w:rFonts w:ascii="Times New Roman;Times;serif" w:hAnsi="Times New Roman;Times;serif"/>
          <w:sz w:val="22"/>
        </w:rPr>
        <w:t xml:space="preserve">. A certificate (which shall include calculations in reasonable detail) of a Lender or an L/C Issuer setting forth the amount or amounts necessary to compensate such Lender or such L/C Issuer or its holding company, as the case may be, as specified in </w:t>
      </w:r>
      <w:r>
        <w:rPr>
          <w:rFonts w:ascii="Times New Roman;Times;serif" w:hAnsi="Times New Roman;Times;serif"/>
          <w:sz w:val="22"/>
          <w:u w:val="single"/>
        </w:rPr>
        <w:t>subsection (a)</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(b)</w:t>
      </w:r>
      <w:r>
        <w:rPr>
          <w:rFonts w:ascii="Times New Roman;Times;serif" w:hAnsi="Times New Roman;Times;serif"/>
          <w:sz w:val="20"/>
        </w:rPr>
        <w:t xml:space="preserve"> </w:t>
      </w:r>
      <w:r>
        <w:rPr>
          <w:rFonts w:ascii="Times New Roman;Times;serif" w:hAnsi="Times New Roman;Times;serif"/>
          <w:sz w:val="22"/>
        </w:rPr>
        <w:t>of this Section (which notice shall contain an explanation of the computation of the requested compensation) shall be delivered to the Company and shall be conclusive absent manifest error. The Company shall pay (or cause the applicable Designated Borrower to pay) such Lender or such</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2"/>
        </w:rPr>
      </w:pPr>
      <w:r>
        <w:rPr>
          <w:rFonts w:ascii="Times New Roman;Times;serif" w:hAnsi="Times New Roman;Times;serif"/>
          <w:sz w:val="22"/>
        </w:rPr>
        <w:t>L/C Issuer, as the case may be, the amount shown as due on any such certificate within 10 Business Days after receipt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Delay in Requests</w:t>
      </w:r>
      <w:r>
        <w:rPr>
          <w:rFonts w:ascii="Times New Roman;Times;serif" w:hAnsi="Times New Roman;Times;serif"/>
          <w:sz w:val="22"/>
        </w:rPr>
        <w:t xml:space="preserve">. Failure or delay on the part of any Lender or any L/C Issuer to demand compensation pursuant to the foregoing provisions of this Section shall not constitute a waiver of such Lender’s or such L/C Issuer’s right to demand such compensation;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no Borrower shall be required to compensate a Lender or an L/C Issuer pursuant to the foregoing provisions of this Section for any increased costs incurred or reductions suffered more than six months prior to the date that such Lender or such L/C Issuer, as the case may be, notifies the Company of the Change in Law giving rise to such increased costs or reductions and of such Lender’s or such L/C Issuer’s intention to claim compensation therefor (except that, if the Change in Law giving rise to such increased costs or reductions is retroactive, then the six-month period referred to above shall be extended to include the period of retroactive effect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3.05</w:t>
      </w:r>
      <w:r>
        <w:rPr>
          <w:rFonts w:ascii="Times New Roman;Times;serif" w:hAnsi="Times New Roman;Times;serif"/>
          <w:b/>
          <w:sz w:val="22"/>
        </w:rPr>
        <w:t>Compensation for Losses</w:t>
      </w:r>
      <w:r>
        <w:rPr>
          <w:rFonts w:ascii="Times New Roman;Times;serif" w:hAnsi="Times New Roman;Times;serif"/>
          <w:sz w:val="22"/>
        </w:rPr>
        <w:t>. Upon demand of any Lender (with a copy to the Administrative Agent) from time to time, the Company shall promptly compensate (or cause the applicable Designated Borrower to compensate) such Lender for and hold such Lender harmless from any loss, cost or expense incurred by it as a result 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any continuation, conversion, payment or prepayment of any Loan other than a Base Rate Loan on a day other than the last day of the Interest Period for such Loan (whether voluntary, mandatory, automatic, by reason of acceleration, or otherwise, but excluding any conversion, payment or prepayment to the extent such Lender, pursuant to </w:t>
      </w:r>
      <w:r>
        <w:rPr>
          <w:rFonts w:ascii="Times New Roman;Times;serif" w:hAnsi="Times New Roman;Times;serif"/>
          <w:sz w:val="22"/>
          <w:u w:val="single"/>
        </w:rPr>
        <w:t>Section 3.03</w:t>
      </w:r>
      <w:r>
        <w:rPr>
          <w:rFonts w:ascii="Times New Roman;Times;serif" w:hAnsi="Times New Roman;Times;serif"/>
          <w:sz w:val="22"/>
        </w:rPr>
        <w:t>, has required any Borrower to make such conversion, payment or prepayment before the end of the applicable Interest Period with respect to such Loan);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any failure by any Borrower (for a reason other than the failure of such Lender to make a Loan) to prepay, borrow, continue or convert any Loan other than a Base Rate Loan on the date or in the amount notified by the Company or the applicable Designated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any failure by any Borrower to make payment of any Loan or drawing under any Letter of Credit (or interest due thereon) denominated in an Alternative Currency on its scheduled due date or any payment thereof in a different currency;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 xml:space="preserve">any assignment of a Term SOFR Loan or Alternative Currency Term Rate Loan on a day other than the last day of the Interest Period therefor as a result of a request by the Company pursuant to </w:t>
      </w:r>
      <w:r>
        <w:rPr>
          <w:rFonts w:ascii="Times New Roman;Times;serif" w:hAnsi="Times New Roman;Times;serif"/>
          <w:sz w:val="22"/>
          <w:u w:val="single"/>
        </w:rPr>
        <w:t>Section 10.13;</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including any foreign exchange losses and any loss or expense arising from the liquidation or reemployment of funds obtained by it to maintain such Loan, from fees payable to terminate the deposits from which such funds were obtained or from the performance of any foreign exchange contract but excluding any loss of anticipated profits. The Company shall also pay (or cause the applicable Designated Borrower to pay) any customary administrative fees charged by such Lender in connection with the foregoing.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For purposes of calculating amounts payable by the Company (or the applicable Designated Borrower) to the Lenders under this </w:t>
      </w:r>
      <w:r>
        <w:rPr>
          <w:rFonts w:ascii="Times New Roman;Times;serif" w:hAnsi="Times New Roman;Times;serif"/>
          <w:sz w:val="22"/>
          <w:u w:val="single"/>
        </w:rPr>
        <w:t>Section 3.05</w:t>
      </w:r>
      <w:r>
        <w:rPr>
          <w:rFonts w:ascii="Times New Roman;Times;serif" w:hAnsi="Times New Roman;Times;serif"/>
          <w:sz w:val="22"/>
        </w:rPr>
        <w:t>, each Lender shall be deemed to have funded each Alternative Currency Term Rate Loan made by it at the Alternative Currency Term Rate for such Loan by a matching deposit or other borrowing in the offshore interbank eurodollar market for such currency for a comparable amount and for a comparable period, whether or not such Alternative Currency Term Rate Loan was in fact so funded.</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tbl>
      <w:tblPr>
        <w:tblW w:w="5253" w:type="dxa"/>
        <w:jc w:val="left"/>
        <w:tblInd w:w="0" w:type="dxa"/>
        <w:tblLayout w:type="fixed"/>
        <w:tblCellMar>
          <w:top w:w="0" w:type="dxa"/>
          <w:left w:w="0" w:type="dxa"/>
          <w:bottom w:w="0" w:type="dxa"/>
          <w:right w:w="0" w:type="dxa"/>
        </w:tblCellMar>
      </w:tblPr>
      <w:tblGrid>
        <w:gridCol w:w="23"/>
        <w:gridCol w:w="440"/>
        <w:gridCol w:w="4790"/>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40"/>
              <w:jc w:val="left"/>
              <w:rPr>
                <w:rFonts w:ascii="Times New Roman;Times;serif" w:hAnsi="Times New Roman;Times;serif"/>
                <w:b/>
                <w:sz w:val="22"/>
              </w:rPr>
            </w:pPr>
            <w:r>
              <w:rPr>
                <w:rFonts w:ascii="Times New Roman;Times;serif" w:hAnsi="Times New Roman;Times;serif"/>
                <w:b/>
                <w:sz w:val="22"/>
              </w:rPr>
              <w:t>3.06</w:t>
            </w:r>
          </w:p>
        </w:tc>
        <w:tc>
          <w:tcPr>
            <w:tcW w:w="479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2"/>
              </w:rPr>
              <w:t>Mitigation Obligations; Replacement of Lenders</w:t>
            </w:r>
            <w:r>
              <w:rPr>
                <w:rFonts w:ascii="Times New Roman;Times;serif" w:hAnsi="Times New Roman;Times;serif"/>
                <w:sz w:val="22"/>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Designation of a Different Lending Office</w:t>
      </w:r>
      <w:r>
        <w:rPr>
          <w:rFonts w:ascii="Times New Roman;Times;serif" w:hAnsi="Times New Roman;Times;serif"/>
          <w:sz w:val="22"/>
        </w:rPr>
        <w:t xml:space="preserve">. Each Lender may make any Credit Extension to any Borrower through any Lending Office,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the exercise of this option shall not affect the obligation of each Borrower to repay the Credit Extension in accordance with the terms of this Agreement. If any Lender requests compensation under </w:t>
      </w:r>
      <w:r>
        <w:rPr>
          <w:rFonts w:ascii="Times New Roman;Times;serif" w:hAnsi="Times New Roman;Times;serif"/>
          <w:sz w:val="22"/>
          <w:u w:val="single"/>
        </w:rPr>
        <w:t>Section 3.04</w:t>
      </w:r>
      <w:r>
        <w:rPr>
          <w:rFonts w:ascii="Times New Roman;Times;serif" w:hAnsi="Times New Roman;Times;serif"/>
          <w:sz w:val="22"/>
        </w:rPr>
        <w:t xml:space="preserve">, or any Borrower is required to pay any Indemnified Taxes or additional amounts to any Lender, any L/C Issuer or any Governmental Authority for the account of any Lender or any L/C Issuer pursuant to </w:t>
      </w:r>
      <w:r>
        <w:rPr>
          <w:rFonts w:ascii="Times New Roman;Times;serif" w:hAnsi="Times New Roman;Times;serif"/>
          <w:sz w:val="22"/>
          <w:u w:val="single"/>
        </w:rPr>
        <w:t>Section 3.01</w:t>
      </w:r>
      <w:r>
        <w:rPr>
          <w:rFonts w:ascii="Times New Roman;Times;serif" w:hAnsi="Times New Roman;Times;serif"/>
          <w:sz w:val="22"/>
        </w:rPr>
        <w:t xml:space="preserve">, or if any Lender gives a notice pursuant to </w:t>
      </w:r>
      <w:r>
        <w:rPr>
          <w:rFonts w:ascii="Times New Roman;Times;serif" w:hAnsi="Times New Roman;Times;serif"/>
          <w:sz w:val="22"/>
          <w:u w:val="single"/>
        </w:rPr>
        <w:t>Section 3.02</w:t>
      </w:r>
      <w:r>
        <w:rPr>
          <w:rFonts w:ascii="Times New Roman;Times;serif" w:hAnsi="Times New Roman;Times;serif"/>
          <w:sz w:val="22"/>
        </w:rPr>
        <w:t xml:space="preserve">, then at the request of the Company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Times New Roman;Times;serif" w:hAnsi="Times New Roman;Times;serif"/>
          <w:sz w:val="22"/>
          <w:u w:val="single"/>
        </w:rPr>
        <w:t>Section 3.01</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3.04</w:t>
      </w:r>
      <w:r>
        <w:rPr>
          <w:rFonts w:ascii="Times New Roman;Times;serif" w:hAnsi="Times New Roman;Times;serif"/>
          <w:sz w:val="22"/>
        </w:rPr>
        <w:t xml:space="preserve">, as the case may be, in the future, or eliminate the need for the notice pursuant to </w:t>
      </w:r>
      <w:r>
        <w:rPr>
          <w:rFonts w:ascii="Times New Roman;Times;serif" w:hAnsi="Times New Roman;Times;serif"/>
          <w:sz w:val="22"/>
          <w:u w:val="single"/>
        </w:rPr>
        <w:t>Section 3.02</w:t>
      </w:r>
      <w:r>
        <w:rPr>
          <w:rFonts w:ascii="Times New Roman;Times;serif" w:hAnsi="Times New Roman;Times;serif"/>
          <w:sz w:val="22"/>
        </w:rPr>
        <w:t>, as applicable, and (ii) in each case, would not subject such Lender or such L/C Issuer, as the case may be, to any unreimbursed cost or expense and would not otherwise be disadvantageous to such Lender or such L/C Issuer, as the case may be. The Company hereby agrees to pay (or to cause the applicable Designated Borrower to pay) all reasonable costs and expenses incurred by any Lender or any L/C Issuer in connection with any such designation or assignment.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Replacement of Lenders</w:t>
      </w:r>
      <w:r>
        <w:rPr>
          <w:rFonts w:ascii="Times New Roman;Times;serif" w:hAnsi="Times New Roman;Times;serif"/>
          <w:sz w:val="22"/>
        </w:rPr>
        <w:t xml:space="preserve">. If any Lender requests compensation under </w:t>
      </w:r>
      <w:r>
        <w:rPr>
          <w:rFonts w:ascii="Times New Roman;Times;serif" w:hAnsi="Times New Roman;Times;serif"/>
          <w:sz w:val="22"/>
          <w:u w:val="single"/>
        </w:rPr>
        <w:t>Section 3.04</w:t>
      </w:r>
      <w:r>
        <w:rPr>
          <w:rFonts w:ascii="Times New Roman;Times;serif" w:hAnsi="Times New Roman;Times;serif"/>
          <w:sz w:val="22"/>
        </w:rPr>
        <w:t xml:space="preserve">, or if any Borrower is required to pay any Indemnified Taxes or additional amounts to any Lender or any Governmental Authority for the account of any Lender pursuant to </w:t>
      </w:r>
      <w:r>
        <w:rPr>
          <w:rFonts w:ascii="Times New Roman;Times;serif" w:hAnsi="Times New Roman;Times;serif"/>
          <w:sz w:val="22"/>
          <w:u w:val="single"/>
        </w:rPr>
        <w:t>Section 3.01</w:t>
      </w:r>
      <w:r>
        <w:rPr>
          <w:rFonts w:ascii="Times New Roman;Times;serif" w:hAnsi="Times New Roman;Times;serif"/>
          <w:sz w:val="20"/>
        </w:rPr>
        <w:t xml:space="preserve"> </w:t>
      </w:r>
      <w:r>
        <w:rPr>
          <w:rFonts w:ascii="Times New Roman;Times;serif" w:hAnsi="Times New Roman;Times;serif"/>
          <w:sz w:val="22"/>
        </w:rPr>
        <w:t xml:space="preserve">and, in each case, such Lender has declined or is unable to designate a different Lending Office in accordance with </w:t>
      </w:r>
      <w:r>
        <w:rPr>
          <w:rFonts w:ascii="Times New Roman;Times;serif" w:hAnsi="Times New Roman;Times;serif"/>
          <w:sz w:val="22"/>
          <w:u w:val="single"/>
        </w:rPr>
        <w:t>Section 3.06(a)</w:t>
      </w:r>
      <w:r>
        <w:rPr>
          <w:rFonts w:ascii="Times New Roman;Times;serif" w:hAnsi="Times New Roman;Times;serif"/>
          <w:sz w:val="22"/>
        </w:rPr>
        <w:t xml:space="preserve">, the Company may replace such Lender in accordance with </w:t>
      </w:r>
      <w:r>
        <w:rPr>
          <w:rFonts w:ascii="Times New Roman;Times;serif" w:hAnsi="Times New Roman;Times;serif"/>
          <w:sz w:val="22"/>
          <w:u w:val="single"/>
        </w:rPr>
        <w:t>Section 10.13</w:t>
      </w:r>
      <w:r>
        <w:rPr>
          <w:rFonts w:ascii="Times New Roman;Times;serif" w:hAnsi="Times New Roman;Times;serif"/>
          <w:sz w:val="22"/>
        </w:rPr>
        <w:t>.</w:t>
      </w:r>
    </w:p>
    <w:tbl>
      <w:tblPr>
        <w:tblW w:w="3363" w:type="dxa"/>
        <w:jc w:val="left"/>
        <w:tblInd w:w="0" w:type="dxa"/>
        <w:tblLayout w:type="fixed"/>
        <w:tblCellMar>
          <w:top w:w="0" w:type="dxa"/>
          <w:left w:w="0" w:type="dxa"/>
          <w:bottom w:w="0" w:type="dxa"/>
          <w:right w:w="0" w:type="dxa"/>
        </w:tblCellMar>
      </w:tblPr>
      <w:tblGrid>
        <w:gridCol w:w="23"/>
        <w:gridCol w:w="275"/>
        <w:gridCol w:w="306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color w:val="0000FF"/>
                <w:sz w:val="22"/>
                <w:u w:val="single"/>
              </w:rPr>
            </w:pPr>
            <w:r>
              <w:rPr>
                <w:rFonts w:ascii="Times New Roman;Times;serif" w:hAnsi="Times New Roman;Times;serif"/>
                <w:color w:val="0000FF"/>
                <w:sz w:val="22"/>
                <w:u w:val="single"/>
              </w:rPr>
              <w:t>(c)</w:t>
            </w:r>
          </w:p>
        </w:tc>
        <w:tc>
          <w:tcPr>
            <w:tcW w:w="3065" w:type="dxa"/>
            <w:tcBorders/>
            <w:vAlign w:val="center"/>
          </w:tcPr>
          <w:p>
            <w:pPr>
              <w:pStyle w:val="TableContents"/>
              <w:bidi w:val="0"/>
              <w:spacing w:before="0" w:after="240"/>
              <w:jc w:val="left"/>
              <w:rPr>
                <w:rFonts w:ascii="Times New Roman;Times;serif" w:hAnsi="Times New Roman;Times;serif"/>
                <w:color w:val="0000FF"/>
                <w:sz w:val="22"/>
                <w:u w:val="single"/>
              </w:rPr>
            </w:pPr>
            <w:r>
              <w:rPr>
                <w:rFonts w:ascii="Times New Roman;Times;serif" w:hAnsi="Times New Roman;Times;serif"/>
                <w:color w:val="0000FF"/>
                <w:sz w:val="22"/>
                <w:u w:val="single"/>
              </w:rPr>
              <w:t>EU CRD VI Art. 21c Provisions.</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00FF"/>
          <w:sz w:val="22"/>
          <w:u w:val="single"/>
        </w:rPr>
        <w:t>(i)</w:t>
      </w:r>
      <w:r>
        <w:rPr>
          <w:rFonts w:ascii="Times New Roman;Times;serif" w:hAnsi="Times New Roman;Times;serif"/>
          <w:color w:val="0000FF"/>
          <w:sz w:val="22"/>
          <w:u w:val="single"/>
        </w:rPr>
        <w:t>EU Lender Designation. To the extent any Commitment is to be made available to, or any Credit Extension is contemplated to be made to, or for the account of, any Borrower in an EEA Member Country within the meaning of Article 21c of Directive (EU) 2024/1619 amending Directive (EU) 2013/36 (“CRD VI”) (each such Borrower, an “EU Borrower”), each Lender, in its capacity as a Lender and, where applicable, as an L/C Issuer or Swing Line Lender (each such Lender, a “Notifying Lender”) may identify one or more Lending Offices established in an EEA Member Country (each, an “EU Lender”) to provide and/or make, as applicable, such Commitments and Credit Extensions to one or more EU Borrowers by delivering a notice (each, an “EU Notice”) to the Administrative Agent and the Company, duly executed by the applicable Notifying Lender and its corresponding EU Lender(s) identifying one or more EU Borrowers for which such EU Notice shall apply. An EU Notice may bifurcate the applicable Commitments and Credit Extensions among different EU Lenders and EU Borrowers in a single EU Notice so long as such EU Notice identifies each applicable EU Lender and its corresponding EU Borrower. An EU Notice delivered on the Amendment No. 3 Effective Date shall be deemed effective simultaneously with the applicable Notifying Lender’s execution of Amendment No. 3, and a Notifying Lender executing Amendment No. 3 on the Amendment No. 3 Effective Date may either (A) deliver an EU Notice simultaneously with such execution or (B) note on its signature page thereto that it is executing as both a Lender and a Notifying Lender and appointing the corresponding EU Lender, which shall countersign as an EU Lender under this Section 3.06(c). Each EU Notice shall designate the applicable EU Lender as the party responsible for making such Commitments available to, and/or making the applicable Credit Extensions to, or for the account of, the identified EU Borrower under this Section 3.06(c) and shall include the</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720" w:right="0" w:hanging="0"/>
        <w:jc w:val="both"/>
        <w:rPr>
          <w:rFonts w:ascii="Times New Roman;Times;serif" w:hAnsi="Times New Roman;Times;serif"/>
          <w:color w:val="0000FF"/>
          <w:sz w:val="22"/>
          <w:u w:val="single"/>
        </w:rPr>
      </w:pPr>
      <w:r>
        <w:rPr>
          <w:rFonts w:ascii="Times New Roman;Times;serif" w:hAnsi="Times New Roman;Times;serif"/>
          <w:color w:val="0000FF"/>
          <w:sz w:val="22"/>
          <w:u w:val="single"/>
        </w:rPr>
        <w:t>information required by the Administrative Questionnaire and any tax compliance certificates required under Section 3.01(e). No consent of any Borrower, the Administrative Agent, any L/C Issuer or the Swing Line Lender is required to deliver or revoke any EU Notice. Upon delivery of the applicable EU Notice or revocation notice delivered pursuant to the terms of this Section 3.06(c), the Administrative Agent shall annotate the Register (or other applicable list of Lenders) to identify each Notifying Lender’s EU Lender(s) and any revocations, and Schedule 2.01 (or other applicable schedule of Commitments and/or Credit Extensions) shall be deemed annotated to reflect each applicable EU Lender’s Commitment made available to, and/or Credit Extensions made to, or for the account of, as applicable, the applicable EU Borrower. For the avoidance of doubt, no Lender is required to deliver an EU Notice or otherwise utilize the provisions of this Section 3.06(c) nor to deliver an EU Notice for all EU Borrowers hereunder.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00FF"/>
          <w:sz w:val="22"/>
          <w:u w:val="single"/>
        </w:rPr>
        <w:t>(ii)</w:t>
      </w:r>
      <w:r>
        <w:rPr>
          <w:rFonts w:ascii="Times New Roman;Times;serif" w:hAnsi="Times New Roman;Times;serif"/>
          <w:color w:val="0000FF"/>
          <w:sz w:val="22"/>
          <w:u w:val="single"/>
        </w:rPr>
        <w:t xml:space="preserve">Effect of Notice. Upon execution and delivery of an EU Notice: (A) the applicable EU Lender shall be deemed a Lender and, where applicable, an L/C Issuer or Swing Line Lender hereunder and under the other Loan Documents with respect to the applicable Commitments made available to, and Credit Extensions made to, or for the account of, the applicable EU Borrower (and for avoidance of doubt the Notifying Lender shall not be deemed to hold any such Commitment or Credit Extension in respect of the applicable EU Borrower), (B) the applicable Notifying Lender’s other Commitments made available to, and/or Credit Extensions made to, or for the account of, if any, to other Borrowers shall remain in full force and effect, and (C) the applicable EU Lender shall be subject to, afforded and extended any and all rights, obligations and duties arising as a Lender or, where applicable, L/C Issuer or Swing Line Lender in respect of the applicable Commitments made available to, and/or Credit Extensions made to, or for the account of, the applicable EU Borrower hereunder and under the other Loan Documents. The rights, obligations and duties described in the foregoing clause (C) shall severally include, without limitation, (x) the obligations to make any and all Commitments and/or Credit Extensions to such EU Borrower, on a ratable basis as among the EU Lenders holding the applicable Commitments and/or Credit Extensions to such EU Borrower, and provide any other related funding services such EU Borrower requests pursuant to the terms and conditions of this Agreement required by a Lender or, where applicable, L/C Issuer or Swing Line Lender in connection with such Commitment or Credit Extension (the “EU Funding Obligations”) </w:t>
      </w:r>
      <w:r>
        <w:rPr>
          <w:rFonts w:ascii="Times New Roman;Times;serif" w:hAnsi="Times New Roman;Times;serif"/>
          <w:color w:val="007F00"/>
          <w:sz w:val="22"/>
          <w:u w:val="single"/>
        </w:rPr>
        <w:t xml:space="preserve">and (y) the </w:t>
      </w:r>
      <w:r>
        <w:rPr>
          <w:rFonts w:ascii="Times New Roman;Times;serif" w:hAnsi="Times New Roman;Times;serif"/>
          <w:color w:val="0000FF"/>
          <w:sz w:val="22"/>
          <w:u w:val="single"/>
        </w:rPr>
        <w:t>obligation to comply with the terms hereof and to receive the contractual rights and ability to exercise the remedies conferred hereunder (including under Sections 3.01, 3.04, 3.05 and 10.07) (the foregoing clauses (x) and (y), collectively, the “EU Lender Provisions”).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00FF"/>
          <w:sz w:val="22"/>
          <w:u w:val="single"/>
        </w:rPr>
        <w:t>(iii)</w:t>
      </w:r>
      <w:r>
        <w:rPr>
          <w:rFonts w:ascii="Times New Roman;Times;serif" w:hAnsi="Times New Roman;Times;serif"/>
          <w:color w:val="0000FF"/>
          <w:sz w:val="22"/>
          <w:u w:val="single"/>
        </w:rPr>
        <w:t xml:space="preserve">Administration Through Notifying Lender. By delivery of an EU Notice (A) the applicable EU Lender shall, to the fullest extent permitted by applicable Laws, exercise all EU Lender Provisions other than its EU Funding Obligations through the applicable Notifying Lender, and hereby irrevocably appoints such Notifying Lender as its agent under this Agreement to administer such provisions on its behalf and (B) the Borrowers and the Administrative Agent shall treat such Notifying Lender and any corresponding EU Lender as a single Lender for all purposes hereunder (including, but not limited to, calculation of Commitments, delivery of payments and notices, Defaulting Lender determinations and voting), except for purposes of the EU Funding Obligations, which </w:t>
      </w:r>
      <w:r>
        <w:rPr>
          <w:rFonts w:ascii="Times New Roman;Times;serif" w:hAnsi="Times New Roman;Times;serif"/>
          <w:color w:val="007F00"/>
          <w:sz w:val="22"/>
          <w:u w:val="single"/>
        </w:rPr>
        <w:t xml:space="preserve">shall not </w:t>
      </w:r>
      <w:r>
        <w:rPr>
          <w:rFonts w:ascii="Times New Roman;Times;serif" w:hAnsi="Times New Roman;Times;serif"/>
          <w:color w:val="0000FF"/>
          <w:sz w:val="22"/>
          <w:u w:val="single"/>
        </w:rPr>
        <w:t>be performed by such Notifying Lender and the parties shall not be treated as a single Lender for purposes of such EU Funding Obligations. Any Request for Credit Extension from the Administrative Agent with respect to an EU Borrower for which an EU Lender has been appointed shall be deemed made to the applicable EU Lender, and the applicable Notifying Lender shall promptly forward each such Request for Credit Extension (each, an “EU Request for Credit Extension”) to the applicable EU Lender, identifying the amount for the applicable EU Borrower’s account, and the applicable EU Lender shall fund it in</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720" w:right="0" w:hanging="0"/>
        <w:jc w:val="both"/>
        <w:rPr>
          <w:rFonts w:ascii="Times New Roman;Times;serif" w:hAnsi="Times New Roman;Times;serif"/>
          <w:color w:val="0000FF"/>
          <w:sz w:val="22"/>
          <w:u w:val="single"/>
        </w:rPr>
      </w:pPr>
      <w:r>
        <w:rPr>
          <w:rFonts w:ascii="Times New Roman;Times;serif" w:hAnsi="Times New Roman;Times;serif"/>
          <w:color w:val="0000FF"/>
          <w:sz w:val="22"/>
          <w:u w:val="single"/>
        </w:rPr>
        <w:t>accordance with the terms thereof. For purposes of Section 10.13 and the definition of Defaulting Lender, a Notifying Lender and its EU Lender(s) shall be treated as a single Lender, any replacement under Section 10.13 shall replace both, and a default by either shall render both Defaulting Lenders.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00FF"/>
          <w:sz w:val="22"/>
          <w:u w:val="single"/>
        </w:rPr>
        <w:t>(iv)</w:t>
      </w:r>
      <w:r>
        <w:rPr>
          <w:rFonts w:ascii="Times New Roman;Times;serif" w:hAnsi="Times New Roman;Times;serif"/>
          <w:color w:val="0000FF"/>
          <w:sz w:val="22"/>
          <w:u w:val="single"/>
        </w:rPr>
        <w:t>Payments. The Administrative Agent shall endeavor to remit all payments from an EU Borrower for which an EU Lender has been appointed (including prepayments, premiums, interest, and penalties) directly to the applicable EU Lender. If any such funds are received by a Notifying Lender, it shall promptly turn them over to any such applicable EU Lender; provided that delivery to a Notifying Lender in compliance with the terms hereof shall discharge the applicable EU Borrower’s obligations with respect to the relevant Credit Extension as if paid directly to the EU Lender.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00FF"/>
          <w:sz w:val="22"/>
          <w:u w:val="single"/>
        </w:rPr>
        <w:t>(v)</w:t>
      </w:r>
      <w:r>
        <w:rPr>
          <w:rFonts w:ascii="Times New Roman;Times;serif" w:hAnsi="Times New Roman;Times;serif"/>
          <w:color w:val="0000FF"/>
          <w:sz w:val="22"/>
          <w:u w:val="single"/>
        </w:rPr>
        <w:t>Revocation. Upon delivery to the Company and the Administrative Agent of a revocation notice signed by both the Notifying Lender and its applicable EU Lender and identifying one or more EU Borrowers for which revocation is applicable, the identified EU Lender (A) shall cease to hold the applicable Commitments made available to, and/or the Credit Extensions made to, or for the account of, each such identified EU Borrower, (B) shall no longer be deemed a Lender hereunder with respect to each such identified EU Borrower or under the other Loan Documents, and (C) shall be released from its obligations under this Agreement with respect to each such identified EU Borrower; provided that it shall retain the benefits of Sections 3.01, 3.04, 3.05 and 10.04 with respect to facts and circumstances arising prior to such release.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000FF"/>
          <w:sz w:val="22"/>
          <w:u w:val="single"/>
        </w:rPr>
        <w:t>(vi)</w:t>
      </w:r>
      <w:r>
        <w:rPr>
          <w:rFonts w:ascii="Times New Roman;Times;serif" w:hAnsi="Times New Roman;Times;serif"/>
          <w:color w:val="0000FF"/>
          <w:sz w:val="22"/>
          <w:u w:val="single"/>
        </w:rPr>
        <w:t>Funding Cap. In no event shall a Notifying Lender and its applicable EU Lenders be required to make Credit Extensions in an amount, either individually or in the aggregate, exceeding its Commitment (or, if applicable, its Letter of Credit Commitment or the Swing Line Euro Sublimit) (as in effect, and as adjusted hereunder, from time to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3.07</w:t>
      </w:r>
      <w:r>
        <w:rPr>
          <w:rFonts w:ascii="Times New Roman;Times;serif" w:hAnsi="Times New Roman;Times;serif"/>
          <w:b/>
          <w:sz w:val="22"/>
        </w:rPr>
        <w:t>Survival</w:t>
      </w:r>
      <w:r>
        <w:rPr>
          <w:rFonts w:ascii="Times New Roman;Times;serif" w:hAnsi="Times New Roman;Times;serif"/>
          <w:sz w:val="22"/>
        </w:rPr>
        <w:t xml:space="preserve">. All of the Borrowers’ obligations under this </w:t>
      </w:r>
      <w:r>
        <w:rPr>
          <w:rFonts w:ascii="Times New Roman;Times;serif" w:hAnsi="Times New Roman;Times;serif"/>
          <w:sz w:val="22"/>
          <w:u w:val="single"/>
        </w:rPr>
        <w:t>Article III</w:t>
      </w:r>
      <w:r>
        <w:rPr>
          <w:rFonts w:ascii="Times New Roman;Times;serif" w:hAnsi="Times New Roman;Times;serif"/>
          <w:sz w:val="20"/>
        </w:rPr>
        <w:t xml:space="preserve"> </w:t>
      </w:r>
      <w:r>
        <w:rPr>
          <w:rFonts w:ascii="Times New Roman;Times;serif" w:hAnsi="Times New Roman;Times;serif"/>
          <w:sz w:val="22"/>
        </w:rPr>
        <w:t>shall survive termination of the Aggregate Commitments, repayment of all other Obligations hereunder and resignation of the Administrative Agent.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IV.</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CONDITIONS PRECEDENT TO CREDIT EXTENSIONS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4.01</w:t>
      </w:r>
      <w:r>
        <w:rPr>
          <w:rFonts w:ascii="Times New Roman;Times;serif" w:hAnsi="Times New Roman;Times;serif"/>
          <w:b/>
          <w:sz w:val="22"/>
        </w:rPr>
        <w:t>Conditions of Initial Credit Extension</w:t>
      </w:r>
      <w:r>
        <w:rPr>
          <w:rFonts w:ascii="Times New Roman;Times;serif" w:hAnsi="Times New Roman;Times;serif"/>
          <w:sz w:val="22"/>
        </w:rPr>
        <w:t>. The obligation of each L/C Issuer and each Lender to make its initial Credit Extension hereunder is subject to satisfaction of the following conditions precedent: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Administrative Agent’s receipt of the following, each of which shall be originals or electronic copies unless otherwise specified, each properly executed by a Responsible Officer of the signing Loan Party, each dated the Closing Date (or, in the case of certificates of governmental officials, a recent date before the Closing Date) and each in form and substance satisfactory to the Administrative Agent and each of the Lenders: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executed counterparts of this Agreement and the Guaranty sufficient in number for distribution to the Administrative Agent and the Company;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Notes executed by the Borrowers in favor of each Lender requesting Notes;</w:t>
      </w:r>
    </w:p>
    <w:p>
      <w:pPr>
        <w:pStyle w:val="TextBody"/>
        <w:bidi w:val="0"/>
        <w:spacing w:before="0" w:after="240"/>
        <w:ind w:left="0" w:right="0" w:hanging="719"/>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such documents and certifications as the Administrative Agent may reasonably require to evidence that each Loan Party is duly organized or formed, and that the Company is validly existing, in good standing and qualified to engage in business in each jurisdiction where its ownership, lease or operation of properties or the conduct of its business requires such qualification, except to the extent that failure to do so could not reasonably be expected to have a Material Adverse Effect;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w:t>
      </w:r>
      <w:r>
        <w:rPr>
          <w:rFonts w:ascii="Times New Roman;Times;serif" w:hAnsi="Times New Roman;Times;serif"/>
          <w:sz w:val="22"/>
        </w:rPr>
        <w:t xml:space="preserve">opinions of (A) Covington &amp; Burling LLP, counsel to the Loan Parties, (B) Argo Law, Belgian counsel to Avnet Europe and (C) the General Counsel and Chief Legal Officer of the Company, each addressed to the Administrative Agent and each Lender, in substantially the forms of </w:t>
      </w:r>
      <w:r>
        <w:rPr>
          <w:rFonts w:ascii="Times New Roman;Times;serif" w:hAnsi="Times New Roman;Times;serif"/>
          <w:sz w:val="22"/>
          <w:u w:val="single"/>
        </w:rPr>
        <w:t>Exhibits I-1</w:t>
      </w:r>
      <w:r>
        <w:rPr>
          <w:rFonts w:ascii="Times New Roman;Times;serif" w:hAnsi="Times New Roman;Times;serif"/>
          <w:sz w:val="22"/>
        </w:rPr>
        <w:t xml:space="preserve">, </w:t>
      </w:r>
      <w:r>
        <w:rPr>
          <w:rFonts w:ascii="Times New Roman;Times;serif" w:hAnsi="Times New Roman;Times;serif"/>
          <w:sz w:val="22"/>
          <w:u w:val="single"/>
        </w:rPr>
        <w:t>I-2</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I-3</w:t>
      </w:r>
      <w:r>
        <w:rPr>
          <w:rFonts w:ascii="Times New Roman;Times;serif" w:hAnsi="Times New Roman;Times;serif"/>
          <w:sz w:val="22"/>
        </w:rPr>
        <w:t>, respectively;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w:t>
      </w:r>
      <w:r>
        <w:rPr>
          <w:rFonts w:ascii="Times New Roman;Times;serif" w:hAnsi="Times New Roman;Times;serif"/>
          <w:sz w:val="22"/>
        </w:rPr>
        <w:t>a certificate of a Responsible Officer of each Loan Party either (A) attaching copies of all consents, licenses and approvals required in connection with the execution, delivery and performance by such Loan Party and the validity against such Loan Party of the Loan Documents to which it is a party, and such consents, licenses and approvals shall be in full force and effect, or (B) stating that no such consents, licenses or approvals are so required;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w:t>
      </w:r>
      <w:r>
        <w:rPr>
          <w:rFonts w:ascii="Times New Roman;Times;serif" w:hAnsi="Times New Roman;Times;serif"/>
          <w:sz w:val="22"/>
        </w:rPr>
        <w:t xml:space="preserve">a certificate signed by a Responsible Officer of the Company certifying (A) that the conditions specified in </w:t>
      </w:r>
      <w:r>
        <w:rPr>
          <w:rFonts w:ascii="Times New Roman;Times;serif" w:hAnsi="Times New Roman;Times;serif"/>
          <w:sz w:val="22"/>
          <w:u w:val="single"/>
        </w:rPr>
        <w:t>Sections 4.02(a)</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(b)</w:t>
      </w:r>
      <w:r>
        <w:rPr>
          <w:rFonts w:ascii="Times New Roman;Times;serif" w:hAnsi="Times New Roman;Times;serif"/>
          <w:sz w:val="20"/>
        </w:rPr>
        <w:t xml:space="preserve"> </w:t>
      </w:r>
      <w:r>
        <w:rPr>
          <w:rFonts w:ascii="Times New Roman;Times;serif" w:hAnsi="Times New Roman;Times;serif"/>
          <w:sz w:val="22"/>
        </w:rPr>
        <w:t>have been satisfied, (B) that there has been no event or circumstance since the date of the Audited Financial Statements that has had or could be reasonably expected to have, either individually or in the aggregate, a material adverse change in, or a material adverse effect upon, the operations, business, properties or financial condition of the Company and its Subsidiaries taken as a whole; (C) the current Debt Ratings and (D) that there is no action, suit, investigation or proceeding pending or, to the knowledge of the Borrowers, threatened in any court or before any arbitrator or Governmental Authority that has had or could be reasonably expected to have a Material Adverse Effect;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(viii)</w:t>
      </w:r>
      <w:r>
        <w:rPr>
          <w:rFonts w:ascii="Times New Roman;Times;serif" w:hAnsi="Times New Roman;Times;serif"/>
          <w:sz w:val="22"/>
        </w:rPr>
        <w:t>evidence that all insurance required to be maintained pursuant to the Loan Documents has been obtained and is in effect;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(ix)</w:t>
      </w:r>
      <w:r>
        <w:rPr>
          <w:rFonts w:ascii="Times New Roman;Times;serif" w:hAnsi="Times New Roman;Times;serif"/>
          <w:sz w:val="22"/>
        </w:rPr>
        <w:t>at least five days prior to the Closing Date, any Borrower that qualifies as a “legal entity customer” under the Beneficial Ownership Regulation shall deliver a Beneficial Ownership Certification in relation to such Borrower;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(x)</w:t>
      </w:r>
      <w:r>
        <w:rPr>
          <w:rFonts w:ascii="Times New Roman;Times;serif" w:hAnsi="Times New Roman;Times;serif"/>
          <w:sz w:val="22"/>
        </w:rPr>
        <w:t>upon the reasonable request of any Lender made at least 10 days prior to the Closing Date, the Company shall have provided to such Lender, and such Lender shall be reasonably satisfied with, the documentation and other information so requested in connection with applicable “know your customer” and anti-money-laundering rules and regulations, including, without limitation, the PATRIOT Act, in each case at least five days prior to the Closing Date;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(xi)</w:t>
      </w:r>
      <w:r>
        <w:rPr>
          <w:rFonts w:ascii="Times New Roman;Times;serif" w:hAnsi="Times New Roman;Times;serif"/>
          <w:sz w:val="22"/>
        </w:rPr>
        <w:t>such other assurances, certificates, documents, consents or opinions as the Administrative Agent or the Required Lenders reasonably may require.</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Any and all fees and expenses of the Administrative Agent, the Arrangers, the Lenders and their respective Affiliates required to be paid on or before the Closing Date shall have been paid.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The Company shall have paid all reasonable and documented fees, expenses and disbursements of McGuireWoods LLP, as counsel to the Administrative Agent, and of local counsel to the Lenders retained by the Administrative Agent with respect to any Foreign Obligors, in each case to the extent invoiced prior to the Closing Date (provided that the Company shall remain liable for any additional reasonable fees and expenses of such counsel to the Administrative Agent in accordance with </w:t>
      </w:r>
      <w:r>
        <w:rPr>
          <w:rFonts w:ascii="Times New Roman;Times;serif" w:hAnsi="Times New Roman;Times;serif"/>
          <w:sz w:val="22"/>
          <w:u w:val="single"/>
        </w:rPr>
        <w:t>Section 10.04</w:t>
      </w:r>
      <w:r>
        <w:rPr>
          <w:rFonts w:ascii="Times New Roman;Times;serif" w:hAnsi="Times New Roman;Times;serif"/>
          <w:sz w:val="22"/>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Without limiting the generality of the provisions of the last paragraph of </w:t>
      </w:r>
      <w:r>
        <w:rPr>
          <w:rFonts w:ascii="Times New Roman;Times;serif" w:hAnsi="Times New Roman;Times;serif"/>
          <w:sz w:val="22"/>
          <w:u w:val="single"/>
        </w:rPr>
        <w:t>Section 9.03</w:t>
      </w:r>
      <w:r>
        <w:rPr>
          <w:rFonts w:ascii="Times New Roman;Times;serif" w:hAnsi="Times New Roman;Times;serif"/>
          <w:sz w:val="22"/>
        </w:rPr>
        <w:t xml:space="preserve">, for purposes of determining compliance with the conditions specified in this </w:t>
      </w:r>
      <w:r>
        <w:rPr>
          <w:rFonts w:ascii="Times New Roman;Times;serif" w:hAnsi="Times New Roman;Times;serif"/>
          <w:sz w:val="22"/>
          <w:u w:val="single"/>
        </w:rPr>
        <w:t>Section 4.01</w:t>
      </w:r>
      <w:r>
        <w:rPr>
          <w:rFonts w:ascii="Times New Roman;Times;serif" w:hAnsi="Times New Roman;Times;serif"/>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4.02</w:t>
      </w:r>
      <w:r>
        <w:rPr>
          <w:rFonts w:ascii="Times New Roman;Times;serif" w:hAnsi="Times New Roman;Times;serif"/>
          <w:b/>
          <w:sz w:val="22"/>
        </w:rPr>
        <w:t>Conditions to all Credit Extensions</w:t>
      </w:r>
      <w:r>
        <w:rPr>
          <w:rFonts w:ascii="Times New Roman;Times;serif" w:hAnsi="Times New Roman;Times;serif"/>
          <w:sz w:val="22"/>
        </w:rPr>
        <w:t>. The obligation of each Lender to honor any Request for Credit Extension (other than a Committed Loan Notice requesting only a conversion of Committed Loans to the other Type, or a continuation of Term SOFR Loans or Alternative Currency Term Rate Loans) is subject to the following conditions precedent: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The representations and warranties of (i) the Borrowers contained in </w:t>
      </w:r>
      <w:r>
        <w:rPr>
          <w:rFonts w:ascii="Times New Roman;Times;serif" w:hAnsi="Times New Roman;Times;serif"/>
          <w:sz w:val="22"/>
          <w:u w:val="single"/>
        </w:rPr>
        <w:t>Article V</w:t>
      </w:r>
      <w:r>
        <w:rPr>
          <w:rFonts w:ascii="Times New Roman;Times;serif" w:hAnsi="Times New Roman;Times;serif"/>
          <w:sz w:val="20"/>
        </w:rPr>
        <w:t xml:space="preserve"> </w:t>
      </w:r>
      <w:r>
        <w:rPr>
          <w:rFonts w:ascii="Times New Roman;Times;serif" w:hAnsi="Times New Roman;Times;serif"/>
          <w:sz w:val="22"/>
        </w:rPr>
        <w:t xml:space="preserve">and (ii) each Loan Party contained in each other Loan Document or in any document furnished at any time under or in connection herewith or therewith (including any Designated Borrower Request and Assumption Agreement), shall be true and correct in all material respects (unless such representation or warranty is already qualified by materiality or Material Adverse Effect, in which case it shall be true and correct in all respects) on and as of the date of such Credit Extension, except to the extent that such representations and warranties specifically refer to an earlier date, in which case they shall be true and correct as of such earlier date, and except that for purposes of this </w:t>
      </w:r>
      <w:r>
        <w:rPr>
          <w:rFonts w:ascii="Times New Roman;Times;serif" w:hAnsi="Times New Roman;Times;serif"/>
          <w:sz w:val="22"/>
          <w:u w:val="single"/>
        </w:rPr>
        <w:t>Section 4.02</w:t>
      </w:r>
      <w:r>
        <w:rPr>
          <w:rFonts w:ascii="Times New Roman;Times;serif" w:hAnsi="Times New Roman;Times;serif"/>
          <w:sz w:val="22"/>
        </w:rPr>
        <w:t xml:space="preserve">, the representations and warranties contained in </w:t>
      </w:r>
      <w:r>
        <w:rPr>
          <w:rFonts w:ascii="Times New Roman;Times;serif" w:hAnsi="Times New Roman;Times;serif"/>
          <w:sz w:val="22"/>
          <w:u w:val="single"/>
        </w:rPr>
        <w:t>subsections (a)</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(b)</w:t>
      </w:r>
      <w:r>
        <w:rPr>
          <w:rFonts w:ascii="Times New Roman;Times;serif" w:hAnsi="Times New Roman;Times;serif"/>
          <w:sz w:val="20"/>
        </w:rPr>
        <w:t xml:space="preserve"> </w:t>
      </w:r>
      <w:r>
        <w:rPr>
          <w:rFonts w:ascii="Times New Roman;Times;serif" w:hAnsi="Times New Roman;Times;serif"/>
          <w:sz w:val="22"/>
        </w:rPr>
        <w:t xml:space="preserve">of </w:t>
      </w:r>
      <w:r>
        <w:rPr>
          <w:rFonts w:ascii="Times New Roman;Times;serif" w:hAnsi="Times New Roman;Times;serif"/>
          <w:sz w:val="22"/>
          <w:u w:val="single"/>
        </w:rPr>
        <w:t>Section 5.05</w:t>
      </w:r>
      <w:r>
        <w:rPr>
          <w:rFonts w:ascii="Times New Roman;Times;serif" w:hAnsi="Times New Roman;Times;serif"/>
          <w:sz w:val="20"/>
        </w:rPr>
        <w:t xml:space="preserve"> </w:t>
      </w:r>
      <w:r>
        <w:rPr>
          <w:rFonts w:ascii="Times New Roman;Times;serif" w:hAnsi="Times New Roman;Times;serif"/>
          <w:sz w:val="22"/>
        </w:rPr>
        <w:t xml:space="preserve">shall be deemed to refer to the most recent statements furnished pursuant to </w:t>
      </w:r>
      <w:r>
        <w:rPr>
          <w:rFonts w:ascii="Times New Roman;Times;serif" w:hAnsi="Times New Roman;Times;serif"/>
          <w:sz w:val="22"/>
          <w:u w:val="single"/>
        </w:rPr>
        <w:t>clauses (a)</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(b)</w:t>
      </w:r>
      <w:r>
        <w:rPr>
          <w:rFonts w:ascii="Times New Roman;Times;serif" w:hAnsi="Times New Roman;Times;serif"/>
          <w:sz w:val="22"/>
        </w:rPr>
        <w:t xml:space="preserve">, respectively, of </w:t>
      </w:r>
      <w:r>
        <w:rPr>
          <w:rFonts w:ascii="Times New Roman;Times;serif" w:hAnsi="Times New Roman;Times;serif"/>
          <w:sz w:val="22"/>
          <w:u w:val="single"/>
        </w:rPr>
        <w:t>Section 6.01</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No Default shall exist, or would result from such proposed Credit Extension or the application of the proceeds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The Administrative Agent and, if applicable, an L/C Issuer or the Swing Line Lender shall have received a Request for Credit Extension in accordance with the requirements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 xml:space="preserve">If the applicable Borrower is a Designated Borrower, then the conditions of </w:t>
      </w:r>
      <w:r>
        <w:rPr>
          <w:rFonts w:ascii="Times New Roman;Times;serif" w:hAnsi="Times New Roman;Times;serif"/>
          <w:sz w:val="22"/>
          <w:u w:val="single"/>
        </w:rPr>
        <w:t>Section 2.14</w:t>
      </w:r>
      <w:r>
        <w:rPr>
          <w:rFonts w:ascii="Times New Roman;Times;serif" w:hAnsi="Times New Roman;Times;serif"/>
          <w:sz w:val="20"/>
        </w:rPr>
        <w:t xml:space="preserve"> </w:t>
      </w:r>
      <w:r>
        <w:rPr>
          <w:rFonts w:ascii="Times New Roman;Times;serif" w:hAnsi="Times New Roman;Times;serif"/>
          <w:sz w:val="22"/>
        </w:rPr>
        <w:t>to the designation of such Borrower as a Designated Borrower shall have been met to the satisfaction of the Administrative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In the case of a Credit Extension to be denominated in an Alternative Currency, such currency remains an Eligible Currency.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Each Request for Credit Extension (other than a Committed Loan Notice requesting only a conversion of Committed Loans to the other Type or a continuation of Term SOFR Loans or Alternative Currency Term Rate Loans) submitted by the Company shall be deemed to be a representation and warranty that the conditions specified in </w:t>
      </w:r>
      <w:r>
        <w:rPr>
          <w:rFonts w:ascii="Times New Roman;Times;serif" w:hAnsi="Times New Roman;Times;serif"/>
          <w:sz w:val="22"/>
          <w:u w:val="single"/>
        </w:rPr>
        <w:t>Sections 4.02(a)</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(b)</w:t>
      </w:r>
      <w:r>
        <w:rPr>
          <w:rFonts w:ascii="Times New Roman;Times;serif" w:hAnsi="Times New Roman;Times;serif"/>
          <w:sz w:val="20"/>
        </w:rPr>
        <w:t xml:space="preserve"> </w:t>
      </w:r>
      <w:r>
        <w:rPr>
          <w:rFonts w:ascii="Times New Roman;Times;serif" w:hAnsi="Times New Roman;Times;serif"/>
          <w:sz w:val="22"/>
        </w:rPr>
        <w:t>have been satisfied on and as of the date of the applicable Credit Extension.</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V.</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REPRESENTATIONS AND WARRANTIES</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Each Borrower represents and warrants to the Administrative Agent and the Lenders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5.01</w:t>
      </w:r>
      <w:r>
        <w:rPr>
          <w:rFonts w:ascii="Times New Roman;Times;serif" w:hAnsi="Times New Roman;Times;serif"/>
          <w:b/>
          <w:sz w:val="22"/>
        </w:rPr>
        <w:t>Existence, Qualification and Power; Compliance with Laws</w:t>
      </w:r>
      <w:r>
        <w:rPr>
          <w:rFonts w:ascii="Times New Roman;Times;serif" w:hAnsi="Times New Roman;Times;serif"/>
          <w:sz w:val="22"/>
        </w:rPr>
        <w:t xml:space="preserve">. Each Loan Party and each Subsidiary thereof (a) is duly organized or formed, validly existing and (to the extent the concept of “good standing” exists under such Laws) in good standing under the Laws of the jurisdiction of its incorporation or organization, (b) has all requisite power and authority and all requisite governmental licenses, authorizations, consents and approvals to (i) own or lease its assets and carry on its business and (ii)execute, deliver and perform its obligations under the Loan Documents to which it is a party, (c) is duly qualified and is licensed and (to the extent the concept of “good standing” exists under such Laws) in good standing under the Laws of each jurisdiction where its ownership, lease or operation of properties or the conduct of its business requires such qualification or license, and (d) is in compliance with all Laws; except in each case referred to in </w:t>
      </w:r>
      <w:r>
        <w:rPr>
          <w:rFonts w:ascii="Times New Roman;Times;serif" w:hAnsi="Times New Roman;Times;serif"/>
          <w:sz w:val="22"/>
          <w:u w:val="single"/>
        </w:rPr>
        <w:t>clause (b)(i)</w:t>
      </w:r>
      <w:r>
        <w:rPr>
          <w:rFonts w:ascii="Times New Roman;Times;serif" w:hAnsi="Times New Roman;Times;serif"/>
          <w:sz w:val="22"/>
        </w:rPr>
        <w:t xml:space="preserve">, </w:t>
      </w:r>
      <w:r>
        <w:rPr>
          <w:rFonts w:ascii="Times New Roman;Times;serif" w:hAnsi="Times New Roman;Times;serif"/>
          <w:sz w:val="22"/>
          <w:u w:val="single"/>
        </w:rPr>
        <w:t>(c)</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(d)</w:t>
      </w:r>
      <w:r>
        <w:rPr>
          <w:rFonts w:ascii="Times New Roman;Times;serif" w:hAnsi="Times New Roman;Times;serif"/>
          <w:sz w:val="20"/>
        </w:rPr>
        <w:t xml:space="preserve"> </w:t>
      </w:r>
      <w:r>
        <w:rPr>
          <w:rFonts w:ascii="Times New Roman;Times;serif" w:hAnsi="Times New Roman;Times;serif"/>
          <w:sz w:val="22"/>
        </w:rPr>
        <w:t xml:space="preserve">(or, with respect to any Subsidiary that is not a Loan Party, in each case referred to in </w:t>
      </w:r>
      <w:r>
        <w:rPr>
          <w:rFonts w:ascii="Times New Roman;Times;serif" w:hAnsi="Times New Roman;Times;serif"/>
          <w:sz w:val="22"/>
          <w:u w:val="single"/>
        </w:rPr>
        <w:t>clause (a)</w:t>
      </w:r>
      <w:r>
        <w:rPr>
          <w:rFonts w:ascii="Times New Roman;Times;serif" w:hAnsi="Times New Roman;Times;serif"/>
          <w:sz w:val="22"/>
        </w:rPr>
        <w:t xml:space="preserve">, </w:t>
      </w:r>
      <w:r>
        <w:rPr>
          <w:rFonts w:ascii="Times New Roman;Times;serif" w:hAnsi="Times New Roman;Times;serif"/>
          <w:sz w:val="22"/>
          <w:u w:val="single"/>
        </w:rPr>
        <w:t>(b)</w:t>
      </w:r>
      <w:r>
        <w:rPr>
          <w:rFonts w:ascii="Times New Roman;Times;serif" w:hAnsi="Times New Roman;Times;serif"/>
          <w:sz w:val="22"/>
        </w:rPr>
        <w:t xml:space="preserve">, </w:t>
      </w:r>
      <w:r>
        <w:rPr>
          <w:rFonts w:ascii="Times New Roman;Times;serif" w:hAnsi="Times New Roman;Times;serif"/>
          <w:sz w:val="22"/>
          <w:u w:val="single"/>
        </w:rPr>
        <w:t>(c)</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(d)</w:t>
      </w:r>
      <w:r>
        <w:rPr>
          <w:rFonts w:ascii="Times New Roman;Times;serif" w:hAnsi="Times New Roman;Times;serif"/>
          <w:sz w:val="22"/>
        </w:rPr>
        <w:t>), to the extent that failure to do so would not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5.02</w:t>
      </w:r>
      <w:r>
        <w:rPr>
          <w:rFonts w:ascii="Times New Roman;Times;serif" w:hAnsi="Times New Roman;Times;serif"/>
          <w:b/>
          <w:sz w:val="22"/>
        </w:rPr>
        <w:t>Authorization; No Contravention</w:t>
      </w:r>
      <w:r>
        <w:rPr>
          <w:rFonts w:ascii="Times New Roman;Times;serif" w:hAnsi="Times New Roman;Times;serif"/>
          <w:sz w:val="22"/>
        </w:rPr>
        <w:t xml:space="preserve">. The execution, delivery and performance by each Loan Party of each Loan 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under, or require any payment to be made under (i) any Contractual Obligation to which such Person is a party or to which such Person or the properties of such Person or any of its Subsidiaries is subject or (ii) any order, injunction, writ or decree of any Governmental Authority or any arbitral award to which such Person or its property is subject; or (c) violate any Law in any material respect, except, in the case of immediately preceding </w:t>
      </w:r>
      <w:r>
        <w:rPr>
          <w:rFonts w:ascii="Times New Roman;Times;serif" w:hAnsi="Times New Roman;Times;serif"/>
          <w:sz w:val="22"/>
          <w:u w:val="single"/>
        </w:rPr>
        <w:t>clauses (b)</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(c)</w:t>
      </w:r>
      <w:r>
        <w:rPr>
          <w:rFonts w:ascii="Times New Roman;Times;serif" w:hAnsi="Times New Roman;Times;serif"/>
          <w:sz w:val="22"/>
        </w:rPr>
        <w:t xml:space="preserve">, to the extent that failure to do so would not reasonably be expected to have a Material Adverse Effect. Each Loan Party and each Subsidiary thereof is in compliance with all Contractual Obligations referred to in </w:t>
      </w:r>
      <w:r>
        <w:rPr>
          <w:rFonts w:ascii="Times New Roman;Times;serif" w:hAnsi="Times New Roman;Times;serif"/>
          <w:sz w:val="22"/>
          <w:u w:val="single"/>
        </w:rPr>
        <w:t>clause (b)(i)</w:t>
      </w:r>
      <w:r>
        <w:rPr>
          <w:rFonts w:ascii="Times New Roman;Times;serif" w:hAnsi="Times New Roman;Times;serif"/>
          <w:sz w:val="22"/>
        </w:rPr>
        <w:t>, except to the extent that failure to do so could not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5.03</w:t>
      </w:r>
      <w:r>
        <w:rPr>
          <w:rFonts w:ascii="Times New Roman;Times;serif" w:hAnsi="Times New Roman;Times;serif"/>
          <w:b/>
          <w:sz w:val="22"/>
        </w:rPr>
        <w:t>Governmental Authorization; Other Consents</w:t>
      </w:r>
      <w:r>
        <w:rPr>
          <w:rFonts w:ascii="Times New Roman;Times;serif" w:hAnsi="Times New Roman;Times;serif"/>
          <w:sz w:val="22"/>
        </w:rPr>
        <w:t>. 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except in the case where such approval, consent, exemption, authorization, notice, filing or other action has previously been completed and is in full force and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5.04</w:t>
      </w:r>
      <w:r>
        <w:rPr>
          <w:rFonts w:ascii="Times New Roman;Times;serif" w:hAnsi="Times New Roman;Times;serif"/>
          <w:b/>
          <w:sz w:val="22"/>
        </w:rPr>
        <w:t>Binding Effect</w:t>
      </w:r>
      <w:r>
        <w:rPr>
          <w:rFonts w:ascii="Times New Roman;Times;serif" w:hAnsi="Times New Roman;Times;serif"/>
          <w:sz w:val="22"/>
        </w:rPr>
        <w:t>. This Agreement has been, and each other Loan Document, when delivered hereunder, will have been, duly executed and delivered by each Loan Party that is party thereto. This Agreement constitutes, and each other Loan Document when so delivered will constitute, a legal, valid and binding obligation of such Loan Party, enforceable against each Loan Party that is party thereto in accordance with its terms.</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tbl>
      <w:tblPr>
        <w:tblW w:w="5418" w:type="dxa"/>
        <w:jc w:val="left"/>
        <w:tblInd w:w="0" w:type="dxa"/>
        <w:tblLayout w:type="fixed"/>
        <w:tblCellMar>
          <w:top w:w="0" w:type="dxa"/>
          <w:left w:w="0" w:type="dxa"/>
          <w:bottom w:w="0" w:type="dxa"/>
          <w:right w:w="0" w:type="dxa"/>
        </w:tblCellMar>
      </w:tblPr>
      <w:tblGrid>
        <w:gridCol w:w="23"/>
        <w:gridCol w:w="440"/>
        <w:gridCol w:w="495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40"/>
              <w:jc w:val="left"/>
              <w:rPr>
                <w:rFonts w:ascii="Times New Roman;Times;serif" w:hAnsi="Times New Roman;Times;serif"/>
                <w:b/>
                <w:sz w:val="22"/>
              </w:rPr>
            </w:pPr>
            <w:r>
              <w:rPr>
                <w:rFonts w:ascii="Times New Roman;Times;serif" w:hAnsi="Times New Roman;Times;serif"/>
                <w:b/>
                <w:sz w:val="22"/>
              </w:rPr>
              <w:t>5.05</w:t>
            </w:r>
          </w:p>
        </w:tc>
        <w:tc>
          <w:tcPr>
            <w:tcW w:w="49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2"/>
              </w:rPr>
              <w:t>Financial Statements; No Material Adverse Effect</w:t>
            </w:r>
            <w:r>
              <w:rPr>
                <w:rFonts w:ascii="Times New Roman;Times;serif" w:hAnsi="Times New Roman;Times;serif"/>
                <w:sz w:val="22"/>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Audited Financial Statements (i) were prepared in accordance with GAAP consistently applied throughout the period covered thereby, except as otherwise expressly noted therein; (ii) fairly present the financial condition of the Company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Company and its Subsidiaries as of the date thereof, including liabilities for taxes, material commitments and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The unaudited consolidated and consolidating balance sheet of the Company and its Subsidiaries dated September 28, 2024, and the related consolidated statements of income or operations, shareholders’ equity and cash flows, and consolidating statements of income or operations for the fiscal quarter ended on that date (i) were prepared in accordance with GAAP consistently applied throughout the period covered thereby, except as otherwise expressly noted therein, and (ii) fairly present the financial condition of the Company and its Subsidiaries as of the date thereof and their results of operations for the period covered thereby, subject, in the case of </w:t>
      </w:r>
      <w:r>
        <w:rPr>
          <w:rFonts w:ascii="Times New Roman;Times;serif" w:hAnsi="Times New Roman;Times;serif"/>
          <w:sz w:val="22"/>
          <w:u w:val="single"/>
        </w:rPr>
        <w:t>clauses (i)</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(ii)</w:t>
      </w:r>
      <w:r>
        <w:rPr>
          <w:rFonts w:ascii="Times New Roman;Times;serif" w:hAnsi="Times New Roman;Times;serif"/>
          <w:sz w:val="22"/>
        </w:rPr>
        <w:t>, to the absence of footnotes and to normal year-end audit adjustments.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Since the date of the Audited Financial Statements, there has been no event or circumstance, either individually or in the aggregate, that has had or could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5.06</w:t>
      </w:r>
      <w:r>
        <w:rPr>
          <w:rFonts w:ascii="Times New Roman;Times;serif" w:hAnsi="Times New Roman;Times;serif"/>
          <w:b/>
          <w:sz w:val="22"/>
        </w:rPr>
        <w:t>Litigation</w:t>
      </w:r>
      <w:r>
        <w:rPr>
          <w:rFonts w:ascii="Times New Roman;Times;serif" w:hAnsi="Times New Roman;Times;serif"/>
          <w:sz w:val="22"/>
        </w:rPr>
        <w:t xml:space="preserve">. Except as disclosed on </w:t>
      </w:r>
      <w:r>
        <w:rPr>
          <w:rFonts w:ascii="Times New Roman;Times;serif" w:hAnsi="Times New Roman;Times;serif"/>
          <w:sz w:val="22"/>
          <w:u w:val="single"/>
        </w:rPr>
        <w:t>Schedule 5.06</w:t>
      </w:r>
      <w:r>
        <w:rPr>
          <w:rFonts w:ascii="Times New Roman;Times;serif" w:hAnsi="Times New Roman;Times;serif"/>
          <w:sz w:val="22"/>
        </w:rPr>
        <w:t>, there are no actions, suits, proceedings, claims or disputes pending or, to the knowledge of the Company after due and diligent investigation, threatened, at law, in equity, in arbitration or before any Governmental Authority, by or against the Company or any of its Subsidiaries or against any of their properties or revenues that (a) purport to affect or pertain to this Agreement or any other Loan Document, or any of the transactions contemplated hereby, or (b) either individually or in the aggregate, is reasonably likely to be determined adversely and, if so determined, could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5.07</w:t>
      </w:r>
      <w:r>
        <w:rPr>
          <w:rFonts w:ascii="Times New Roman;Times;serif" w:hAnsi="Times New Roman;Times;serif"/>
          <w:b/>
          <w:sz w:val="22"/>
        </w:rPr>
        <w:t>No Default</w:t>
      </w:r>
      <w:r>
        <w:rPr>
          <w:rFonts w:ascii="Times New Roman;Times;serif" w:hAnsi="Times New Roman;Times;serif"/>
          <w:sz w:val="22"/>
        </w:rPr>
        <w:t>. No Default has occurred and is continuing or would result from the consummation of the transactions contemplated by this Agreement or any other Loan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5.08</w:t>
      </w:r>
      <w:r>
        <w:rPr>
          <w:rFonts w:ascii="Times New Roman;Times;serif" w:hAnsi="Times New Roman;Times;serif"/>
          <w:b/>
          <w:sz w:val="22"/>
        </w:rPr>
        <w:t>Ownership of Property; Liens</w:t>
      </w:r>
      <w:r>
        <w:rPr>
          <w:rFonts w:ascii="Times New Roman;Times;serif" w:hAnsi="Times New Roman;Times;serif"/>
          <w:sz w:val="22"/>
        </w:rPr>
        <w:t xml:space="preserve">. Each of the Company and each Subsidiary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 The property of the Company and its Subsidiaries is subject to no Liens, other than Liens permitted by </w:t>
      </w:r>
      <w:r>
        <w:rPr>
          <w:rFonts w:ascii="Times New Roman;Times;serif" w:hAnsi="Times New Roman;Times;serif"/>
          <w:sz w:val="22"/>
          <w:u w:val="single"/>
        </w:rPr>
        <w:t>Section 7.01</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5.09</w:t>
      </w:r>
      <w:r>
        <w:rPr>
          <w:rFonts w:ascii="Times New Roman;Times;serif" w:hAnsi="Times New Roman;Times;serif"/>
          <w:b/>
          <w:sz w:val="22"/>
        </w:rPr>
        <w:t>Environmental Compliance</w:t>
      </w:r>
      <w:r>
        <w:rPr>
          <w:rFonts w:ascii="Times New Roman;Times;serif" w:hAnsi="Times New Roman;Times;serif"/>
          <w:sz w:val="22"/>
        </w:rPr>
        <w:t>. The Company and its Material Subsidiaries conduct in the ordinary course of business a review of the effect of existing Environmental Laws and claims alleging potential liability or responsibility for violation of any Environmental Law on their and the other Subsidiaries, respective businesses, operations and properties, and as a result thereof the Company has reasonably concluded that such Environmental Laws and claims could not, individually or in the aggregate,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5.10</w:t>
      </w:r>
      <w:r>
        <w:rPr>
          <w:rFonts w:ascii="Times New Roman;Times;serif" w:hAnsi="Times New Roman;Times;serif"/>
          <w:b/>
          <w:sz w:val="22"/>
        </w:rPr>
        <w:t>Taxes</w:t>
      </w:r>
      <w:r>
        <w:rPr>
          <w:rFonts w:ascii="Times New Roman;Times;serif" w:hAnsi="Times New Roman;Times;serif"/>
          <w:sz w:val="22"/>
        </w:rPr>
        <w:t>. The Company and its Subsidiaries have filed all Federal, state and other material tax returns and 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appropriate proceedings diligently conducted and for which adequate reserves have been provided in accordance with GAAP, and except where the failure to file such returns or reports or to make such payments could not reasonably be expected to have a Material Adverse Effect. To the knowledge of the Company, there is no proposed tax assessment against the Company or any Subsidiary that would, if made, have a Material Adverse Effect. Neither any Loan Party nor any Material Subsidiary thereof is party to any tax sharing agreement. No Non-Material Subsidiary is a party to any tax sharing agreement that could reasonably be expected to have a Material Adverse Effect.</w:t>
      </w:r>
    </w:p>
    <w:tbl>
      <w:tblPr>
        <w:tblW w:w="2448" w:type="dxa"/>
        <w:jc w:val="left"/>
        <w:tblInd w:w="0" w:type="dxa"/>
        <w:tblLayout w:type="fixed"/>
        <w:tblCellMar>
          <w:top w:w="0" w:type="dxa"/>
          <w:left w:w="0" w:type="dxa"/>
          <w:bottom w:w="0" w:type="dxa"/>
          <w:right w:w="0" w:type="dxa"/>
        </w:tblCellMar>
      </w:tblPr>
      <w:tblGrid>
        <w:gridCol w:w="23"/>
        <w:gridCol w:w="440"/>
        <w:gridCol w:w="198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40"/>
              <w:jc w:val="left"/>
              <w:rPr>
                <w:rFonts w:ascii="Times New Roman;Times;serif" w:hAnsi="Times New Roman;Times;serif"/>
                <w:b/>
                <w:sz w:val="22"/>
              </w:rPr>
            </w:pPr>
            <w:r>
              <w:rPr>
                <w:rFonts w:ascii="Times New Roman;Times;serif" w:hAnsi="Times New Roman;Times;serif"/>
                <w:b/>
                <w:sz w:val="22"/>
              </w:rPr>
              <w:t>5.11</w:t>
            </w:r>
          </w:p>
        </w:tc>
        <w:tc>
          <w:tcPr>
            <w:tcW w:w="198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2"/>
              </w:rPr>
              <w:t>ERISA Compliance</w:t>
            </w:r>
            <w:r>
              <w:rPr>
                <w:rFonts w:ascii="Times New Roman;Times;serif" w:hAnsi="Times New Roman;Times;serif"/>
                <w:sz w:val="22"/>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Each Plan is in compliance in all material respects with the applicable provisions of ERISA, the Code and other U.S. Federal or state Laws. Each Pension Plan that is intended to be a qualified plan under Section 401(a) of the Code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with respect thereto. To the best knowledge of the Company, nothing has occurred which would cause the loss of such qualification that could reasonably be expected to have a Material Adverse Effect. The Company and each ERISA Affiliate have made all required contributions to each Plan subject to Section 412 of the Code, and no application for a funding waiver or an extension of any amortization period pursuant to Section 412 of the Code has been made with respect to any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There are no pending or, to the best knowledge of the Company, threatened claims, actions or lawsuits, or action by any Governmental Authority, with respect to any Plan that could reasonably be expected to have a Material Adverse Effect. There has been no prohibited transaction under ERISA or violation of ERISA’s fiduciary responsibility rules with respect to any Plan that has resulted or could reasonably be expected to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(i) No ERISA Event has occurred, and neither the Company nor any ERISA Affiliate is aware of any fact, event or circumstance that is reasonably expected to constitute or result in an ERISA Event with respect to any Pension Plan; (ii) the Company and each ERISA Affiliate has met all applicable requirements under the Pension Funding Rules in respect of each Pension Plan, and no waiver of the minimum funding standards under the Pension Funding Rules has been applied for or obtained; (iii) as of the most recent valuation date for any Pension Plan, the funding target attainment percentage (as defined in Section 430(d)(2) of the Code) is 60% or higher and neither the Company nor any ERISA Affiliate knows of any facts or circumstances that could reasonably be expected to cause the funding target attainment percentage for any such plan to drop below 60% as of the most recent valuation date; (iv) neither the Company nor any ERISA Affiliate has incurred any liability to the PBGC other than for the payment of premiums, and there are no premium payments which have become due that are unpaid; (v) neither the Company nor any ERISA Affiliate has engaged in a transaction that could be subject to Section 4069 or Section 4212(c) of ERISA; and (vi)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5.12</w:t>
      </w:r>
      <w:r>
        <w:rPr>
          <w:rFonts w:ascii="Times New Roman;Times;serif" w:hAnsi="Times New Roman;Times;serif"/>
          <w:b/>
          <w:sz w:val="22"/>
        </w:rPr>
        <w:t xml:space="preserve">Subsidiaries; Equity Interests. </w:t>
      </w:r>
      <w:r>
        <w:rPr>
          <w:rFonts w:ascii="Times New Roman;Times;serif" w:hAnsi="Times New Roman;Times;serif"/>
          <w:sz w:val="22"/>
        </w:rPr>
        <w:t xml:space="preserve">As of the Closing Date, the Company has no Subsidiaries with any material assets, material liabilities or ongoing operations other than those specifically disclosed in Part (a) of </w:t>
      </w:r>
      <w:r>
        <w:rPr>
          <w:rFonts w:ascii="Times New Roman;Times;serif" w:hAnsi="Times New Roman;Times;serif"/>
          <w:sz w:val="22"/>
          <w:u w:val="single"/>
        </w:rPr>
        <w:t>Schedule 5.12</w:t>
      </w:r>
      <w:r>
        <w:rPr>
          <w:rFonts w:ascii="Times New Roman;Times;serif" w:hAnsi="Times New Roman;Times;serif"/>
          <w:sz w:val="22"/>
        </w:rPr>
        <w:t xml:space="preserve">, and all of the outstanding Equity Interests in such Subsidiaries have been validly issued, are fully paid and nonassessable and are owned by a Loan Party in the amounts specified on Part (a) of </w:t>
      </w:r>
      <w:r>
        <w:rPr>
          <w:rFonts w:ascii="Times New Roman;Times;serif" w:hAnsi="Times New Roman;Times;serif"/>
          <w:sz w:val="22"/>
          <w:u w:val="single"/>
        </w:rPr>
        <w:t>Schedule 5.12</w:t>
      </w:r>
      <w:r>
        <w:rPr>
          <w:rFonts w:ascii="Times New Roman;Times;serif" w:hAnsi="Times New Roman;Times;serif"/>
          <w:sz w:val="20"/>
        </w:rPr>
        <w:t xml:space="preserve"> </w:t>
      </w:r>
      <w:r>
        <w:rPr>
          <w:rFonts w:ascii="Times New Roman;Times;serif" w:hAnsi="Times New Roman;Times;serif"/>
          <w:sz w:val="22"/>
        </w:rPr>
        <w:t>free and clear of all Liens. As of the Closing Date, the Company has no equity investments in any other corporation or entity other than (a) those specifically</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disclosed in Part (b) of </w:t>
      </w:r>
      <w:r>
        <w:rPr>
          <w:rFonts w:ascii="Times New Roman;Times;serif" w:hAnsi="Times New Roman;Times;serif"/>
          <w:sz w:val="22"/>
          <w:u w:val="single"/>
        </w:rPr>
        <w:t>Schedule 5.12</w:t>
      </w:r>
      <w:r>
        <w:rPr>
          <w:rFonts w:ascii="Times New Roman;Times;serif" w:hAnsi="Times New Roman;Times;serif"/>
          <w:sz w:val="20"/>
        </w:rPr>
        <w:t xml:space="preserve"> </w:t>
      </w:r>
      <w:r>
        <w:rPr>
          <w:rFonts w:ascii="Times New Roman;Times;serif" w:hAnsi="Times New Roman;Times;serif"/>
          <w:sz w:val="22"/>
        </w:rPr>
        <w:t>and (b) equity investments in any corporation or entity where the aggregate amount invested in such Person by the Company is less than $5,000,000. All of the outstanding Equity Interests in the Company have been validly issued, and are fully paid and nonassessable.</w:t>
      </w:r>
    </w:p>
    <w:tbl>
      <w:tblPr>
        <w:tblW w:w="5118" w:type="dxa"/>
        <w:jc w:val="left"/>
        <w:tblInd w:w="0" w:type="dxa"/>
        <w:tblLayout w:type="fixed"/>
        <w:tblCellMar>
          <w:top w:w="0" w:type="dxa"/>
          <w:left w:w="0" w:type="dxa"/>
          <w:bottom w:w="0" w:type="dxa"/>
          <w:right w:w="0" w:type="dxa"/>
        </w:tblCellMar>
      </w:tblPr>
      <w:tblGrid>
        <w:gridCol w:w="23"/>
        <w:gridCol w:w="440"/>
        <w:gridCol w:w="4655"/>
      </w:tblGrid>
      <w:tr>
        <w:trPr/>
        <w:tc>
          <w:tcPr>
            <w:tcW w:w="2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40"/>
              <w:jc w:val="left"/>
              <w:rPr>
                <w:rFonts w:ascii="Times New Roman;Times;serif" w:hAnsi="Times New Roman;Times;serif"/>
                <w:b/>
                <w:sz w:val="22"/>
              </w:rPr>
            </w:pPr>
            <w:r>
              <w:rPr>
                <w:rFonts w:ascii="Times New Roman;Times;serif" w:hAnsi="Times New Roman;Times;serif"/>
                <w:b/>
                <w:sz w:val="22"/>
              </w:rPr>
              <w:t>5.13</w:t>
            </w:r>
          </w:p>
        </w:tc>
        <w:tc>
          <w:tcPr>
            <w:tcW w:w="465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b/>
                <w:sz w:val="22"/>
              </w:rPr>
              <w:t>Margin Regulations; Investment Company Act</w:t>
            </w:r>
            <w:r>
              <w:rPr>
                <w:rFonts w:ascii="Times New Roman;Times;serif" w:hAnsi="Times New Roman;Times;serif"/>
                <w:sz w:val="22"/>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No Borrower is engaged or will engage, principally or as one of its important activities, in the business of purchasing or carrying margin stock (within the meaning of Regulation U issued by the FRB), or extending credit for the purpose of purchasing or carrying margin stock.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None of the Company, any Person Controlling the Company, or any Subsidiary is or is required to be registered as an “investment company” under the Investment Company Act of 1940.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5.14</w:t>
      </w:r>
      <w:r>
        <w:rPr>
          <w:rFonts w:ascii="Times New Roman;Times;serif" w:hAnsi="Times New Roman;Times;serif"/>
          <w:b/>
          <w:sz w:val="22"/>
        </w:rPr>
        <w:t>Disclosure</w:t>
      </w:r>
      <w:r>
        <w:rPr>
          <w:rFonts w:ascii="Times New Roman;Times;serif" w:hAnsi="Times New Roman;Times;serif"/>
          <w:sz w:val="22"/>
        </w:rPr>
        <w:t xml:space="preserve">. No report, financial statement, certificate or other written information furnished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taken as a whole, contains any material misstatement of fact or omits to state any material fact necessary to make the statements therein, in the light of the circumstances under which they were made, not misleading;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with respect to projected financial information, the Company represents only that such information was prepared in good faith based upon assumptions believed to be reasonable at the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5.15</w:t>
      </w:r>
      <w:r>
        <w:rPr>
          <w:rFonts w:ascii="Times New Roman;Times;serif" w:hAnsi="Times New Roman;Times;serif"/>
          <w:b/>
          <w:sz w:val="22"/>
        </w:rPr>
        <w:t>Compliance with Laws</w:t>
      </w:r>
      <w:r>
        <w:rPr>
          <w:rFonts w:ascii="Times New Roman;Times;serif" w:hAnsi="Times New Roman;Times;serif"/>
          <w:sz w:val="22"/>
        </w:rPr>
        <w:t>. Each of the Company and each Subsidiary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5.16</w:t>
      </w:r>
      <w:r>
        <w:rPr>
          <w:rFonts w:ascii="Times New Roman;Times;serif" w:hAnsi="Times New Roman;Times;serif"/>
          <w:b/>
          <w:sz w:val="22"/>
        </w:rPr>
        <w:t>Intellectual Property; Licenses, Etc</w:t>
      </w:r>
      <w:r>
        <w:rPr>
          <w:rFonts w:ascii="Times New Roman;Times;serif" w:hAnsi="Times New Roman;Times;serif"/>
          <w:sz w:val="22"/>
        </w:rPr>
        <w:t>. The Company and its Subsidiaries own, or possess the right to use, all of the trademarks, service marks, trade names, copyrights, patents, patent rights, franchises, licenses and other intellectual property rights (collectively, “</w:t>
      </w:r>
      <w:r>
        <w:rPr>
          <w:rFonts w:ascii="Times New Roman;Times;serif" w:hAnsi="Times New Roman;Times;serif"/>
          <w:sz w:val="22"/>
          <w:u w:val="single"/>
        </w:rPr>
        <w:t>IP Rights</w:t>
      </w:r>
      <w:r>
        <w:rPr>
          <w:rFonts w:ascii="Times New Roman;Times;serif" w:hAnsi="Times New Roman;Times;serif"/>
          <w:sz w:val="20"/>
        </w:rPr>
        <w:t>”</w:t>
      </w:r>
      <w:r>
        <w:rPr>
          <w:rFonts w:ascii="Times New Roman;Times;serif" w:hAnsi="Times New Roman;Times;serif"/>
          <w:sz w:val="22"/>
        </w:rPr>
        <w:t>) that are reasonably necessary for the operation of their respective businesses, without conflict with the rights of any other Person, except as could not reasonably be expected to have a Material Adverse Effect. No claim or litigation regarding any of the foregoing is pending or, to the best knowledge of the Company, threatened, which, either individually or in the aggregate, could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5.17</w:t>
      </w:r>
      <w:r>
        <w:rPr>
          <w:rFonts w:ascii="Times New Roman;Times;serif" w:hAnsi="Times New Roman;Times;serif"/>
          <w:b/>
          <w:sz w:val="22"/>
        </w:rPr>
        <w:t>Solvency</w:t>
      </w:r>
      <w:r>
        <w:rPr>
          <w:rFonts w:ascii="Times New Roman;Times;serif" w:hAnsi="Times New Roman;Times;serif"/>
          <w:sz w:val="22"/>
        </w:rPr>
        <w:t>. On the Closing Date, the Company and its Subsidiaries on a consolidated basis are Solvent, both before and after giving effect to any Credit Extension and the disbursements of the proceeds thereof on such date. On the date of each Credit Extension, the Company and its Subsidiaries on a consolidated basis are Solvent, both before and after giving effect to such Credit Extension and the disbursements of the proceeds thereof on such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5.18</w:t>
      </w:r>
      <w:r>
        <w:rPr>
          <w:rFonts w:ascii="Times New Roman;Times;serif" w:hAnsi="Times New Roman;Times;serif"/>
          <w:b/>
          <w:sz w:val="22"/>
        </w:rPr>
        <w:t>Taxpayer Identification Number; Other Identifying Information</w:t>
      </w:r>
      <w:r>
        <w:rPr>
          <w:rFonts w:ascii="Times New Roman;Times;serif" w:hAnsi="Times New Roman;Times;serif"/>
          <w:sz w:val="22"/>
        </w:rPr>
        <w:t xml:space="preserve">. The true and correct U.S. taxpayer identification number of the Company is set forth on </w:t>
      </w:r>
      <w:r>
        <w:rPr>
          <w:rFonts w:ascii="Times New Roman;Times;serif" w:hAnsi="Times New Roman;Times;serif"/>
          <w:sz w:val="22"/>
          <w:u w:val="single"/>
        </w:rPr>
        <w:t>Schedule 10.02</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5.19</w:t>
      </w:r>
      <w:r>
        <w:rPr>
          <w:rFonts w:ascii="Times New Roman;Times;serif" w:hAnsi="Times New Roman;Times;serif"/>
          <w:b/>
          <w:sz w:val="22"/>
        </w:rPr>
        <w:t>Representations as to Foreign Obligors</w:t>
      </w:r>
      <w:r>
        <w:rPr>
          <w:rFonts w:ascii="Times New Roman;Times;serif" w:hAnsi="Times New Roman;Times;serif"/>
          <w:sz w:val="22"/>
        </w:rPr>
        <w:t>. Each of the Company and each Foreign Obligor represents and warrants to the Administrative Agent and the Lenders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Such Foreign Obligor is subject to civil and commercial Laws with respect to its obligations under this Agreement and the other Loan Documents to which it is a party (collectively as to such Foreign Obligor, the “</w:t>
      </w:r>
      <w:r>
        <w:rPr>
          <w:rFonts w:ascii="Times New Roman;Times;serif" w:hAnsi="Times New Roman;Times;serif"/>
          <w:sz w:val="22"/>
          <w:u w:val="single"/>
        </w:rPr>
        <w:t>Applicable Foreign Obligor Documents</w:t>
      </w:r>
      <w:r>
        <w:rPr>
          <w:rFonts w:ascii="Times New Roman;Times;serif" w:hAnsi="Times New Roman;Times;serif"/>
          <w:sz w:val="20"/>
        </w:rPr>
        <w:t>”</w:t>
      </w:r>
      <w:r>
        <w:rPr>
          <w:rFonts w:ascii="Times New Roman;Times;serif" w:hAnsi="Times New Roman;Times;serif"/>
          <w:sz w:val="22"/>
        </w:rPr>
        <w:t>), and the execution, delivery and performance by such Foreign Obligor of the Applicable Foreign Obligor Documents constitute and will constitute private and commercial acts and not public or governmental acts. Neither such Foreign Obligor nor any of its property has any immunity from jurisdiction of any court or from any legal process (whether through service or notice, attachment prior to judgment, attachment in aid of execution, execution or otherwise) under the laws of the jurisdiction in which such Foreign Obligor is organized and existing in respect of its obligations under the Applicable Foreign Obligor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The Applicable Foreign Obligor Documents are in proper legal form under the Laws of the jurisdiction in which such Foreign Obligor is organized and existing for the enforcement thereof against such Foreign Obligor under the Laws of such jurisdiction, and to ensure the legality, validity, enforceability, priority or admissibility in evidence of the Applicable Foreign Obligor Documents, except to the extent that the failure to be in such proper legal form could not reasonably be expected to adversely affect the enforceability of the Guaranty against the Company. It is not necessary to ensure the legality, validity, enforceability, priority or admissibility in evidence of the Applicable Foreign Obligor Documents that the Applicable Foreign Obligor Documents be filed, registered or recorded with, or executed or notarized before, any court or other authority in the jurisdiction in which such Foreign Obligor is organized and existing or that any registration charge or stamp or similar tax be paid on or in respect of the Applicable Foreign Obligor Documents or any other document, (i) except for (A) any such filing, registration, recording, execution or notarization as has been made or is not required to be made until the Applicable Foreign Obligor Document or any other document is sought to be enforced and (B) any charge or tax as has been timely paid, and (ii) except to the extent that the failure so to file, register, record, execute, or notarize such documents, or to make such payments, could not reasonably be expected to adversely affect the enforceability of the Guaranty against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The execution, delivery and performance of the Applicable Foreign Obligor Documents executed by such Foreign Obligor are, under applicable foreign exchange control regulations of the jurisdiction in which such Foreign Obligor is organized and existing, not subject to any notification or authorization except (i) such as have been made or obtained or (ii) such as cannot be made or obtained until a later date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(A) any notification or authorization described in </w:t>
      </w:r>
      <w:r>
        <w:rPr>
          <w:rFonts w:ascii="Times New Roman;Times;serif" w:hAnsi="Times New Roman;Times;serif"/>
          <w:sz w:val="22"/>
          <w:u w:val="single"/>
        </w:rPr>
        <w:t>clause (ii)</w:t>
      </w:r>
      <w:r>
        <w:rPr>
          <w:rFonts w:ascii="Times New Roman;Times;serif" w:hAnsi="Times New Roman;Times;serif"/>
          <w:sz w:val="20"/>
        </w:rPr>
        <w:t xml:space="preserve"> </w:t>
      </w:r>
      <w:r>
        <w:rPr>
          <w:rFonts w:ascii="Times New Roman;Times;serif" w:hAnsi="Times New Roman;Times;serif"/>
          <w:sz w:val="22"/>
        </w:rPr>
        <w:t>shall be made or obtained as soon as is reasonably practicable and (B) such failure or delay could not reasonably be expected to adversely affect the enforceability of the Guaranty against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Avnet Europe is not, nor has it been at any time prior to the date hereof, an enterprise (</w:t>
      </w:r>
      <w:r>
        <w:rPr>
          <w:rFonts w:ascii="Times New Roman;Times;serif" w:hAnsi="Times New Roman;Times;serif"/>
          <w:i/>
          <w:sz w:val="22"/>
        </w:rPr>
        <w:t>onderneming</w:t>
      </w:r>
      <w:r>
        <w:rPr>
          <w:rFonts w:ascii="Times New Roman;Times;serif" w:hAnsi="Times New Roman;Times;serif"/>
          <w:sz w:val="22"/>
        </w:rPr>
        <w:t>/</w:t>
      </w:r>
      <w:r>
        <w:rPr>
          <w:rFonts w:ascii="Times New Roman;Times;serif" w:hAnsi="Times New Roman;Times;serif"/>
          <w:i/>
          <w:sz w:val="22"/>
        </w:rPr>
        <w:t>entreprise</w:t>
      </w:r>
      <w:r>
        <w:rPr>
          <w:rFonts w:ascii="Times New Roman;Times;serif" w:hAnsi="Times New Roman;Times;serif"/>
          <w:sz w:val="22"/>
        </w:rPr>
        <w:t>) in the meaning of article 2.4</w:t>
      </w:r>
      <w:r>
        <w:rPr>
          <w:rFonts w:ascii="Symbol" w:hAnsi="Symbol"/>
          <w:sz w:val="22"/>
        </w:rPr>
        <w:t>°</w:t>
      </w:r>
      <w:r>
        <w:rPr>
          <w:rFonts w:ascii="Times New Roman;Times;serif" w:hAnsi="Times New Roman;Times;serif"/>
          <w:sz w:val="20"/>
        </w:rPr>
        <w:t xml:space="preserve"> </w:t>
      </w:r>
      <w:r>
        <w:rPr>
          <w:rFonts w:ascii="Times New Roman;Times;serif" w:hAnsi="Times New Roman;Times;serif"/>
          <w:sz w:val="22"/>
        </w:rPr>
        <w:t>of the Belgian Act of 21 December 2013 regarding financing for small and medium-sized enterprises, as amended).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5.20</w:t>
      </w:r>
      <w:r>
        <w:rPr>
          <w:rFonts w:ascii="Times New Roman;Times;serif" w:hAnsi="Times New Roman;Times;serif"/>
          <w:b/>
          <w:sz w:val="22"/>
        </w:rPr>
        <w:t>OFAC</w:t>
      </w:r>
      <w:r>
        <w:rPr>
          <w:rFonts w:ascii="Times New Roman;Times;serif" w:hAnsi="Times New Roman;Times;serif"/>
          <w:sz w:val="22"/>
        </w:rPr>
        <w:t>. Neither the Company, nor any of its Subsidiaries, nor any director or officer thereof, nor, to the knowledge of the Company and its Subsidiaries, any employee, agent, affiliate or representative thereof, is an individual or entity that is (i) currently the subject or target of any Sanctions or (ii) included on OFAC’s List of Specially Designated Nationals, HMT’s Consolidated List of Financial Sanctions Targets and the Investment Ban List, or any similar list enforced by any other relevant sanctions authority, (iii) 10% or more owned by an individual or entity that is on a list described in immediately preceding clause (ii) or (iv) located, organized or resident in a Designated Jurisdiction.</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5.21</w:t>
      </w:r>
      <w:r>
        <w:rPr>
          <w:rFonts w:ascii="Times New Roman;Times;serif" w:hAnsi="Times New Roman;Times;serif"/>
          <w:b/>
          <w:sz w:val="22"/>
        </w:rPr>
        <w:t>Anti-Corruption Laws</w:t>
      </w:r>
      <w:r>
        <w:rPr>
          <w:rFonts w:ascii="Times New Roman;Times;serif" w:hAnsi="Times New Roman;Times;serif"/>
          <w:sz w:val="22"/>
        </w:rPr>
        <w:t>. (a) The Company and its Subsidiaries have conducted their businesses in compliance in all material respects with the PATRIOT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The Company and its Subsidiaries (x) have conducted their businesses in compliance in all material respects with the United States Foreign Corrupt Practices Act of 1977, the UK Bribery Act 2010, and other similar anti-corruption legislation in other jurisdictions and (y) have instituted and maintained reasonable and customary policies and procedures designed to promote and achieve compliance with such laws in all material respects.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5.22</w:t>
      </w:r>
      <w:r>
        <w:rPr>
          <w:rFonts w:ascii="Times New Roman;Times;serif" w:hAnsi="Times New Roman;Times;serif"/>
          <w:b/>
          <w:sz w:val="22"/>
        </w:rPr>
        <w:t>Affected Financial Institutions</w:t>
      </w:r>
      <w:r>
        <w:rPr>
          <w:rFonts w:ascii="Times New Roman;Times;serif" w:hAnsi="Times New Roman;Times;serif"/>
          <w:sz w:val="22"/>
        </w:rPr>
        <w:t>. No Loan Party is an Affected Financial Institution.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5.23</w:t>
      </w:r>
      <w:r>
        <w:rPr>
          <w:rFonts w:ascii="Times New Roman;Times;serif" w:hAnsi="Times New Roman;Times;serif"/>
          <w:b/>
          <w:sz w:val="22"/>
        </w:rPr>
        <w:t>Certificate of Beneficial Ownership</w:t>
      </w:r>
      <w:r>
        <w:rPr>
          <w:rFonts w:ascii="Times New Roman;Times;serif" w:hAnsi="Times New Roman;Times;serif"/>
          <w:sz w:val="22"/>
        </w:rPr>
        <w:t>. As of the Closing Date, the information included in the Beneficial Ownership Certification, if applicable, is true and correct in all respects.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5.24</w:t>
      </w:r>
      <w:r>
        <w:rPr>
          <w:rFonts w:ascii="Times New Roman;Times;serif" w:hAnsi="Times New Roman;Times;serif"/>
          <w:b/>
          <w:sz w:val="22"/>
        </w:rPr>
        <w:t>Covered Entities</w:t>
      </w:r>
      <w:r>
        <w:rPr>
          <w:rFonts w:ascii="Times New Roman;Times;serif" w:hAnsi="Times New Roman;Times;serif"/>
          <w:sz w:val="22"/>
        </w:rPr>
        <w:t>. No Loan Party is a Covered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color w:val="0000FF"/>
          <w:sz w:val="22"/>
        </w:rPr>
        <w:t>5.25</w:t>
      </w:r>
      <w:r>
        <w:rPr>
          <w:rFonts w:ascii="Times New Roman;Times;serif" w:hAnsi="Times New Roman;Times;serif"/>
          <w:b/>
          <w:color w:val="0000FF"/>
          <w:sz w:val="22"/>
        </w:rPr>
        <w:t>CRD VI</w:t>
      </w:r>
      <w:r>
        <w:rPr>
          <w:rFonts w:ascii="Times New Roman;Times;serif" w:hAnsi="Times New Roman;Times;serif"/>
          <w:color w:val="0000FF"/>
          <w:sz w:val="22"/>
          <w:u w:val="single"/>
        </w:rPr>
        <w:t>. In connection with this Agreement and for purposes of CRD VI, each Borrower (including any EU Borrowers) represents and warrants that (i) such EU Borrowers are being included under the applicable credit facilities provided for herein at the own exclusive initiative of the Borrowers and (ii) the Borrowers (including any EU Borrowers) have requested that the applicable credit facilities provided for herein be marketed on their behalf to, and wish to borrow from, non-EU Lenders, as well as EU Lenders, in order to receive the widest access to funding.</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VI.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AFFIRMATIVE COVENANTS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So long as any Lender shall have any Commitment hereunder, any Loan or other Obligation hereunder shall remain unpaid or unsatisfied, or any Letter of Credit shall remain outstanding, the Company shall, and shall (except in the case of the covenants set forth in </w:t>
      </w:r>
      <w:r>
        <w:rPr>
          <w:rFonts w:ascii="Times New Roman;Times;serif" w:hAnsi="Times New Roman;Times;serif"/>
          <w:sz w:val="22"/>
          <w:u w:val="single"/>
        </w:rPr>
        <w:t>Sections 6.01</w:t>
      </w:r>
      <w:r>
        <w:rPr>
          <w:rFonts w:ascii="Times New Roman;Times;serif" w:hAnsi="Times New Roman;Times;serif"/>
          <w:sz w:val="22"/>
        </w:rPr>
        <w:t xml:space="preserve">, </w:t>
      </w:r>
      <w:r>
        <w:rPr>
          <w:rFonts w:ascii="Times New Roman;Times;serif" w:hAnsi="Times New Roman;Times;serif"/>
          <w:sz w:val="22"/>
          <w:u w:val="single"/>
        </w:rPr>
        <w:t>6.02</w:t>
      </w:r>
      <w:r>
        <w:rPr>
          <w:rFonts w:ascii="Times New Roman;Times;serif" w:hAnsi="Times New Roman;Times;serif"/>
          <w:sz w:val="22"/>
        </w:rPr>
        <w:t xml:space="preserve">, and </w:t>
      </w:r>
      <w:r>
        <w:rPr>
          <w:rFonts w:ascii="Times New Roman;Times;serif" w:hAnsi="Times New Roman;Times;serif"/>
          <w:sz w:val="22"/>
          <w:u w:val="single"/>
        </w:rPr>
        <w:t>6.03</w:t>
      </w:r>
      <w:r>
        <w:rPr>
          <w:rFonts w:ascii="Times New Roman;Times;serif" w:hAnsi="Times New Roman;Times;serif"/>
          <w:sz w:val="22"/>
        </w:rPr>
        <w:t>) cause each Subsidiary 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6.01</w:t>
      </w:r>
      <w:r>
        <w:rPr>
          <w:rFonts w:ascii="Times New Roman;Times;serif" w:hAnsi="Times New Roman;Times;serif"/>
          <w:b/>
          <w:sz w:val="22"/>
        </w:rPr>
        <w:t>Financial Statements</w:t>
      </w:r>
      <w:r>
        <w:rPr>
          <w:rFonts w:ascii="Times New Roman;Times;serif" w:hAnsi="Times New Roman;Times;serif"/>
          <w:sz w:val="22"/>
        </w:rPr>
        <w:t>. Deliver to the Administrative Agent and each Lender, in form and detail satisfactory to the Administrative Agent and the Required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as soon as available, but in any event within 15 days after the date on which consolidated financial statements for such year are required to be delivered to the SEC under the Securities Exchange Act, a consolidated balance sheet of the Company and its Subsidiaries as at the end of each fiscal year of the Company, and the related consolidated statements of income or operations, shareholders’ equity and cash flows for such fiscal year, setting forth in each case in comparative form the figures for the previous fiscal year, all in reasonable detail and prepared in accordance with GAAP, audited and accompanied by a report and opinion of a Registered Public Accounting Firm of nationally recognized standing reasonably acceptable to the Required Lenders, which report and opinion shall be prepared in accordance with audit standards of the Public Company Accounting Oversight Board and applicable Securities Laws and shall not be subject to any “going concern” or like qualification or exception or any qualification or exception as to the scope of such audit or with respect to the absence of material misstatement;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as soon as available, but in any event within 15 days after the date on which consolidated financial statements for such period are required to be delivered to the SEC under the Securities Exchange Act, a consolidated balance sheet of the Company and its Subsidiaries as at the end of each fiscal quarter of the Company (commencing with the fiscal quarter ended December 28, 2024), and the related consolidated statements of income or operations and cash flows for such fiscal quarter and for the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portion of the Company’s fiscal year then ended, setting forth in each case in comparative form the figures for the corresponding fiscal quarter of the previous fiscal year and the corresponding portion of the previous fiscal year, all in reasonable detail, such statements to be certified by a Responsible Officer of the Company as fairly presenting the financial condition and results of operations of the Company and its Subsidiaries in accordance with GAAP, subject only to normal year-end audit adjustments and the absence of footnotes;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As to any information contained in materials furnished pursuant to </w:t>
      </w:r>
      <w:r>
        <w:rPr>
          <w:rFonts w:ascii="Times New Roman;Times;serif" w:hAnsi="Times New Roman;Times;serif"/>
          <w:sz w:val="22"/>
          <w:u w:val="single"/>
        </w:rPr>
        <w:t>Section 6.02(c)</w:t>
      </w:r>
      <w:r>
        <w:rPr>
          <w:rFonts w:ascii="Times New Roman;Times;serif" w:hAnsi="Times New Roman;Times;serif"/>
          <w:sz w:val="22"/>
        </w:rPr>
        <w:t xml:space="preserve">, the Company shall not be separately required to furnish such information under </w:t>
      </w:r>
      <w:r>
        <w:rPr>
          <w:rFonts w:ascii="Times New Roman;Times;serif" w:hAnsi="Times New Roman;Times;serif"/>
          <w:sz w:val="22"/>
          <w:u w:val="single"/>
        </w:rPr>
        <w:t>clause (a)</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(b)</w:t>
      </w:r>
      <w:r>
        <w:rPr>
          <w:rFonts w:ascii="Times New Roman;Times;serif" w:hAnsi="Times New Roman;Times;serif"/>
          <w:sz w:val="20"/>
        </w:rPr>
        <w:t xml:space="preserve"> </w:t>
      </w:r>
      <w:r>
        <w:rPr>
          <w:rFonts w:ascii="Times New Roman;Times;serif" w:hAnsi="Times New Roman;Times;serif"/>
          <w:sz w:val="22"/>
        </w:rPr>
        <w:t xml:space="preserve">above, but the foregoing shall not be in derogation of the obligation of the Company to furnish the information and materials described in </w:t>
      </w:r>
      <w:r>
        <w:rPr>
          <w:rFonts w:ascii="Times New Roman;Times;serif" w:hAnsi="Times New Roman;Times;serif"/>
          <w:sz w:val="22"/>
          <w:u w:val="single"/>
        </w:rPr>
        <w:t>clauses (a)</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(b)</w:t>
      </w:r>
      <w:r>
        <w:rPr>
          <w:rFonts w:ascii="Times New Roman;Times;serif" w:hAnsi="Times New Roman;Times;serif"/>
          <w:sz w:val="20"/>
        </w:rPr>
        <w:t xml:space="preserve"> </w:t>
      </w:r>
      <w:r>
        <w:rPr>
          <w:rFonts w:ascii="Times New Roman;Times;serif" w:hAnsi="Times New Roman;Times;serif"/>
          <w:sz w:val="22"/>
        </w:rPr>
        <w:t>above at the times specified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6.02</w:t>
      </w:r>
      <w:r>
        <w:rPr>
          <w:rFonts w:ascii="Times New Roman;Times;serif" w:hAnsi="Times New Roman;Times;serif"/>
          <w:b/>
          <w:sz w:val="22"/>
        </w:rPr>
        <w:t>Certificates; Other Information</w:t>
      </w:r>
      <w:r>
        <w:rPr>
          <w:rFonts w:ascii="Times New Roman;Times;serif" w:hAnsi="Times New Roman;Times;serif"/>
          <w:sz w:val="22"/>
        </w:rPr>
        <w:t>. Deliver to the Administrative Agent and each Lender, in form and detail satisfactory to the Administrative Agent and the Required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concurrently with the delivery of the financial statements referred to in </w:t>
      </w:r>
      <w:r>
        <w:rPr>
          <w:rFonts w:ascii="Times New Roman;Times;serif" w:hAnsi="Times New Roman;Times;serif"/>
          <w:sz w:val="22"/>
          <w:u w:val="single"/>
        </w:rPr>
        <w:t>Section 6.01(a)</w:t>
      </w:r>
      <w:r>
        <w:rPr>
          <w:rFonts w:ascii="Times New Roman;Times;serif" w:hAnsi="Times New Roman;Times;serif"/>
          <w:sz w:val="22"/>
        </w:rPr>
        <w:t>, a certificate of its independent certified public accountants certifying such financial statements and stating that in making the examination necessary therefor no knowledge was obtained of any Default under the financial covenant set forth herein or, if any such Default shall exist, stating the nature and status of such event;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concurrently with the delivery of the financial statements referred to in </w:t>
      </w:r>
      <w:r>
        <w:rPr>
          <w:rFonts w:ascii="Times New Roman;Times;serif" w:hAnsi="Times New Roman;Times;serif"/>
          <w:sz w:val="22"/>
          <w:u w:val="single"/>
        </w:rPr>
        <w:t>Sections 6.01(a)</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(b)</w:t>
      </w:r>
      <w:r>
        <w:rPr>
          <w:rFonts w:ascii="Times New Roman;Times;serif" w:hAnsi="Times New Roman;Times;serif"/>
          <w:sz w:val="20"/>
        </w:rPr>
        <w:t xml:space="preserve"> </w:t>
      </w:r>
      <w:r>
        <w:rPr>
          <w:rFonts w:ascii="Times New Roman;Times;serif" w:hAnsi="Times New Roman;Times;serif"/>
          <w:sz w:val="22"/>
        </w:rPr>
        <w:t>(commencing with the fiscal quarter ended December 28, 2024), a duly completed Compliance Certificate signed by a Responsible Officer of the Company (which delivery may, unless the Administrative Agent or a Lender requests executed originals, be by electronic communication including fax or email and shall be deemed to be an original authentic counterpart thereof for all purposes);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promptly after the same are available, copies of each annual report, proxy or financial statement or other report or communication sent to the stockholders of the Company, and copies of all annual, regular, periodic and special reports and registration statements (other than registration statements on Form S-8 or any successor form thereto) which the Company may file or be required to file with the SEC under Section 13 or 15(d) of the Securities Exchange Act, and not otherwise required to be delivered to the Administrative Agent pursuant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 xml:space="preserve">promptly after the furnishing thereof, copies of any correspondence, notice, statement or report furnished to any holder of debt securities of any Loan Party or any Subsidiary thereof with respect to any default or event of default under any indenture, loan or credit or similar agreement and not otherwise required to be furnished to the Lenders pursuant to </w:t>
      </w:r>
      <w:r>
        <w:rPr>
          <w:rFonts w:ascii="Times New Roman;Times;serif" w:hAnsi="Times New Roman;Times;serif"/>
          <w:sz w:val="22"/>
          <w:u w:val="single"/>
        </w:rPr>
        <w:t>Section 6.01</w:t>
      </w:r>
      <w:r>
        <w:rPr>
          <w:rFonts w:ascii="Times New Roman;Times;serif" w:hAnsi="Times New Roman;Times;serif"/>
          <w:sz w:val="20"/>
        </w:rPr>
        <w:t xml:space="preserve"> </w:t>
      </w:r>
      <w:r>
        <w:rPr>
          <w:rFonts w:ascii="Times New Roman;Times;serif" w:hAnsi="Times New Roman;Times;serif"/>
          <w:sz w:val="22"/>
        </w:rPr>
        <w:t xml:space="preserve">or any other clause of this </w:t>
      </w:r>
      <w:r>
        <w:rPr>
          <w:rFonts w:ascii="Times New Roman;Times;serif" w:hAnsi="Times New Roman;Times;serif"/>
          <w:sz w:val="22"/>
          <w:u w:val="single"/>
        </w:rPr>
        <w:t>Section 6.02</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promptly, and in any event within five Business Days after the Company is aware of receipt by any Loan Party or any Subsidiary thereof, copies of each notice received from the SEC concerning any investigation by such agency regarding material financial or other operational results of any Loan Party or any Material Subsidiary;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promptly, such additional information regarding the business, financial or corporate affairs of the Company or any Subsidiary, or compliance with the terms of the Loan Documents, as the Administrative Agent or any Lender may from time to time reasonably request.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Documents required to be delivered pursuant to </w:t>
      </w:r>
      <w:r>
        <w:rPr>
          <w:rFonts w:ascii="Times New Roman;Times;serif" w:hAnsi="Times New Roman;Times;serif"/>
          <w:sz w:val="22"/>
          <w:u w:val="single"/>
        </w:rPr>
        <w:t>Section 6.01(a)</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(b)</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Section 6.02</w:t>
      </w:r>
      <w:r>
        <w:rPr>
          <w:rFonts w:ascii="Times New Roman;Times;serif" w:hAnsi="Times New Roman;Times;serif"/>
          <w:sz w:val="20"/>
        </w:rPr>
        <w:t xml:space="preserve"> </w:t>
      </w:r>
      <w:r>
        <w:rPr>
          <w:rFonts w:ascii="Times New Roman;Times;serif" w:hAnsi="Times New Roman;Times;serif"/>
          <w:sz w:val="22"/>
        </w:rPr>
        <w:t>(to the extent any such documents are included in materials otherwise filed with the SEC) may be delivered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electronically and if so delivered, shall be deemed to have been delivered on the date (i) on which the Company posts such documents, or provides a link thereto on the Company’s website on the Internet at the website address listed on </w:t>
      </w:r>
      <w:r>
        <w:rPr>
          <w:rFonts w:ascii="Times New Roman;Times;serif" w:hAnsi="Times New Roman;Times;serif"/>
          <w:sz w:val="22"/>
          <w:u w:val="single"/>
        </w:rPr>
        <w:t>Schedule 10.02</w:t>
      </w:r>
      <w:r>
        <w:rPr>
          <w:rFonts w:ascii="Times New Roman;Times;serif" w:hAnsi="Times New Roman;Times;serif"/>
          <w:sz w:val="22"/>
        </w:rPr>
        <w:t xml:space="preserve">; or (ii) on which such documents are posted on the Company’s behalf on an Internet or intranet website, if any, to which each Lender and the Administrative Agent have access (whether a commercial, third-party website or whether sponsored by the Administrative Agent);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 the Company shall deliver paper copies of such documents to the Administrative Agent or any Lender that requests the Company to deliver such paper copies until a written request to cease delivering paper copies is given by the Administrative Agent or such Lender and (ii) the Company shall notify the Administrative Agent and each Lender (by electronic mail) of the posting of any such documents and provide to the Administrative Agent by electronic mail electronic versions (</w:t>
      </w:r>
      <w:r>
        <w:rPr>
          <w:rFonts w:ascii="Times New Roman;Times;serif" w:hAnsi="Times New Roman;Times;serif"/>
          <w:sz w:val="22"/>
          <w:u w:val="single"/>
        </w:rPr>
        <w:t>i.e.</w:t>
      </w:r>
      <w:r>
        <w:rPr>
          <w:rFonts w:ascii="Times New Roman;Times;serif" w:hAnsi="Times New Roman;Times;serif"/>
          <w:sz w:val="22"/>
        </w:rPr>
        <w:t>, soft copies) of such documents. The Administrative Agent shall have no obligation to request the delivery or to maintain copies of the documents referred to above, and in any event shall have no responsibility to monitor compliance by the Company with any such request for delivery, and each Lender shall be solely responsible for requesting delivery to it or maintaining its copies of such documents.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Each Borrower hereby acknowledges that (a) the Administrative Agent and/or the Arrangers will make available to the Lenders and the L/C Issuers materials and/or information provided by or on behalf of the Borrowers hereunder (collectively, “</w:t>
      </w:r>
      <w:r>
        <w:rPr>
          <w:rFonts w:ascii="Times New Roman;Times;serif" w:hAnsi="Times New Roman;Times;serif"/>
          <w:sz w:val="22"/>
          <w:u w:val="single"/>
        </w:rPr>
        <w:t>Borrower Materials</w:t>
      </w:r>
      <w:r>
        <w:rPr>
          <w:rFonts w:ascii="Times New Roman;Times;serif" w:hAnsi="Times New Roman;Times;serif"/>
          <w:sz w:val="20"/>
        </w:rPr>
        <w:t>”</w:t>
      </w:r>
      <w:r>
        <w:rPr>
          <w:rFonts w:ascii="Times New Roman;Times;serif" w:hAnsi="Times New Roman;Times;serif"/>
          <w:sz w:val="22"/>
        </w:rPr>
        <w:t>) by posting the Borrower Materials on IntraLinks or another similar electronic system (the “</w:t>
      </w:r>
      <w:r>
        <w:rPr>
          <w:rFonts w:ascii="Times New Roman;Times;serif" w:hAnsi="Times New Roman;Times;serif"/>
          <w:sz w:val="22"/>
          <w:u w:val="single"/>
        </w:rPr>
        <w:t>Platform</w:t>
      </w:r>
      <w:r>
        <w:rPr>
          <w:rFonts w:ascii="Times New Roman;Times;serif" w:hAnsi="Times New Roman;Times;serif"/>
          <w:sz w:val="20"/>
        </w:rPr>
        <w:t>”</w:t>
      </w:r>
      <w:r>
        <w:rPr>
          <w:rFonts w:ascii="Times New Roman;Times;serif" w:hAnsi="Times New Roman;Times;serif"/>
          <w:sz w:val="22"/>
        </w:rPr>
        <w:t>) and (b) certain of the Lenders (each, a “</w:t>
      </w:r>
      <w:r>
        <w:rPr>
          <w:rFonts w:ascii="Times New Roman;Times;serif" w:hAnsi="Times New Roman;Times;serif"/>
          <w:sz w:val="22"/>
          <w:u w:val="single"/>
        </w:rPr>
        <w:t>Public Lender</w:t>
      </w:r>
      <w:r>
        <w:rPr>
          <w:rFonts w:ascii="Times New Roman;Times;serif" w:hAnsi="Times New Roman;Times;serif"/>
          <w:sz w:val="20"/>
        </w:rPr>
        <w:t>”</w:t>
      </w:r>
      <w:r>
        <w:rPr>
          <w:rFonts w:ascii="Times New Roman;Times;serif" w:hAnsi="Times New Roman;Times;serif"/>
          <w:sz w:val="22"/>
        </w:rPr>
        <w:t>) may have personnel who do not wish to receive material non-public information (within the meaning of the United States Federal and state securities laws) with respect to any of the Borrowers or their respective Affiliates, or the respective securities of any of the foregoing (“</w:t>
      </w:r>
      <w:r>
        <w:rPr>
          <w:rFonts w:ascii="Times New Roman;Times;serif" w:hAnsi="Times New Roman;Times;serif"/>
          <w:sz w:val="22"/>
          <w:u w:val="single"/>
        </w:rPr>
        <w:t>MNPI</w:t>
      </w:r>
      <w:r>
        <w:rPr>
          <w:rFonts w:ascii="Times New Roman;Times;serif" w:hAnsi="Times New Roman;Times;serif"/>
          <w:sz w:val="20"/>
        </w:rPr>
        <w:t>”</w:t>
      </w:r>
      <w:r>
        <w:rPr>
          <w:rFonts w:ascii="Times New Roman;Times;serif" w:hAnsi="Times New Roman;Times;serif"/>
          <w:sz w:val="22"/>
        </w:rPr>
        <w:t xml:space="preserve">), and who may be engaged in investment and other market related activities with respect to such Persons’ securities. Each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Borrowers shall be deemed to have authorized the Administrative Agent, the Arrangers, the L/C Issuers and the Lenders to treat such Borrower Materials as not containing any MNPI with respect to the Borrowers or their securities for purposes of United States Federal and state securities laws (provided, however, that to the extent such Borrower Materials constitute Information, they shall be treated as set forth in </w:t>
      </w:r>
      <w:r>
        <w:rPr>
          <w:rFonts w:ascii="Times New Roman;Times;serif" w:hAnsi="Times New Roman;Times;serif"/>
          <w:sz w:val="22"/>
          <w:u w:val="single"/>
        </w:rPr>
        <w:t>Section 10.07</w:t>
      </w:r>
      <w:r>
        <w:rPr>
          <w:rFonts w:ascii="Times New Roman;Times;serif" w:hAnsi="Times New Roman;Times;serif"/>
          <w:sz w:val="22"/>
        </w:rPr>
        <w:t>); (y) all Borrower Materials marked “PUBLIC” are permitted to be made available through a portion of the Platform designated “Public Side Information”; and (z) the Administrative Agent and the Arrangers shall be entitled to treat any Borrower Materials that are not marked “PUBLIC” as being suitable only for posting on a portion of the Platform not designated “Public Side Information”. Notwithstanding the foregoing, no Borrower shall be under any obligation to mark any Borrower Materials “PUBLIC.”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6.03</w:t>
      </w:r>
      <w:r>
        <w:rPr>
          <w:rFonts w:ascii="Times New Roman;Times;serif" w:hAnsi="Times New Roman;Times;serif"/>
          <w:b/>
          <w:sz w:val="22"/>
        </w:rPr>
        <w:t>Notices</w:t>
      </w:r>
      <w:r>
        <w:rPr>
          <w:rFonts w:ascii="Times New Roman;Times;serif" w:hAnsi="Times New Roman;Times;serif"/>
          <w:sz w:val="22"/>
        </w:rPr>
        <w:t>. Promptly notify the Administrative Agent and each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of the occurrence of any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of any matter that has resulted or could reasonably be expected to result in a Material Adverse Effect, including (i) breach or non-performance of, or any default under, a Contractual Obligation of the Company or any Subsidiary; (ii) any dispute, litigation, investigation, proceeding or suspension between the Company or any Subsidiary and any Governmental Authority; or (iii) the commencement of, or any material development in, any litigation or proceeding affecting the Company or any Subsidiary, including pursuant to any applicable Environmental Laws, in each case that has resulted or could reasonably be expected to result in a Material Adverse Effect;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of the occurrence of any ERISA Event;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of any material change in accounting policies or financial reporting practices by the Company and its Subsidiaries on a consolidated basis;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of any public announcement by (or written announcement received by the Company from) Moody’s, S&amp;P or Fitch of any change in a Debt Rating.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Each notice pursuant to this Section shall be accompanied by a statement of a Responsible Officer of the Company setting forth details of the occurrence referred to therein and stating what action the Company has taken and proposes to take with respect thereto. Each notice pursuant to </w:t>
      </w:r>
      <w:r>
        <w:rPr>
          <w:rFonts w:ascii="Times New Roman;Times;serif" w:hAnsi="Times New Roman;Times;serif"/>
          <w:sz w:val="22"/>
          <w:u w:val="single"/>
        </w:rPr>
        <w:t>Section 6.03(a)</w:t>
      </w:r>
      <w:r>
        <w:rPr>
          <w:rFonts w:ascii="Times New Roman;Times;serif" w:hAnsi="Times New Roman;Times;serif"/>
          <w:sz w:val="20"/>
        </w:rPr>
        <w:t xml:space="preserve"> </w:t>
      </w:r>
      <w:r>
        <w:rPr>
          <w:rFonts w:ascii="Times New Roman;Times;serif" w:hAnsi="Times New Roman;Times;serif"/>
          <w:sz w:val="22"/>
        </w:rPr>
        <w:t>shall describe with particularity any and all provisions of this Agreement and any other Loan Document that have been breached, if 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6.04</w:t>
      </w:r>
      <w:r>
        <w:rPr>
          <w:rFonts w:ascii="Times New Roman;Times;serif" w:hAnsi="Times New Roman;Times;serif"/>
          <w:b/>
          <w:sz w:val="22"/>
        </w:rPr>
        <w:t>Payment of Obligations</w:t>
      </w:r>
      <w:r>
        <w:rPr>
          <w:rFonts w:ascii="Times New Roman;Times;serif" w:hAnsi="Times New Roman;Times;serif"/>
          <w:sz w:val="22"/>
        </w:rPr>
        <w:t xml:space="preserve">. 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the Company or such Subsidiary; (b) all lawful claims which, if unpaid, would by law become a Lien upon its property; and (c) all Indebtedness, as and when due and payable, but subject to any subordination provisions contained in any instrument or agreement evidencing such Indebtedness, except, in the case of </w:t>
      </w:r>
      <w:r>
        <w:rPr>
          <w:rFonts w:ascii="Times New Roman;Times;serif" w:hAnsi="Times New Roman;Times;serif"/>
          <w:sz w:val="22"/>
          <w:u w:val="single"/>
        </w:rPr>
        <w:t>clauses (a)</w:t>
      </w:r>
      <w:r>
        <w:rPr>
          <w:rFonts w:ascii="Times New Roman;Times;serif" w:hAnsi="Times New Roman;Times;serif"/>
          <w:sz w:val="22"/>
        </w:rPr>
        <w:t xml:space="preserve">, </w:t>
      </w:r>
      <w:r>
        <w:rPr>
          <w:rFonts w:ascii="Times New Roman;Times;serif" w:hAnsi="Times New Roman;Times;serif"/>
          <w:sz w:val="22"/>
          <w:u w:val="single"/>
        </w:rPr>
        <w:t>(b)</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(c)</w:t>
      </w:r>
      <w:r>
        <w:rPr>
          <w:rFonts w:ascii="Times New Roman;Times;serif" w:hAnsi="Times New Roman;Times;serif"/>
          <w:sz w:val="22"/>
        </w:rPr>
        <w:t>, where the failure to do so, individually or in the aggregate, could not reasonably be expected to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6.05</w:t>
      </w:r>
      <w:r>
        <w:rPr>
          <w:rFonts w:ascii="Times New Roman;Times;serif" w:hAnsi="Times New Roman;Times;serif"/>
          <w:b/>
          <w:sz w:val="22"/>
        </w:rPr>
        <w:t>Preservation of Existence, Etc</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Preserve, renew and maintain in full force and effect its legal existence, except in a transaction permitted by </w:t>
      </w:r>
      <w:r>
        <w:rPr>
          <w:rFonts w:ascii="Times New Roman;Times;serif" w:hAnsi="Times New Roman;Times;serif"/>
          <w:sz w:val="22"/>
          <w:u w:val="single"/>
        </w:rPr>
        <w:t>Section 7.04</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to the extent the concept of “good standing” exists under the Laws of the jurisdiction of its organization, preserve, renew and maintain in full force and effect its good standing under such Laws, except (i) in a transaction permitted by </w:t>
      </w:r>
      <w:r>
        <w:rPr>
          <w:rFonts w:ascii="Times New Roman;Times;serif" w:hAnsi="Times New Roman;Times;serif"/>
          <w:sz w:val="22"/>
          <w:u w:val="single"/>
        </w:rPr>
        <w:t>Section 7.04</w:t>
      </w:r>
      <w:r>
        <w:rPr>
          <w:rFonts w:ascii="Times New Roman;Times;serif" w:hAnsi="Times New Roman;Times;serif"/>
          <w:sz w:val="20"/>
        </w:rPr>
        <w:t xml:space="preserve"> </w:t>
      </w:r>
      <w:r>
        <w:rPr>
          <w:rFonts w:ascii="Times New Roman;Times;serif" w:hAnsi="Times New Roman;Times;serif"/>
          <w:sz w:val="22"/>
        </w:rPr>
        <w:t>or (ii) in the case of one or more Subsidiaries that are not Loan Parties, to the extent that failure to maintain such good standing could not reasonably be expected to have a Material Adverse Effect, either individually or in the aggregate;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take all reasonable action to maintain all rights, privileges, permits, licenses and franchises necessary or desirable in the normal conduct of its business, except to the extent that failure to do so could not reasonably be expected to have a Material Adverse Effect;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preserve or renew all of its registered patents, trademarks, trade names and service marks, the non-preservation of which could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6.06</w:t>
      </w:r>
      <w:r>
        <w:rPr>
          <w:rFonts w:ascii="Times New Roman;Times;serif" w:hAnsi="Times New Roman;Times;serif"/>
          <w:b/>
          <w:sz w:val="22"/>
        </w:rPr>
        <w:t>Maintenance of Properties</w:t>
      </w:r>
      <w:r>
        <w:rPr>
          <w:rFonts w:ascii="Times New Roman;Times;serif" w:hAnsi="Times New Roman;Times;serif"/>
          <w:sz w:val="22"/>
        </w:rPr>
        <w:t>. (a) Maintain, preserve and protect all of its properties and equipment in good working order and condition, ordinary wear and tear excepted; and (b) make all necessary repairs thereto and renewals and replacements thereof, in each case except where the failure to do so could not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6.07</w:t>
      </w:r>
      <w:r>
        <w:rPr>
          <w:rFonts w:ascii="Times New Roman;Times;serif" w:hAnsi="Times New Roman;Times;serif"/>
          <w:b/>
          <w:sz w:val="22"/>
        </w:rPr>
        <w:t>Maintenance of Insurance</w:t>
      </w:r>
      <w:r>
        <w:rPr>
          <w:rFonts w:ascii="Times New Roman;Times;serif" w:hAnsi="Times New Roman;Times;serif"/>
          <w:sz w:val="22"/>
        </w:rPr>
        <w:t>. Maintain, with financially sound and responsible insurance companies or through self-insurance, insurance on all their respective properties in at least such amounts and against such risks (and with such risk retention) as are usually insured against in the same general area by companies of established repute engaged in the same or a similar business; and furnish to the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Lenders, upon request from the Administrative Agent, information presented in reasonable detail as to the insurance so carried.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6.08</w:t>
      </w:r>
      <w:r>
        <w:rPr>
          <w:rFonts w:ascii="Times New Roman;Times;serif" w:hAnsi="Times New Roman;Times;serif"/>
          <w:b/>
          <w:sz w:val="22"/>
        </w:rPr>
        <w:t>Compliance with Laws</w:t>
      </w:r>
      <w:r>
        <w:rPr>
          <w:rFonts w:ascii="Times New Roman;Times;serif" w:hAnsi="Times New Roman;Times;serif"/>
          <w:sz w:val="22"/>
        </w:rPr>
        <w:t>. Comply in all material respects with the requirements of all Laws (including Environmental Laws and ERISA)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6.09</w:t>
      </w:r>
      <w:r>
        <w:rPr>
          <w:rFonts w:ascii="Times New Roman;Times;serif" w:hAnsi="Times New Roman;Times;serif"/>
          <w:b/>
          <w:sz w:val="22"/>
        </w:rPr>
        <w:t>Books and Records</w:t>
      </w:r>
      <w:r>
        <w:rPr>
          <w:rFonts w:ascii="Times New Roman;Times;serif" w:hAnsi="Times New Roman;Times;serif"/>
          <w:sz w:val="22"/>
        </w:rPr>
        <w:t>. (a) Maintain proper books of record and account, in which full, true and correct entries in all material respects in conformity with GAAP consistently applied shall be made of all financial transactions and matters involving the assets and business of the Company or such Subsidiary, as the case may be; and (b) maintain such books of record and account in material conformity with all applicable requirements of any Governmental Authority having regulatory jurisdiction over the Company or such Subsidiary,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6.10</w:t>
      </w:r>
      <w:r>
        <w:rPr>
          <w:rFonts w:ascii="Times New Roman;Times;serif" w:hAnsi="Times New Roman;Times;serif"/>
          <w:b/>
          <w:sz w:val="22"/>
        </w:rPr>
        <w:t>Inspection Rights</w:t>
      </w:r>
      <w:r>
        <w:rPr>
          <w:rFonts w:ascii="Times New Roman;Times;serif" w:hAnsi="Times New Roman;Times;serif"/>
          <w:sz w:val="22"/>
        </w:rPr>
        <w:t xml:space="preserve">. Permit representatives of the Administrative Agent and each Lender, at their own expense and no more than one time per calendar year, to visit and inspect any of its properties, to examine its corporate, financial and operating records, and make copies thereof or abstracts therefrom, and to discuss its affairs, finances and accounts with its directors, officers, and independent public accountants, all at such reasonable times during normal business hours and as often as may be reasonably desired, upon reasonable advance notice to the Company;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when an Event of Default exists the Administrative Agent or any Lender (or any of their respective representatives or independent contractors) may do any of the foregoing at the expense of the Company any number of times and at any time during normal business hours and without advance notice.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6.11</w:t>
      </w:r>
      <w:r>
        <w:rPr>
          <w:rFonts w:ascii="Times New Roman;Times;serif" w:hAnsi="Times New Roman;Times;serif"/>
          <w:b/>
          <w:sz w:val="22"/>
        </w:rPr>
        <w:t>Approvals and Authorizations</w:t>
      </w:r>
      <w:r>
        <w:rPr>
          <w:rFonts w:ascii="Times New Roman;Times;serif" w:hAnsi="Times New Roman;Times;serif"/>
          <w:sz w:val="22"/>
        </w:rPr>
        <w:t>. Maintain all authorizations, consents, approvals and licenses from, exemptions of, and filings and registrations with, each Governmental Authority of the jurisdiction in which each Foreign Obligor is organized and existing, and all approvals and consents of each other Person in such jurisdiction, in each case that are required in connection with the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6.12</w:t>
      </w:r>
      <w:r>
        <w:rPr>
          <w:rFonts w:ascii="Times New Roman;Times;serif" w:hAnsi="Times New Roman;Times;serif"/>
          <w:b/>
          <w:sz w:val="22"/>
        </w:rPr>
        <w:t>Anti-Corruption and Anti-Terrorism Laws</w:t>
      </w:r>
      <w:r>
        <w:rPr>
          <w:rFonts w:ascii="Times New Roman;Times;serif" w:hAnsi="Times New Roman;Times;serif"/>
          <w:sz w:val="22"/>
        </w:rPr>
        <w:t>. Conduct its businesses in compliance in all material respects with the PATRIOT Act, the United States Foreign Corrupt Practices Act of 1977, the UK Bribery Act 2010, and other similar anti-corruption legislation in other jurisdictions and maintain policies and procedures designed to promote and achieve compliance with such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6.13</w:t>
      </w:r>
      <w:r>
        <w:rPr>
          <w:rFonts w:ascii="Times New Roman;Times;serif" w:hAnsi="Times New Roman;Times;serif"/>
          <w:b/>
          <w:sz w:val="22"/>
        </w:rPr>
        <w:t>Certificate of Beneficial Ownership and Other Additional Information</w:t>
      </w:r>
      <w:r>
        <w:rPr>
          <w:rFonts w:ascii="Times New Roman;Times;serif" w:hAnsi="Times New Roman;Times;serif"/>
          <w:sz w:val="22"/>
        </w:rPr>
        <w:t>. Promptly following any request therefor, provide information and documentation reasonably requested by the Administrative Agent or any Lender for purposes of compliance with applicable “know your customer” and anti-money-laundering rules and regulations, including, without limitation, the PATRIOT Act and the Beneficial Ownership Regulations, if applicable.</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VII.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NEGATIVE COVENANTS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So long as any Lender shall have any Commitment hereunder, any Loan or other Obligation hereunder shall remain unpaid or unsatisfied, or any Letter of Credit shall remain outstanding, the Company shall not, nor shall it permit any Subsidiary to, directly or indirectly: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7.01</w:t>
      </w:r>
      <w:r>
        <w:rPr>
          <w:rFonts w:ascii="Times New Roman;Times;serif" w:hAnsi="Times New Roman;Times;serif"/>
          <w:b/>
          <w:sz w:val="22"/>
        </w:rPr>
        <w:t>Liens</w:t>
      </w:r>
      <w:r>
        <w:rPr>
          <w:rFonts w:ascii="Times New Roman;Times;serif" w:hAnsi="Times New Roman;Times;serif"/>
          <w:sz w:val="22"/>
        </w:rPr>
        <w:t>. Create, incur, assume or suffer to exist any Lien upon any of its property, assets or revenues, whether now owned or hereafter acquired, other than the following: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Liens pursuant to any Loan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Liens existing on the date hereof and listed on </w:t>
      </w:r>
      <w:r>
        <w:rPr>
          <w:rFonts w:ascii="Times New Roman;Times;serif" w:hAnsi="Times New Roman;Times;serif"/>
          <w:sz w:val="22"/>
          <w:u w:val="single"/>
        </w:rPr>
        <w:t>Schedule 7.01</w:t>
      </w:r>
      <w:r>
        <w:rPr>
          <w:rFonts w:ascii="Times New Roman;Times;serif" w:hAnsi="Times New Roman;Times;serif"/>
          <w:sz w:val="20"/>
        </w:rPr>
        <w:t xml:space="preserve"> </w:t>
      </w:r>
      <w:r>
        <w:rPr>
          <w:rFonts w:ascii="Times New Roman;Times;serif" w:hAnsi="Times New Roman;Times;serif"/>
          <w:sz w:val="22"/>
        </w:rPr>
        <w:t xml:space="preserve">and any renewals or extensions thereof,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(i) the property covered thereby is not changed, (ii) the amount secured or benefited thereby is not increased, and (iii) any renewal or extension of the obligations secured or benefited thereby is permitted by </w:t>
      </w:r>
      <w:r>
        <w:rPr>
          <w:rFonts w:ascii="Times New Roman;Times;serif" w:hAnsi="Times New Roman;Times;serif"/>
          <w:sz w:val="22"/>
          <w:u w:val="single"/>
        </w:rPr>
        <w:t>Section 7.03(b)</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Liens for taxes, assessments or other governmental charges not yet due or which are being contested in good faith and by appropriate proceedings diligently conducted, if adequate reserves with respect thereto are maintained on the books of the applicable Person in accordance with GAAP;</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carriers’, warehousemen’s, mechanics’, materialmen’s, repairmen’s or other like Liens arising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pledges or deposits in the ordinary course of business in connection with workers’ compensation, unemployment insurance and other social security legislation, other than any Lien imposed by ERISA;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deposits to secure the performance of bids, trade contracts and leases (other than Indebtedness for borrowed money), statutory obligations, surety bonds (other than bonds related to judgments or litigation), performance bonds and other obligations of a like nature incurred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(h)</w:t>
      </w:r>
      <w:r>
        <w:rPr>
          <w:rFonts w:ascii="Times New Roman;Times;serif" w:hAnsi="Times New Roman;Times;serif"/>
          <w:sz w:val="22"/>
        </w:rPr>
        <w:t xml:space="preserve">Liens securing judgments for the payment of money not constituting an Event of Default under </w:t>
      </w:r>
      <w:r>
        <w:rPr>
          <w:rFonts w:ascii="Times New Roman;Times;serif" w:hAnsi="Times New Roman;Times;serif"/>
          <w:sz w:val="22"/>
          <w:u w:val="single"/>
        </w:rPr>
        <w:t>Section 8.01(h)</w:t>
      </w:r>
      <w:r>
        <w:rPr>
          <w:rFonts w:ascii="Times New Roman;Times;serif" w:hAnsi="Times New Roman;Times;serif"/>
          <w:sz w:val="20"/>
        </w:rPr>
        <w:t xml:space="preserve"> </w:t>
      </w:r>
      <w:r>
        <w:rPr>
          <w:rFonts w:ascii="Times New Roman;Times;serif" w:hAnsi="Times New Roman;Times;serif"/>
          <w:sz w:val="22"/>
        </w:rPr>
        <w:t>or securing appeal or other surety bonds related to such judgments;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 xml:space="preserve">Liens securing Indebtedness permitted under </w:t>
      </w:r>
      <w:r>
        <w:rPr>
          <w:rFonts w:ascii="Times New Roman;Times;serif" w:hAnsi="Times New Roman;Times;serif"/>
          <w:sz w:val="22"/>
          <w:u w:val="single"/>
        </w:rPr>
        <w:t>Section 7.03(d)</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 such Liens do not at any time encumber any property other than the property financed by such Indebtedness, (ii) the Indebtedness secured thereby does not exceed the cost of the property being acquired on the date of acquisition, and (iii) such Lien attached concurrently with, or within 270 days after, the acquisition of the property encumbered thereby;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(j)</w:t>
      </w:r>
      <w:r>
        <w:rPr>
          <w:rFonts w:ascii="Times New Roman;Times;serif" w:hAnsi="Times New Roman;Times;serif"/>
          <w:sz w:val="22"/>
        </w:rPr>
        <w:t>Liens on accounts receivable subject to Permitted Securitization Facilities which Liens secure (or encumber such accounts receivable to provide credit support for) such facilities;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(k)</w:t>
      </w:r>
      <w:r>
        <w:rPr>
          <w:rFonts w:ascii="Times New Roman;Times;serif" w:hAnsi="Times New Roman;Times;serif"/>
          <w:sz w:val="22"/>
        </w:rPr>
        <w:t xml:space="preserve">(i) Liens on inventory acquired in the ordinary course of business to secure the purchase price of such inventory or to secure Indebtedness incurred solely for the purpose of financing the acquisition of such inventory and (ii) Liens on inventory or the proceeds thereof acquired in the ordinary course of business to the extent that the purchase price for such inventory was prepaid by a third-party and such Liens secure the repayment by the Company or its Subsidiaries of such prepaid amounts;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in each case, the Indebtedness secured thereby does not exceed the cost of such inventory;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(l)</w:t>
      </w:r>
      <w:r>
        <w:rPr>
          <w:rFonts w:ascii="Times New Roman;Times;serif" w:hAnsi="Times New Roman;Times;serif"/>
          <w:sz w:val="22"/>
        </w:rPr>
        <w:t xml:space="preserve">any Lien arising out of the refinancing, extension, renewal or refunding of any secured Indebtedness,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(i) prior to such refinancing, extension, renewal or refunding, the collateral for such secured Indebtedness (the “original Indebtedness”) is permitted by this </w:t>
      </w:r>
      <w:r>
        <w:rPr>
          <w:rFonts w:ascii="Times New Roman;Times;serif" w:hAnsi="Times New Roman;Times;serif"/>
          <w:sz w:val="22"/>
          <w:u w:val="single"/>
        </w:rPr>
        <w:t>Section 7.01</w:t>
      </w:r>
      <w:r>
        <w:rPr>
          <w:rFonts w:ascii="Times New Roman;Times;serif" w:hAnsi="Times New Roman;Times;serif"/>
          <w:sz w:val="22"/>
        </w:rPr>
        <w:t xml:space="preserve">, (ii) after giving effect to such refinancing, extension, renewal or refunding, the property covered by such Lien is not changed from the property securing the original Indebtedness, (iii) the amount secured or benefited by such Lien is not increased above the amount secured by such property under the original Indebtedness, and (iv) any such refinancing, extension, renewal or refunding of Indebtedness is permitted by </w:t>
      </w:r>
      <w:r>
        <w:rPr>
          <w:rFonts w:ascii="Times New Roman;Times;serif" w:hAnsi="Times New Roman;Times;serif"/>
          <w:sz w:val="22"/>
          <w:u w:val="single"/>
        </w:rPr>
        <w:t>Section 7.03</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(m)</w:t>
      </w:r>
      <w:r>
        <w:rPr>
          <w:rFonts w:ascii="Times New Roman;Times;serif" w:hAnsi="Times New Roman;Times;serif"/>
          <w:sz w:val="22"/>
        </w:rPr>
        <w:t xml:space="preserve">Liens on cash collateral or government securities to secure Swap Contracts,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aggregate fair market value of such cash collateral and government securities does not exceed $25,000,000 at any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(n)</w:t>
      </w:r>
      <w:r>
        <w:rPr>
          <w:rFonts w:ascii="Times New Roman;Times;serif" w:hAnsi="Times New Roman;Times;serif"/>
          <w:sz w:val="22"/>
        </w:rPr>
        <w:t xml:space="preserve">Liens on assets of Foreign Subsidiaries (other than Foreign Obligors, except to the extent that such Liens are limited to Liens on cash deposits to secure cash pooling arrangements or other cash management transactions) to secure Indebtedness of such Foreign Subsidiaries,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aggregate principal amount of Indebtedness secured by such Liens does not exceed $50,000,000 at any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(o)</w:t>
      </w:r>
      <w:r>
        <w:rPr>
          <w:rFonts w:ascii="Times New Roman;Times;serif" w:hAnsi="Times New Roman;Times;serif"/>
          <w:sz w:val="22"/>
        </w:rPr>
        <w:t xml:space="preserve">Liens securing Indebtedness permitted under </w:t>
      </w:r>
      <w:r>
        <w:rPr>
          <w:rFonts w:ascii="Times New Roman;Times;serif" w:hAnsi="Times New Roman;Times;serif"/>
          <w:sz w:val="22"/>
          <w:u w:val="single"/>
        </w:rPr>
        <w:t>Section 7.03(k)</w:t>
      </w:r>
      <w:r>
        <w:rPr>
          <w:rFonts w:ascii="Times New Roman;Times;serif" w:hAnsi="Times New Roman;Times;serif"/>
          <w:sz w:val="22"/>
        </w:rPr>
        <w: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(p)</w:t>
      </w:r>
      <w:r>
        <w:rPr>
          <w:rFonts w:ascii="Times New Roman;Times;serif" w:hAnsi="Times New Roman;Times;serif"/>
          <w:sz w:val="22"/>
        </w:rPr>
        <w:t xml:space="preserve">Liens not otherwise permitted under </w:t>
      </w:r>
      <w:r>
        <w:rPr>
          <w:rFonts w:ascii="Times New Roman;Times;serif" w:hAnsi="Times New Roman;Times;serif"/>
          <w:sz w:val="22"/>
          <w:u w:val="single"/>
        </w:rPr>
        <w:t>clauses (a)-(o)</w:t>
      </w:r>
      <w:r>
        <w:rPr>
          <w:rFonts w:ascii="Times New Roman;Times;serif" w:hAnsi="Times New Roman;Times;serif"/>
          <w:sz w:val="20"/>
        </w:rPr>
        <w:t xml:space="preserve"> </w:t>
      </w:r>
      <w:r>
        <w:rPr>
          <w:rFonts w:ascii="Times New Roman;Times;serif" w:hAnsi="Times New Roman;Times;serif"/>
          <w:sz w:val="22"/>
        </w:rPr>
        <w:t xml:space="preserve">of this </w:t>
      </w:r>
      <w:r>
        <w:rPr>
          <w:rFonts w:ascii="Times New Roman;Times;serif" w:hAnsi="Times New Roman;Times;serif"/>
          <w:sz w:val="22"/>
          <w:u w:val="single"/>
        </w:rPr>
        <w:t>Section 7.01</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aggregate fair market value of all assets subject to such Liens does not exceed 10.0% of Consolidated Tangible Net Worth at any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7.02</w:t>
      </w:r>
      <w:r>
        <w:rPr>
          <w:rFonts w:ascii="Times New Roman;Times;serif" w:hAnsi="Times New Roman;Times;serif"/>
          <w:b/>
          <w:sz w:val="22"/>
        </w:rPr>
        <w:t>[Reserved]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7.03</w:t>
      </w:r>
      <w:r>
        <w:rPr>
          <w:rFonts w:ascii="Times New Roman;Times;serif" w:hAnsi="Times New Roman;Times;serif"/>
          <w:b/>
          <w:sz w:val="22"/>
        </w:rPr>
        <w:t>Indebtedness</w:t>
      </w:r>
      <w:r>
        <w:rPr>
          <w:rFonts w:ascii="Times New Roman;Times;serif" w:hAnsi="Times New Roman;Times;serif"/>
          <w:sz w:val="22"/>
        </w:rPr>
        <w:t>. Create, incur, assume or suffer to exist any Indebtedness, except: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Indebtedness under the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Indebtedness outstanding on the date hereof listed on </w:t>
      </w:r>
      <w:r>
        <w:rPr>
          <w:rFonts w:ascii="Times New Roman;Times;serif" w:hAnsi="Times New Roman;Times;serif"/>
          <w:sz w:val="22"/>
          <w:u w:val="single"/>
        </w:rPr>
        <w:t>Schedule 7.03</w:t>
      </w:r>
      <w:r>
        <w:rPr>
          <w:rFonts w:ascii="Times New Roman;Times;serif" w:hAnsi="Times New Roman;Times;serif"/>
          <w:sz w:val="20"/>
        </w:rPr>
        <w:t xml:space="preserve"> </w:t>
      </w:r>
      <w:r>
        <w:rPr>
          <w:rFonts w:ascii="Times New Roman;Times;serif" w:hAnsi="Times New Roman;Times;serif"/>
          <w:sz w:val="22"/>
        </w:rPr>
        <w:t>and any renewal or replacement thereof, so long as such renewal or replacement does not increase the amount of such Indebtedness;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obligations (contingent or otherwise) of the Company or any Subsidiary existing or arising under any Swap Contract,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 xml:space="preserve">Indebtedness in respect of capital leases, Synthetic Lease Obligations and purchase money obligations for fixed or capital assets within the limitations set forth in the proviso to </w:t>
      </w:r>
      <w:r>
        <w:rPr>
          <w:rFonts w:ascii="Times New Roman;Times;serif" w:hAnsi="Times New Roman;Times;serif"/>
          <w:sz w:val="22"/>
          <w:u w:val="single"/>
        </w:rPr>
        <w:t>Section 7.01(i)</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Indebtedness  of  Subsidiaries  in  an  aggregate  principal  amount  not  to  exceed $750,000,000 at any time outstanding;</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 xml:space="preserve">any Guarantee by the Company of Indebtedness of any Subsidiary permitted by this </w:t>
      </w:r>
      <w:r>
        <w:rPr>
          <w:rFonts w:ascii="Times New Roman;Times;serif" w:hAnsi="Times New Roman;Times;serif"/>
          <w:sz w:val="22"/>
          <w:u w:val="single"/>
        </w:rPr>
        <w:t>Section 7.03</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Indebtedness under Permitted Securitization Facilities;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(h)</w:t>
      </w:r>
      <w:r>
        <w:rPr>
          <w:rFonts w:ascii="Times New Roman;Times;serif" w:hAnsi="Times New Roman;Times;serif"/>
          <w:sz w:val="22"/>
        </w:rPr>
        <w:t xml:space="preserve">Indebtedness of a Person, or in respect of assets, acquired and existing at the time of such Acquisition;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(I) such Indebtedness (x) shall not have been incurred in contemplation of such Acquisition, (y) may not be extended, renewed or refunded except as otherwise permitted by this Agreement, and (z) in the case of Indebtedness secured by a Lien on the assets acquired pursuant to any such Acquisition (or on the assets of a Person that becomes a Subsidiary as a result of such Acquisition), such Indebtedness, together with any other secured Indebtedness permitted by this </w:t>
      </w:r>
      <w:r>
        <w:rPr>
          <w:rFonts w:ascii="Times New Roman;Times;serif" w:hAnsi="Times New Roman;Times;serif"/>
          <w:sz w:val="22"/>
          <w:u w:val="single"/>
        </w:rPr>
        <w:t>clause (h)</w:t>
      </w:r>
      <w:r>
        <w:rPr>
          <w:rFonts w:ascii="Times New Roman;Times;serif" w:hAnsi="Times New Roman;Times;serif"/>
          <w:sz w:val="22"/>
        </w:rPr>
        <w:t>, shall not exceed $50,000,000 in the aggregate outstanding at any time and (II) neither the Company nor any Subsidiary (other than a Person acquired as part of such Acquisition) is directly or indirectly liable for such Indebtedness, whether through any Guarantee or otherwise, other than liability with respect to which recourse is limited to the assets so acquired;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unsecured Indebtedness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(j)</w:t>
      </w:r>
      <w:r>
        <w:rPr>
          <w:rFonts w:ascii="Times New Roman;Times;serif" w:hAnsi="Times New Roman;Times;serif"/>
          <w:sz w:val="22"/>
        </w:rPr>
        <w:t>Indebtedness owed by any Subsidiary to the Company or any other Subsidiary (“</w:t>
      </w:r>
      <w:r>
        <w:rPr>
          <w:rFonts w:ascii="Times New Roman;Times;serif" w:hAnsi="Times New Roman;Times;serif"/>
          <w:sz w:val="22"/>
          <w:u w:val="single"/>
        </w:rPr>
        <w:t>Inter-Company Indebtedness</w:t>
      </w:r>
      <w:r>
        <w:rPr>
          <w:rFonts w:ascii="Times New Roman;Times;serif" w:hAnsi="Times New Roman;Times;serif"/>
          <w:sz w:val="20"/>
        </w:rPr>
        <w:t>”</w:t>
      </w:r>
      <w:r>
        <w:rPr>
          <w:rFonts w:ascii="Times New Roman;Times;serif" w:hAnsi="Times New Roman;Times;serif"/>
          <w:sz w:val="22"/>
        </w:rPr>
        <w:t>);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(k)</w:t>
      </w:r>
      <w:r>
        <w:rPr>
          <w:rFonts w:ascii="Times New Roman;Times;serif" w:hAnsi="Times New Roman;Times;serif"/>
          <w:sz w:val="22"/>
        </w:rPr>
        <w:t>Indebtedness owed by a Subsidiary of the Company incurred in connection with the financing of a new warehouse facility to be located in Bernberg, Germany, in an aggregate principal amount not to exceed €250,000,000 at any time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7.04</w:t>
      </w:r>
      <w:r>
        <w:rPr>
          <w:rFonts w:ascii="Times New Roman;Times;serif" w:hAnsi="Times New Roman;Times;serif"/>
          <w:b/>
          <w:sz w:val="22"/>
        </w:rPr>
        <w:t>Fundamental Changes</w:t>
      </w:r>
      <w:r>
        <w:rPr>
          <w:rFonts w:ascii="Times New Roman;Times;serif" w:hAnsi="Times New Roman;Times;serif"/>
          <w:sz w:val="22"/>
        </w:rPr>
        <w:t>. Merge, dissolve, liquidate, consolidate with or into another Person, or Dispose of (whether in one transaction or in a series of transactions) all or substantially all of its assets (whether now owned or hereafter acquired) to or in favor of any Person, except that, so long as no Default exists or would result therefrom: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any Subsidiary may merge with (i) the Company,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the Company shall be the continuing or surviving Person, or (ii) any one or more other Subsidiaries,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when any Designated Borrower is merging with another Subsidiary, a Designated Borrower shall be the continuing or surviving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any Subsidiary may Dispose of all or substantially all of its assets (upon voluntary liquidation or otherwise) to the Company or to another Subsidiary;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if the transferor in such a transaction is a Designated Borrower, then the transferee must either be the Company or a Designated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any Subsidiary (other than a Loan Party or a Material Subsidiary) may merge, dissolve, liquidate, consolidate with or into another Person, or Dispose of (whether in one transaction or in a series of transactions) all or substantially all of its assets (upon voluntary liquidation or otherwise) (whether now owned or hereafter acquired) to or in favor of any Person;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(i) a Borrower may merge with any other Person (including a Material Subsidiary) so long as such Borrower is the surviving entity; and (ii) a Material Subsidiary may merge with any other Person (other than a Borrower) so long as the Material Subsidiary is the surviving entity.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7.05</w:t>
      </w:r>
      <w:r>
        <w:rPr>
          <w:rFonts w:ascii="Times New Roman;Times;serif" w:hAnsi="Times New Roman;Times;serif"/>
          <w:b/>
          <w:sz w:val="22"/>
        </w:rPr>
        <w:t>Restricted Payments</w:t>
      </w:r>
      <w:r>
        <w:rPr>
          <w:rFonts w:ascii="Times New Roman;Times;serif" w:hAnsi="Times New Roman;Times;serif"/>
          <w:sz w:val="22"/>
        </w:rPr>
        <w:t>. Commencing on the Amendment No. 1 Effective Date and continuing until the Relief Period Termination Date, declare or make, directly or indirectly, any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Restricted Payment, or incur any obligation to do so, except that, so long as no Default shall have occurred and be continuing at the time of any action described below or would result therefrom: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at any time during the Relief Period, the Company may declare and pay cash dividends so long as the Company does not increase the amount or frequency of any cash dividends (other than increases in the aggregate amount, but in no event the amount per share, of such cash dividends due solely to the issuance or granting of additional Equity Interests by the Company, including in connection with any conversion of convertible notes issued by the Company) declared or paid by the Company in the ordinary course of business prior to the Amendment No. 1 Effective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in addition to the Restricted Payments permitted by </w:t>
      </w:r>
      <w:r>
        <w:rPr>
          <w:rFonts w:ascii="Times New Roman;Times;serif" w:hAnsi="Times New Roman;Times;serif"/>
          <w:sz w:val="22"/>
          <w:u w:val="single"/>
        </w:rPr>
        <w:t>clause (a)</w:t>
      </w:r>
      <w:r>
        <w:rPr>
          <w:rFonts w:ascii="Times New Roman;Times;serif" w:hAnsi="Times New Roman;Times;serif"/>
          <w:sz w:val="20"/>
        </w:rPr>
        <w:t xml:space="preserve"> </w:t>
      </w:r>
      <w:r>
        <w:rPr>
          <w:rFonts w:ascii="Times New Roman;Times;serif" w:hAnsi="Times New Roman;Times;serif"/>
          <w:sz w:val="22"/>
        </w:rPr>
        <w:t xml:space="preserve">of this </w:t>
      </w:r>
      <w:r>
        <w:rPr>
          <w:rFonts w:ascii="Times New Roman;Times;serif" w:hAnsi="Times New Roman;Times;serif"/>
          <w:sz w:val="22"/>
          <w:u w:val="single"/>
        </w:rPr>
        <w:t>Section 7.05</w:t>
      </w:r>
      <w:r>
        <w:rPr>
          <w:rFonts w:ascii="Times New Roman;Times;serif" w:hAnsi="Times New Roman;Times;serif"/>
          <w:sz w:val="22"/>
        </w:rPr>
        <w:t xml:space="preserve">, the Company may declare and pay cash dividends and purchase, redeem or otherwise acquire for cash Equity Interests issued by it;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the aggregate of such dividends issued pursuant to this </w:t>
      </w:r>
      <w:r>
        <w:rPr>
          <w:rFonts w:ascii="Times New Roman;Times;serif" w:hAnsi="Times New Roman;Times;serif"/>
          <w:sz w:val="22"/>
          <w:u w:val="single"/>
        </w:rPr>
        <w:t>clause (b)</w:t>
      </w:r>
      <w:r>
        <w:rPr>
          <w:rFonts w:ascii="Times New Roman;Times;serif" w:hAnsi="Times New Roman;Times;serif"/>
          <w:sz w:val="20"/>
        </w:rPr>
        <w:t xml:space="preserve"> </w:t>
      </w:r>
      <w:r>
        <w:rPr>
          <w:rFonts w:ascii="Times New Roman;Times;serif" w:hAnsi="Times New Roman;Times;serif"/>
          <w:sz w:val="22"/>
        </w:rPr>
        <w:t xml:space="preserve">plus the aggregate consideration paid for all such purchases, redemptions and acquisitions after the Amendment No. 1 Effective Date under this </w:t>
      </w:r>
      <w:r>
        <w:rPr>
          <w:rFonts w:ascii="Times New Roman;Times;serif" w:hAnsi="Times New Roman;Times;serif"/>
          <w:sz w:val="22"/>
          <w:u w:val="single"/>
        </w:rPr>
        <w:t>clause (b)</w:t>
      </w:r>
      <w:r>
        <w:rPr>
          <w:rFonts w:ascii="Times New Roman;Times;serif" w:hAnsi="Times New Roman;Times;serif"/>
          <w:sz w:val="20"/>
        </w:rPr>
        <w:t xml:space="preserve"> </w:t>
      </w:r>
      <w:r>
        <w:rPr>
          <w:rFonts w:ascii="Times New Roman;Times;serif" w:hAnsi="Times New Roman;Times;serif"/>
          <w:sz w:val="22"/>
        </w:rPr>
        <w:t>(other than in respect of shares purchased for the purpose of satisfying the Company’s obligations under employee or director stock purchase, stock grant and stock option plans) shall not exceed $100,000,000;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each Subsidiary may make Restricted Payments during the Relief Period to the Company, the Designated Borrowers and any other Person that owns an Equity Interest in such Subsidiary, ratably according to their respective holdings of the type of Equity Interest in respect of which such Restricted Payment is being made;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the Company and each Subsidiary may declare and make dividend payments or other distributions payable solely in the common stock or other common Equity Interests of such Person;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the Company and each Subsidiary may purchase, redeem or otherwise acquire for cash Equity Interests with the proceeds received from the substantially concurrent issue of new shares of its common stock or other Equity Interests.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7.06</w:t>
      </w:r>
      <w:r>
        <w:rPr>
          <w:rFonts w:ascii="Times New Roman;Times;serif" w:hAnsi="Times New Roman;Times;serif"/>
          <w:b/>
          <w:sz w:val="22"/>
        </w:rPr>
        <w:t>Change in Nature of Business</w:t>
      </w:r>
      <w:r>
        <w:rPr>
          <w:rFonts w:ascii="Times New Roman;Times;serif" w:hAnsi="Times New Roman;Times;serif"/>
          <w:sz w:val="22"/>
        </w:rPr>
        <w:t>. Engage in any material line of business substantially different from a Permitted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7.07</w:t>
      </w:r>
      <w:r>
        <w:rPr>
          <w:rFonts w:ascii="Times New Roman;Times;serif" w:hAnsi="Times New Roman;Times;serif"/>
          <w:b/>
          <w:sz w:val="22"/>
        </w:rPr>
        <w:t>Transactions with Affiliates</w:t>
      </w:r>
      <w:r>
        <w:rPr>
          <w:rFonts w:ascii="Times New Roman;Times;serif" w:hAnsi="Times New Roman;Times;serif"/>
          <w:sz w:val="22"/>
        </w:rPr>
        <w:t>. Enter into any transaction of any kind with any Affiliate of the Company, whether or not in the ordinary course of business, other than (a) on fair and reasonable terms substantially as favorable to the Company or such Subsidiary as would be obtainable by the Company or such Subsidiary at the time in a comparable arm’s length transaction with a Person other than an Affiliate, or (b) transactions among the Company and its Subsidiaries so long as such transactions do not, either individually or in the aggregate,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7.08</w:t>
      </w:r>
      <w:r>
        <w:rPr>
          <w:rFonts w:ascii="Times New Roman;Times;serif" w:hAnsi="Times New Roman;Times;serif"/>
          <w:b/>
          <w:sz w:val="22"/>
        </w:rPr>
        <w:t>Limitation on Restrictions Affecting the Company or any Subsidiary</w:t>
      </w:r>
      <w:r>
        <w:rPr>
          <w:rFonts w:ascii="Times New Roman;Times;serif" w:hAnsi="Times New Roman;Times;serif"/>
          <w:sz w:val="22"/>
        </w:rPr>
        <w:t xml:space="preserve">. Enter into any Contractual Obligation (other than this Agreement or any other Loan Document) that limits the ability (a) of any Subsidiary to make Restricted Payments to the Company or any Designated Borrower or to otherwise transfer property to the Company or any Designated Borrower, or (b) of the Company or any Subsidiary to create, incur, assume or suffer to exist Liens on property of such Person;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this </w:t>
      </w:r>
      <w:r>
        <w:rPr>
          <w:rFonts w:ascii="Times New Roman;Times;serif" w:hAnsi="Times New Roman;Times;serif"/>
          <w:sz w:val="22"/>
          <w:u w:val="single"/>
        </w:rPr>
        <w:t>Section 7.08</w:t>
      </w:r>
      <w:r>
        <w:rPr>
          <w:rFonts w:ascii="Times New Roman;Times;serif" w:hAnsi="Times New Roman;Times;serif"/>
          <w:sz w:val="20"/>
        </w:rPr>
        <w:t xml:space="preserve"> </w:t>
      </w:r>
      <w:r>
        <w:rPr>
          <w:rFonts w:ascii="Times New Roman;Times;serif" w:hAnsi="Times New Roman;Times;serif"/>
          <w:sz w:val="22"/>
        </w:rPr>
        <w:t>shall not prohibit: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 xml:space="preserve">any negative pledge incurred or provided in favor of any holder of Indebtedness permitted under </w:t>
      </w:r>
      <w:r>
        <w:rPr>
          <w:rFonts w:ascii="Times New Roman;Times;serif" w:hAnsi="Times New Roman;Times;serif"/>
          <w:sz w:val="22"/>
          <w:u w:val="single"/>
        </w:rPr>
        <w:t>Section 7.03(d)</w:t>
      </w:r>
      <w:r>
        <w:rPr>
          <w:rFonts w:ascii="Times New Roman;Times;serif" w:hAnsi="Times New Roman;Times;serif"/>
          <w:sz w:val="20"/>
        </w:rPr>
        <w:t xml:space="preserve"> </w:t>
      </w:r>
      <w:r>
        <w:rPr>
          <w:rFonts w:ascii="Times New Roman;Times;serif" w:hAnsi="Times New Roman;Times;serif"/>
          <w:sz w:val="22"/>
        </w:rPr>
        <w:t>solely to the extent any such negative pledge relates to the property financed by or the subject of such Indebtedness;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 xml:space="preserve">restrictions imposed by other permitted Indebtedness ranking </w:t>
      </w:r>
      <w:r>
        <w:rPr>
          <w:rFonts w:ascii="Times New Roman;Times;serif" w:hAnsi="Times New Roman;Times;serif"/>
          <w:sz w:val="22"/>
          <w:u w:val="single"/>
        </w:rPr>
        <w:t>pari passu</w:t>
      </w:r>
      <w:r>
        <w:rPr>
          <w:rFonts w:ascii="Times New Roman;Times;serif" w:hAnsi="Times New Roman;Times;serif"/>
          <w:sz w:val="20"/>
        </w:rPr>
        <w:t xml:space="preserve"> </w:t>
      </w:r>
      <w:r>
        <w:rPr>
          <w:rFonts w:ascii="Times New Roman;Times;serif" w:hAnsi="Times New Roman;Times;serif"/>
          <w:sz w:val="22"/>
        </w:rPr>
        <w:t xml:space="preserve">with the Obligations,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restrictions are no more restrictive than those imposed by this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restrictions imposed by applicable Law;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 xml:space="preserve">restrictions imposed by Indebtedness outstanding on the date hereof and listed on </w:t>
      </w:r>
      <w:r>
        <w:rPr>
          <w:rFonts w:ascii="Times New Roman;Times;serif" w:hAnsi="Times New Roman;Times;serif"/>
          <w:sz w:val="22"/>
          <w:u w:val="single"/>
        </w:rPr>
        <w:t>Schedule 7.03</w:t>
      </w:r>
      <w:r>
        <w:rPr>
          <w:rFonts w:ascii="Times New Roman;Times;serif" w:hAnsi="Times New Roman;Times;serif"/>
          <w:sz w:val="22"/>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w:t>
      </w:r>
      <w:r>
        <w:rPr>
          <w:rFonts w:ascii="Times New Roman;Times;serif" w:hAnsi="Times New Roman;Times;serif"/>
          <w:sz w:val="22"/>
        </w:rPr>
        <w:t xml:space="preserve">restrictions imposed by Indebtedness relating to any property acquired by the Company or any Subsidiary (or restrictions imposed by Indebtedness of a third party which third party is acquired by the Company or any Subsidiary) in an acquisition permitted by this Agreement,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in each case that such restrictions existed at the time of such acquisition, were not put in place in connection with or in anticipation of such acquisition and are not applicable to any Person other than the Person so acquired, or to any property other than the property so acquired;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w:t>
      </w:r>
      <w:r>
        <w:rPr>
          <w:rFonts w:ascii="Times New Roman;Times;serif" w:hAnsi="Times New Roman;Times;serif"/>
          <w:sz w:val="22"/>
        </w:rPr>
        <w:t xml:space="preserve">restrictions with respect solely to any Subsidiary imposed pursuant to a binding agreement which has been entered into for the sale of all or substantially all of the Equity Interests or assets of such Subsidiary,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restrictions apply solely to the Equity Interests or assets of such Subsidiary which are being sold;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w:t>
      </w:r>
      <w:r>
        <w:rPr>
          <w:rFonts w:ascii="Times New Roman;Times;serif" w:hAnsi="Times New Roman;Times;serif"/>
          <w:sz w:val="22"/>
        </w:rPr>
        <w:t xml:space="preserve">in connection with and pursuant to any refinancing of Indebtedness, replacements of restrictions imposed pursuant to </w:t>
      </w:r>
      <w:r>
        <w:rPr>
          <w:rFonts w:ascii="Times New Roman;Times;serif" w:hAnsi="Times New Roman;Times;serif"/>
          <w:sz w:val="22"/>
          <w:u w:val="single"/>
        </w:rPr>
        <w:t>clauses (ii)</w:t>
      </w:r>
      <w:r>
        <w:rPr>
          <w:rFonts w:ascii="Times New Roman;Times;serif" w:hAnsi="Times New Roman;Times;serif"/>
          <w:sz w:val="22"/>
        </w:rPr>
        <w:t xml:space="preserve">, </w:t>
      </w:r>
      <w:r>
        <w:rPr>
          <w:rFonts w:ascii="Times New Roman;Times;serif" w:hAnsi="Times New Roman;Times;serif"/>
          <w:sz w:val="22"/>
          <w:u w:val="single"/>
        </w:rPr>
        <w:t>(iv)</w:t>
      </w:r>
      <w:r>
        <w:rPr>
          <w:rFonts w:ascii="Times New Roman;Times;serif" w:hAnsi="Times New Roman;Times;serif"/>
          <w:sz w:val="22"/>
        </w:rPr>
        <w:t xml:space="preserve">, </w:t>
      </w:r>
      <w:r>
        <w:rPr>
          <w:rFonts w:ascii="Times New Roman;Times;serif" w:hAnsi="Times New Roman;Times;serif"/>
          <w:sz w:val="22"/>
          <w:u w:val="single"/>
        </w:rPr>
        <w:t>(v)</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(viii)</w:t>
      </w:r>
      <w:r>
        <w:rPr>
          <w:rFonts w:ascii="Times New Roman;Times;serif" w:hAnsi="Times New Roman;Times;serif"/>
          <w:sz w:val="20"/>
        </w:rPr>
        <w:t xml:space="preserve"> </w:t>
      </w:r>
      <w:r>
        <w:rPr>
          <w:rFonts w:ascii="Times New Roman;Times;serif" w:hAnsi="Times New Roman;Times;serif"/>
          <w:sz w:val="22"/>
        </w:rPr>
        <w:t xml:space="preserve">of this Section,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(A) such refinancing is permitted by </w:t>
      </w:r>
      <w:r>
        <w:rPr>
          <w:rFonts w:ascii="Times New Roman;Times;serif" w:hAnsi="Times New Roman;Times;serif"/>
          <w:sz w:val="22"/>
          <w:u w:val="single"/>
        </w:rPr>
        <w:t>Section 7.03</w:t>
      </w:r>
      <w:r>
        <w:rPr>
          <w:rFonts w:ascii="Times New Roman;Times;serif" w:hAnsi="Times New Roman;Times;serif"/>
          <w:sz w:val="22"/>
        </w:rPr>
        <w:t>, and (B) the replacement restrictions are not more restrictive than those being replaced and do not apply to any Person or assets other than those that would have been covered by the restrictions in the Indebtedness so refinanced;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(viii)</w:t>
      </w:r>
      <w:r>
        <w:rPr>
          <w:rFonts w:ascii="Times New Roman;Times;serif" w:hAnsi="Times New Roman;Times;serif"/>
          <w:sz w:val="22"/>
        </w:rPr>
        <w:t>restrictions on any Special Purpose Finance Subsidiary and assets of such Special Purpose Finance Subsidiary, which restrictions are contained in the applicable Permitted Securitization Facility for which such Subsidiary was created;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(ix)</w:t>
      </w:r>
      <w:r>
        <w:rPr>
          <w:rFonts w:ascii="Times New Roman;Times;serif" w:hAnsi="Times New Roman;Times;serif"/>
          <w:sz w:val="22"/>
        </w:rPr>
        <w:t>in connection with any permitted lease of property entered into in the ordinary course of business, customary provisions restricting the subletting or assignment of, or Liens on, the property subject to such lease, consistent with industry practice;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(x)</w:t>
      </w:r>
      <w:r>
        <w:rPr>
          <w:rFonts w:ascii="Times New Roman;Times;serif" w:hAnsi="Times New Roman;Times;serif"/>
          <w:sz w:val="22"/>
        </w:rPr>
        <w:t xml:space="preserve">in connection with any Lien permitted by </w:t>
      </w:r>
      <w:r>
        <w:rPr>
          <w:rFonts w:ascii="Times New Roman;Times;serif" w:hAnsi="Times New Roman;Times;serif"/>
          <w:sz w:val="22"/>
          <w:u w:val="single"/>
        </w:rPr>
        <w:t>Section 7.01</w:t>
      </w:r>
      <w:r>
        <w:rPr>
          <w:rFonts w:ascii="Times New Roman;Times;serif" w:hAnsi="Times New Roman;Times;serif"/>
          <w:sz w:val="22"/>
        </w:rPr>
        <w:t>, customary restrictions on the transfer or disposition of, or imposition of further Liens on, the asset subject to such Lien.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7.09</w:t>
      </w:r>
      <w:r>
        <w:rPr>
          <w:rFonts w:ascii="Times New Roman;Times;serif" w:hAnsi="Times New Roman;Times;serif"/>
          <w:b/>
          <w:sz w:val="22"/>
        </w:rPr>
        <w:t>Use of Proceeds</w:t>
      </w:r>
      <w:r>
        <w:rPr>
          <w:rFonts w:ascii="Times New Roman;Times;serif" w:hAnsi="Times New Roman;Times;serif"/>
          <w:sz w:val="22"/>
        </w:rPr>
        <w:t>. (i) 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 in each case in violation of, or for a purpose which violates or would be inconsistent with, Regulation T, U or X of the FRB or (ii) use the proceeds of the Credit Extensions for any purpose other than for the refinancing of the Existing Credit Agreement, working capital, capital expenditures and other general corporate purposes not in contravention of any Law or of any Loan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7.10</w:t>
      </w:r>
      <w:r>
        <w:rPr>
          <w:rFonts w:ascii="Times New Roman;Times;serif" w:hAnsi="Times New Roman;Times;serif"/>
          <w:b/>
          <w:sz w:val="22"/>
        </w:rPr>
        <w:t>Financial Covenant</w:t>
      </w:r>
      <w:r>
        <w:rPr>
          <w:rFonts w:ascii="Times New Roman;Times;serif" w:hAnsi="Times New Roman;Times;serif"/>
          <w:sz w:val="22"/>
        </w:rPr>
        <w:t>. Permit the Consolidated Leverage Ratio as of the last day of any period of four fiscal quarters of the Company (a) prior to the Amendment No. 1 Effective Date or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following the Relief Period Termination Date to be greater than 4.00 to 1.00, and (b) commencing with the Amendment No. 1 Effective Date and continuing until the Relief Period Termination Date to be greater than the ratio set forth below opposite such period:</w:t>
      </w:r>
    </w:p>
    <w:p>
      <w:pPr>
        <w:pStyle w:val="TextBody"/>
        <w:bidi w:val="0"/>
        <w:spacing w:before="0" w:after="0"/>
        <w:ind w:left="0" w:right="0" w:hanging="0"/>
        <w:jc w:val="left"/>
        <w:rPr/>
      </w:pPr>
      <w:r>
        <w:rPr/>
        <w:t>​</w:t>
      </w:r>
    </w:p>
    <w:tbl>
      <w:tblPr>
        <w:tblW w:w="7937" w:type="dxa"/>
        <w:jc w:val="center"/>
        <w:tblInd w:w="0" w:type="dxa"/>
        <w:tblLayout w:type="fixed"/>
        <w:tblCellMar>
          <w:top w:w="115" w:type="dxa"/>
          <w:left w:w="103" w:type="dxa"/>
          <w:bottom w:w="43" w:type="dxa"/>
          <w:right w:w="103" w:type="dxa"/>
        </w:tblCellMar>
      </w:tblPr>
      <w:tblGrid>
        <w:gridCol w:w="5131"/>
        <w:gridCol w:w="2806"/>
      </w:tblGrid>
      <w:tr>
        <w:trPr/>
        <w:tc>
          <w:tcPr>
            <w:tcW w:w="5131" w:type="dxa"/>
            <w:tcBorders>
              <w:top w:val="single" w:sz="2" w:space="0" w:color="010101"/>
              <w:left w:val="single" w:sz="2" w:space="0" w:color="010101"/>
              <w:bottom w:val="single" w:sz="2" w:space="0" w:color="010101"/>
              <w:right w:val="single" w:sz="2" w:space="0" w:color="010101"/>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Four Fiscal Quarters Ending On or Around</w:t>
            </w:r>
          </w:p>
        </w:tc>
        <w:tc>
          <w:tcPr>
            <w:tcW w:w="2806" w:type="dxa"/>
            <w:tcBorders>
              <w:top w:val="single" w:sz="2" w:space="0" w:color="010101"/>
              <w:left w:val="single" w:sz="2" w:space="0" w:color="010101"/>
              <w:bottom w:val="single" w:sz="2" w:space="0" w:color="010101"/>
              <w:right w:val="single" w:sz="2" w:space="0" w:color="010101"/>
            </w:tcBorders>
            <w:tcMar>
              <w:right w:w="10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Consolidated</w:t>
            </w:r>
            <w:r>
              <w:rPr>
                <w:rFonts w:ascii="Times New Roman;Times;serif" w:hAnsi="Times New Roman;Times;serif"/>
                <w:sz w:val="22"/>
              </w:rPr>
              <w:t>Leverage Ratio</w:t>
            </w:r>
          </w:p>
        </w:tc>
      </w:tr>
      <w:tr>
        <w:trPr/>
        <w:tc>
          <w:tcPr>
            <w:tcW w:w="5131" w:type="dxa"/>
            <w:tcBorders>
              <w:top w:val="single" w:sz="2" w:space="0" w:color="010101"/>
              <w:left w:val="single" w:sz="2" w:space="0" w:color="010101"/>
              <w:bottom w:val="single" w:sz="2" w:space="0" w:color="010101"/>
              <w:right w:val="single" w:sz="2" w:space="0" w:color="010101"/>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September 30, 2025</w:t>
            </w:r>
          </w:p>
        </w:tc>
        <w:tc>
          <w:tcPr>
            <w:tcW w:w="2806" w:type="dxa"/>
            <w:tcBorders>
              <w:top w:val="single" w:sz="2" w:space="0" w:color="010101"/>
              <w:left w:val="single" w:sz="2" w:space="0" w:color="010101"/>
              <w:bottom w:val="single" w:sz="2" w:space="0" w:color="010101"/>
              <w:right w:val="single" w:sz="2" w:space="0" w:color="010101"/>
            </w:tcBorders>
            <w:tcMar>
              <w:right w:w="100"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5.00 to 1.00</w:t>
            </w:r>
          </w:p>
        </w:tc>
      </w:tr>
      <w:tr>
        <w:trPr/>
        <w:tc>
          <w:tcPr>
            <w:tcW w:w="5131" w:type="dxa"/>
            <w:tcBorders>
              <w:top w:val="single" w:sz="2" w:space="0" w:color="010101"/>
              <w:left w:val="single" w:sz="2" w:space="0" w:color="010101"/>
              <w:bottom w:val="single" w:sz="2" w:space="0" w:color="010101"/>
              <w:right w:val="single" w:sz="2" w:space="0" w:color="010101"/>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December 31, 2025</w:t>
            </w:r>
          </w:p>
        </w:tc>
        <w:tc>
          <w:tcPr>
            <w:tcW w:w="2806" w:type="dxa"/>
            <w:tcBorders>
              <w:top w:val="single" w:sz="2" w:space="0" w:color="010101"/>
              <w:left w:val="single" w:sz="2" w:space="0" w:color="010101"/>
              <w:bottom w:val="single" w:sz="2" w:space="0" w:color="010101"/>
              <w:right w:val="single" w:sz="2" w:space="0" w:color="010101"/>
            </w:tcBorders>
            <w:tcMar>
              <w:right w:w="100"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5.00 to 1.00</w:t>
            </w:r>
          </w:p>
        </w:tc>
      </w:tr>
      <w:tr>
        <w:trPr/>
        <w:tc>
          <w:tcPr>
            <w:tcW w:w="5131" w:type="dxa"/>
            <w:tcBorders>
              <w:top w:val="single" w:sz="2" w:space="0" w:color="010101"/>
              <w:left w:val="single" w:sz="2" w:space="0" w:color="010101"/>
              <w:bottom w:val="single" w:sz="2" w:space="0" w:color="010101"/>
              <w:right w:val="single" w:sz="2" w:space="0" w:color="010101"/>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March 31, 2026</w:t>
            </w:r>
          </w:p>
        </w:tc>
        <w:tc>
          <w:tcPr>
            <w:tcW w:w="2806" w:type="dxa"/>
            <w:tcBorders>
              <w:top w:val="single" w:sz="2" w:space="0" w:color="010101"/>
              <w:left w:val="single" w:sz="2" w:space="0" w:color="010101"/>
              <w:bottom w:val="single" w:sz="2" w:space="0" w:color="010101"/>
              <w:right w:val="single" w:sz="2" w:space="0" w:color="010101"/>
            </w:tcBorders>
            <w:tcMar>
              <w:right w:w="100"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5.00 to 1.00</w:t>
            </w:r>
          </w:p>
        </w:tc>
      </w:tr>
      <w:tr>
        <w:trPr/>
        <w:tc>
          <w:tcPr>
            <w:tcW w:w="5131" w:type="dxa"/>
            <w:tcBorders>
              <w:top w:val="single" w:sz="2" w:space="0" w:color="010101"/>
              <w:left w:val="single" w:sz="2" w:space="0" w:color="010101"/>
              <w:bottom w:val="single" w:sz="2" w:space="0" w:color="010101"/>
              <w:right w:val="single" w:sz="2" w:space="0" w:color="010101"/>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June 30, 2026</w:t>
            </w:r>
          </w:p>
        </w:tc>
        <w:tc>
          <w:tcPr>
            <w:tcW w:w="2806" w:type="dxa"/>
            <w:tcBorders>
              <w:top w:val="single" w:sz="2" w:space="0" w:color="010101"/>
              <w:left w:val="single" w:sz="2" w:space="0" w:color="010101"/>
              <w:bottom w:val="single" w:sz="2" w:space="0" w:color="010101"/>
              <w:right w:val="single" w:sz="2" w:space="0" w:color="010101"/>
            </w:tcBorders>
            <w:tcMar>
              <w:right w:w="100"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4.50 to 1.00</w:t>
            </w:r>
          </w:p>
        </w:tc>
      </w:tr>
      <w:tr>
        <w:trPr/>
        <w:tc>
          <w:tcPr>
            <w:tcW w:w="5131" w:type="dxa"/>
            <w:tcBorders>
              <w:top w:val="single" w:sz="2" w:space="0" w:color="010101"/>
              <w:left w:val="single" w:sz="2" w:space="0" w:color="010101"/>
              <w:bottom w:val="single" w:sz="2" w:space="0" w:color="010101"/>
              <w:right w:val="single" w:sz="2" w:space="0" w:color="010101"/>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September 30, 2026 and each fiscal quarter thereafter</w:t>
            </w:r>
          </w:p>
        </w:tc>
        <w:tc>
          <w:tcPr>
            <w:tcW w:w="2806" w:type="dxa"/>
            <w:tcBorders>
              <w:top w:val="single" w:sz="2" w:space="0" w:color="010101"/>
              <w:left w:val="single" w:sz="2" w:space="0" w:color="010101"/>
              <w:bottom w:val="single" w:sz="2" w:space="0" w:color="010101"/>
              <w:right w:val="single" w:sz="2" w:space="0" w:color="010101"/>
            </w:tcBorders>
            <w:tcMar>
              <w:right w:w="100"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4.00 to 1.00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7.11</w:t>
      </w:r>
      <w:r>
        <w:rPr>
          <w:rFonts w:ascii="Times New Roman;Times;serif" w:hAnsi="Times New Roman;Times;serif"/>
          <w:b/>
          <w:sz w:val="22"/>
        </w:rPr>
        <w:t>Sanctions</w:t>
      </w:r>
      <w:r>
        <w:rPr>
          <w:rFonts w:ascii="Times New Roman;Times;serif" w:hAnsi="Times New Roman;Times;serif"/>
          <w:sz w:val="22"/>
        </w:rPr>
        <w:t>. Directly or indirectly, use the proceeds of any Credit Extension, or lend, contribute or otherwise knowingly make available such proceeds to any Subsidiary, joint venture partner or other individual or entity,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Arranger, Administrative Agent, L/C Issuer, Swing Line Lender, or otherwise) of Sanctions.</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7.12</w:t>
      </w:r>
      <w:r>
        <w:rPr>
          <w:rFonts w:ascii="Times New Roman;Times;serif" w:hAnsi="Times New Roman;Times;serif"/>
          <w:b/>
          <w:sz w:val="22"/>
        </w:rPr>
        <w:t>Anti-Corruption and Anti-Terrorism Laws</w:t>
      </w:r>
      <w:r>
        <w:rPr>
          <w:rFonts w:ascii="Times New Roman;Times;serif" w:hAnsi="Times New Roman;Times;serif"/>
          <w:sz w:val="22"/>
        </w:rPr>
        <w:t>. Directly or indirectly use the proceeds of any Loan for any purpose which would breach the PATRIOT Act, the United States Foreign Corrupt Practices Act of 1977, the UK Bribery Act 2010, and other similar anti- corruption legislation in other jurisdictions.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VIII.</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EVENTS OF DEFAULT AND REMEDIES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8.01</w:t>
      </w:r>
      <w:r>
        <w:rPr>
          <w:rFonts w:ascii="Times New Roman;Times;serif" w:hAnsi="Times New Roman;Times;serif"/>
          <w:b/>
          <w:sz w:val="22"/>
        </w:rPr>
        <w:t>Events of Default</w:t>
      </w:r>
      <w:r>
        <w:rPr>
          <w:rFonts w:ascii="Times New Roman;Times;serif" w:hAnsi="Times New Roman;Times;serif"/>
          <w:sz w:val="22"/>
        </w:rPr>
        <w:t>. Any of the following shall constitute an Event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Non-Payment</w:t>
      </w:r>
      <w:r>
        <w:rPr>
          <w:rFonts w:ascii="Times New Roman;Times;serif" w:hAnsi="Times New Roman;Times;serif"/>
          <w:sz w:val="22"/>
        </w:rPr>
        <w:t>. Any Borrower or any other Loan Party fails to pay (i) when and as required to be paid herein, and in the currency required hereunder, any amount of principal of any Loan or any L/C Obligation, or (ii) within three Business Days after the same becomes due, any interest on any Loan or on any L/C Obligation, or any fee due hereunder, or (iii) within five Business Days after the same becomes due, any other amount payable hereunder or under any other Loan Document;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Specific Covenants</w:t>
      </w:r>
      <w:r>
        <w:rPr>
          <w:rFonts w:ascii="Times New Roman;Times;serif" w:hAnsi="Times New Roman;Times;serif"/>
          <w:sz w:val="22"/>
        </w:rPr>
        <w:t xml:space="preserve">. The Company fails to perform or observe any term, covenant or agreement contained in any of </w:t>
      </w:r>
      <w:r>
        <w:rPr>
          <w:rFonts w:ascii="Times New Roman;Times;serif" w:hAnsi="Times New Roman;Times;serif"/>
          <w:sz w:val="22"/>
          <w:u w:val="single"/>
        </w:rPr>
        <w:t>Section 6.03</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6.05(a)</w:t>
      </w:r>
      <w:r>
        <w:rPr>
          <w:rFonts w:ascii="Times New Roman;Times;serif" w:hAnsi="Times New Roman;Times;serif"/>
          <w:sz w:val="20"/>
        </w:rPr>
        <w:t xml:space="preserve"> </w:t>
      </w:r>
      <w:r>
        <w:rPr>
          <w:rFonts w:ascii="Times New Roman;Times;serif" w:hAnsi="Times New Roman;Times;serif"/>
          <w:sz w:val="22"/>
        </w:rPr>
        <w:t xml:space="preserve">(to the extent it relates to preservation of legal existence of a Loan Party) or </w:t>
      </w:r>
      <w:r>
        <w:rPr>
          <w:rFonts w:ascii="Times New Roman;Times;serif" w:hAnsi="Times New Roman;Times;serif"/>
          <w:sz w:val="22"/>
          <w:u w:val="single"/>
        </w:rPr>
        <w:t>Article VII</w:t>
      </w:r>
      <w:r>
        <w:rPr>
          <w:rFonts w:ascii="Times New Roman;Times;serif" w:hAnsi="Times New Roman;Times;serif"/>
          <w:sz w:val="22"/>
        </w:rPr>
        <w:t xml:space="preserve">, and with respect to </w:t>
      </w:r>
      <w:r>
        <w:rPr>
          <w:rFonts w:ascii="Times New Roman;Times;serif" w:hAnsi="Times New Roman;Times;serif"/>
          <w:sz w:val="22"/>
          <w:u w:val="single"/>
        </w:rPr>
        <w:t>Section 7.01</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7.03</w:t>
      </w:r>
      <w:r>
        <w:rPr>
          <w:rFonts w:ascii="Times New Roman;Times;serif" w:hAnsi="Times New Roman;Times;serif"/>
          <w:sz w:val="22"/>
        </w:rPr>
        <w:t>, such failure continues for a period of 20 days;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Other Defaults</w:t>
      </w:r>
      <w:r>
        <w:rPr>
          <w:rFonts w:ascii="Times New Roman;Times;serif" w:hAnsi="Times New Roman;Times;serif"/>
          <w:sz w:val="22"/>
        </w:rPr>
        <w:t xml:space="preserve">. Any Loan Party fails to perform or observe any other covenant or agreement (not specified in </w:t>
      </w:r>
      <w:r>
        <w:rPr>
          <w:rFonts w:ascii="Times New Roman;Times;serif" w:hAnsi="Times New Roman;Times;serif"/>
          <w:sz w:val="22"/>
          <w:u w:val="single"/>
        </w:rPr>
        <w:t>subsection (a)</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(b)</w:t>
      </w:r>
      <w:r>
        <w:rPr>
          <w:rFonts w:ascii="Times New Roman;Times;serif" w:hAnsi="Times New Roman;Times;serif"/>
          <w:sz w:val="20"/>
        </w:rPr>
        <w:t xml:space="preserve"> </w:t>
      </w:r>
      <w:r>
        <w:rPr>
          <w:rFonts w:ascii="Times New Roman;Times;serif" w:hAnsi="Times New Roman;Times;serif"/>
          <w:sz w:val="22"/>
        </w:rPr>
        <w:t>above) contained in any Loan Document on its part to be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performed or observed and such failure continues for 30 days after the Company or such Loan Party has knowledge thereof;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Representations and Warranties</w:t>
      </w:r>
      <w:r>
        <w:rPr>
          <w:rFonts w:ascii="Times New Roman;Times;serif" w:hAnsi="Times New Roman;Times;serif"/>
          <w:sz w:val="22"/>
        </w:rPr>
        <w:t>. Any representation or warranty of the Company or any other Loan Party, or any written certification or other material written statement of fact made or deemed made by the Company or any Loan Party or by a Responsible Officer on behalf of the Company or any other Loan Party herein, in any other Loan Document, or in any document delivered in connection herewith or therewith shall be incorrect or misleading in any material respect when made or deemed made;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u w:val="single"/>
        </w:rPr>
        <w:t>Cross-Default</w:t>
      </w:r>
      <w:r>
        <w:rPr>
          <w:rFonts w:ascii="Times New Roman;Times;serif" w:hAnsi="Times New Roman;Times;serif"/>
          <w:sz w:val="22"/>
        </w:rPr>
        <w:t xml:space="preserve">. (i) The Company or any Subsidiary (A) fails to make any payment of principal when due (whether at scheduled maturity, by required prepayment, acceleration, demand or otherwise) in respect of any Indebtedness or Guarantee (other than Indebtedness hereunder and Indebtedness under Swap Contracts) having an aggregate principal amount (including amounts owing to all creditors under any combined or syndicated credit arrangement) of more than $50,000,000, or (B) fails to observe or perform any other agreement or condition (including any obligation to make any payment of interest, fees or other amounts) relating to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$50,000,000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repurchase, prepayment, defeasance or redemption, or any offer to repurchase, prepay, defease or redeem any convertible notes issued by the Company in accordance with the terms of the indenture or other documentation governing such convertible notes shall not be deemed to be an Event of Default under this </w:t>
      </w:r>
      <w:r>
        <w:rPr>
          <w:rFonts w:ascii="Times New Roman;Times;serif" w:hAnsi="Times New Roman;Times;serif"/>
          <w:sz w:val="22"/>
          <w:u w:val="single"/>
        </w:rPr>
        <w:t>Section 8.01(e)(i)(B)</w:t>
      </w:r>
      <w:r>
        <w:rPr>
          <w:rFonts w:ascii="Times New Roman;Times;serif" w:hAnsi="Times New Roman;Times;serif"/>
          <w:sz w:val="20"/>
        </w:rPr>
        <w:t xml:space="preserve"> </w:t>
      </w:r>
      <w:r>
        <w:rPr>
          <w:rFonts w:ascii="Times New Roman;Times;serif" w:hAnsi="Times New Roman;Times;serif"/>
          <w:sz w:val="22"/>
        </w:rPr>
        <w:t>unless such redemption, repurchase, exchange, conversion or settlement results from an event of default (or equivalent term) under such indenture; or (ii) there occurs under any Swap Contract an Early Termination Date (as defined in such Swap Contract) resulting from (A) any event of default under such Swap Contract as to which the Company or any Subsidiary is the Defaulting Party (as defined in such Swap Contract) or (B) any Termination Event (as so defined) under such Swap Contract as to which the Company or any Subsidiary is an Affected Party (as so defined) and, in either event, the Swap Termination Value owed by the Company or such Subsidiary as a result thereof is greater than $50,000,000;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u w:val="single"/>
        </w:rPr>
        <w:t>Insolvency Proceedings, Etc.</w:t>
      </w:r>
      <w:r>
        <w:rPr>
          <w:rFonts w:ascii="Times New Roman;Times;serif" w:hAnsi="Times New Roman;Times;serif"/>
          <w:sz w:val="20"/>
        </w:rPr>
        <w:t xml:space="preserve"> </w:t>
      </w:r>
      <w:r>
        <w:rPr>
          <w:rFonts w:ascii="Times New Roman;Times;serif" w:hAnsi="Times New Roman;Times;serif"/>
          <w:sz w:val="22"/>
        </w:rPr>
        <w:t>Any Loan Party or any Material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60 calendar days as to any Loan Party or 90 calendar days as to any Material Subsidiary that is not a Loan Party; or any proceeding under any Debtor Relief Law relating to any such Person or to all or any material part of its property is instituted without the consent of such Person and continues undismissed or unstayed for 60 calendar days as to any Loan Party or 90 calendar days as to any Material Subsidiary that is not a Loan Party, or an order for relief is entered in any such proceeding; or</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u w:val="single"/>
        </w:rPr>
        <w:t>Inability to Pay Debts; Attachment</w:t>
      </w:r>
      <w:r>
        <w:rPr>
          <w:rFonts w:ascii="Times New Roman;Times;serif" w:hAnsi="Times New Roman;Times;serif"/>
          <w:sz w:val="22"/>
        </w:rPr>
        <w:t>. (i) Any Loan Party or any Material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30 days after its issue or levy;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(h)</w:t>
      </w:r>
      <w:r>
        <w:rPr>
          <w:rFonts w:ascii="Times New Roman;Times;serif" w:hAnsi="Times New Roman;Times;serif"/>
          <w:sz w:val="22"/>
          <w:u w:val="single"/>
        </w:rPr>
        <w:t>Judgments</w:t>
      </w:r>
      <w:r>
        <w:rPr>
          <w:rFonts w:ascii="Times New Roman;Times;serif" w:hAnsi="Times New Roman;Times;serif"/>
          <w:sz w:val="22"/>
        </w:rPr>
        <w:t>. There is entered against the Company or any Subsidiary one or more final judgments or orders for the payment of money in an aggregate amount (as to all such judgments or orders) exceeding $50,000,000 (to the extent not covered by independent third-party insurance as to which the insurer does not dispute coverage), and (A) such judgments or orders have remained unsatisfied for a period of 30 days or more, (B) enforcement proceedings are commenced by any creditor upon such judgments or orders, or (C) there is a period of 30 consecutive days during which a stay of enforcement of such judgments or orders, by reason of a pending appeal or otherwise, is not in effect;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u w:val="single"/>
        </w:rPr>
        <w:t>ERISA</w:t>
      </w:r>
      <w:r>
        <w:rPr>
          <w:rFonts w:ascii="Times New Roman;Times;serif" w:hAnsi="Times New Roman;Times;serif"/>
          <w:sz w:val="22"/>
        </w:rPr>
        <w:t>. (i) An ERISA Event occurs with respect to a Pension Plan or Multiemployer Plan which has resulted or could reasonably be expected to result in liability of the Company under Title IV of ERISA to the Pension Plan, Multiemployer Plan or the PBGC, or (ii) the Company or any ERISA Affiliate fails to pay when due, after the expiration of any applicable grace period, any installment payment with respect to its withdrawal liability under Section 4201 of ERISA under a Multiemployer Plan, in the case of each of clauses (i) and (ii), that has a Material Adverse Effect;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(j)</w:t>
      </w:r>
      <w:r>
        <w:rPr>
          <w:rFonts w:ascii="Times New Roman;Times;serif" w:hAnsi="Times New Roman;Times;serif"/>
          <w:sz w:val="22"/>
          <w:u w:val="single"/>
        </w:rPr>
        <w:t>Invalidity of Loan Documents</w:t>
      </w:r>
      <w:r>
        <w:rPr>
          <w:rFonts w:ascii="Times New Roman;Times;serif" w:hAnsi="Times New Roman;Times;serif"/>
          <w:sz w:val="22"/>
        </w:rPr>
        <w:t>. Any Loan Document, at any time after its execution and delivery and for any reason other than as expressly permitted hereunder or satisfaction in full of all the Obligations, ceases to be in full force and effect; or any Loan Party or any Subsidiary of the Company contests in any manner the validity or enforceability of any Loan Document; or any Loan Party denies that it has any or further liability or obligation under any Loan Document, or purports to revoke, terminate or rescind any Loan Document;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(k)</w:t>
      </w:r>
      <w:r>
        <w:rPr>
          <w:rFonts w:ascii="Times New Roman;Times;serif" w:hAnsi="Times New Roman;Times;serif"/>
          <w:sz w:val="22"/>
          <w:u w:val="single"/>
        </w:rPr>
        <w:t>Change of Control</w:t>
      </w:r>
      <w:r>
        <w:rPr>
          <w:rFonts w:ascii="Times New Roman;Times;serif" w:hAnsi="Times New Roman;Times;serif"/>
          <w:sz w:val="22"/>
        </w:rPr>
        <w:t>. There occurs any Change of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8.02</w:t>
      </w:r>
      <w:r>
        <w:rPr>
          <w:rFonts w:ascii="Times New Roman;Times;serif" w:hAnsi="Times New Roman;Times;serif"/>
          <w:b/>
          <w:sz w:val="22"/>
        </w:rPr>
        <w:t>Remedies Upon Event of Default</w:t>
      </w:r>
      <w:r>
        <w:rPr>
          <w:rFonts w:ascii="Times New Roman;Times;serif" w:hAnsi="Times New Roman;Times;serif"/>
          <w:sz w:val="22"/>
        </w:rPr>
        <w:t>. If any Event of Default occurs and is continuing, the Administrative Agent shall, at the request of, or may, with the consent of, the Required Lenders, take any or all of the following actions: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declare the commitment of each Lender to make Loans and any obligation of the L/C Issuers to make L/C Credit Extensions to be terminated, whereupon such commitments and obligation shall be terminated;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require that the Company Cash Collateralize the L/C Obligations (in an amount equal to the then Outstanding Amount thereof);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exercise on behalf of itself, the Lenders and the L/C Issuers all rights and remedies available to it, the Lenders and the L/C Issuers under the Loan Documents;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upon the occurrence of an actual or deemed entry of an order for relief with respect to any Borrower under the Bankruptcy Code of the United States, the obligation of each Lender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to make Loans and any obligation of any L/C Issuer to make L/C Credit Extensions shall automatically terminate, the unpaid principal amount of all outstanding Loans and all interest and other amounts as aforesaid shall automatically become due and payable, and the obligation of the Company to Cash Collateralize the L/C Obligations as aforesaid shall automatically become effective, in each case without further act of the Administrative Agent or any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8.03</w:t>
      </w:r>
      <w:r>
        <w:rPr>
          <w:rFonts w:ascii="Times New Roman;Times;serif" w:hAnsi="Times New Roman;Times;serif"/>
          <w:b/>
          <w:sz w:val="22"/>
        </w:rPr>
        <w:t>Application of Funds</w:t>
      </w:r>
      <w:r>
        <w:rPr>
          <w:rFonts w:ascii="Times New Roman;Times;serif" w:hAnsi="Times New Roman;Times;serif"/>
          <w:sz w:val="22"/>
        </w:rPr>
        <w:t xml:space="preserve">. After the exercise of remedies provided for in </w:t>
      </w:r>
      <w:r>
        <w:rPr>
          <w:rFonts w:ascii="Times New Roman;Times;serif" w:hAnsi="Times New Roman;Times;serif"/>
          <w:sz w:val="22"/>
          <w:u w:val="single"/>
        </w:rPr>
        <w:t>Section 8.02</w:t>
      </w:r>
      <w:r>
        <w:rPr>
          <w:rFonts w:ascii="Times New Roman;Times;serif" w:hAnsi="Times New Roman;Times;serif"/>
          <w:sz w:val="20"/>
        </w:rPr>
        <w:t xml:space="preserve"> </w:t>
      </w:r>
      <w:r>
        <w:rPr>
          <w:rFonts w:ascii="Times New Roman;Times;serif" w:hAnsi="Times New Roman;Times;serif"/>
          <w:sz w:val="22"/>
        </w:rPr>
        <w:t xml:space="preserve">(or after the Loans have automatically become immediately due and payable and the L/C Obligations have automatically been required to be Cash Collateralized as set forth in the proviso to </w:t>
      </w:r>
      <w:r>
        <w:rPr>
          <w:rFonts w:ascii="Times New Roman;Times;serif" w:hAnsi="Times New Roman;Times;serif"/>
          <w:sz w:val="22"/>
          <w:u w:val="single"/>
        </w:rPr>
        <w:t>Section 8.02</w:t>
      </w:r>
      <w:r>
        <w:rPr>
          <w:rFonts w:ascii="Times New Roman;Times;serif" w:hAnsi="Times New Roman;Times;serif"/>
          <w:sz w:val="22"/>
        </w:rPr>
        <w:t xml:space="preserve">), any amounts received by the Administrative Agent on account of the Obligations shall, subject to the provisions of </w:t>
      </w:r>
      <w:r>
        <w:rPr>
          <w:rFonts w:ascii="Times New Roman;Times;serif" w:hAnsi="Times New Roman;Times;serif"/>
          <w:sz w:val="22"/>
          <w:u w:val="single"/>
        </w:rPr>
        <w:t>Sections 2.16</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2.17</w:t>
      </w:r>
      <w:r>
        <w:rPr>
          <w:rFonts w:ascii="Times New Roman;Times;serif" w:hAnsi="Times New Roman;Times;serif"/>
          <w:sz w:val="20"/>
        </w:rPr>
        <w:t xml:space="preserve"> </w:t>
      </w:r>
      <w:r>
        <w:rPr>
          <w:rFonts w:ascii="Times New Roman;Times;serif" w:hAnsi="Times New Roman;Times;serif"/>
          <w:sz w:val="22"/>
        </w:rPr>
        <w:t>be applied by the Administrative Agent in the following order: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u w:val="single"/>
        </w:rPr>
        <w:t>First</w:t>
      </w:r>
      <w:r>
        <w:rPr>
          <w:rFonts w:ascii="Times New Roman;Times;serif" w:hAnsi="Times New Roman;Times;serif"/>
          <w:sz w:val="22"/>
        </w:rPr>
        <w:t xml:space="preserve">, to payment of that portion of the Obligations constituting fees, indemnities, expenses and other amounts (including fees, charges and disbursements of counsel to the Administrative Agent and amounts payable under </w:t>
      </w:r>
      <w:r>
        <w:rPr>
          <w:rFonts w:ascii="Times New Roman;Times;serif" w:hAnsi="Times New Roman;Times;serif"/>
          <w:sz w:val="22"/>
          <w:u w:val="single"/>
        </w:rPr>
        <w:t>Article III</w:t>
      </w:r>
      <w:r>
        <w:rPr>
          <w:rFonts w:ascii="Times New Roman;Times;serif" w:hAnsi="Times New Roman;Times;serif"/>
          <w:sz w:val="22"/>
        </w:rPr>
        <w:t>) payable to the Administrative Agent in its capacity as such;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u w:val="single"/>
        </w:rPr>
        <w:t>Second</w:t>
      </w:r>
      <w:r>
        <w:rPr>
          <w:rFonts w:ascii="Times New Roman;Times;serif" w:hAnsi="Times New Roman;Times;serif"/>
          <w:sz w:val="22"/>
        </w:rPr>
        <w:t xml:space="preserve">, to payment of that portion of the Obligations constituting fees, indemnities and other amounts (other than principal, interest and Letter of Credit Fees) payable to the Lenders and the L/C Issuers (including fees, charges and disbursements of counsel to the respective Lenders and the L/C Issuers (including fees and time charges for attorneys who may be employees of any Lender or any L/C Issuer) and amounts payable under </w:t>
      </w:r>
      <w:r>
        <w:rPr>
          <w:rFonts w:ascii="Times New Roman;Times;serif" w:hAnsi="Times New Roman;Times;serif"/>
          <w:sz w:val="22"/>
          <w:u w:val="single"/>
        </w:rPr>
        <w:t>Article III</w:t>
      </w:r>
      <w:r>
        <w:rPr>
          <w:rFonts w:ascii="Times New Roman;Times;serif" w:hAnsi="Times New Roman;Times;serif"/>
          <w:sz w:val="22"/>
        </w:rPr>
        <w:t xml:space="preserve">), ratably among them in proportion to the respective amounts described in this clause </w:t>
      </w:r>
      <w:r>
        <w:rPr>
          <w:rFonts w:ascii="Times New Roman;Times;serif" w:hAnsi="Times New Roman;Times;serif"/>
          <w:sz w:val="22"/>
          <w:u w:val="single"/>
        </w:rPr>
        <w:t>Second</w:t>
      </w:r>
      <w:r>
        <w:rPr>
          <w:rFonts w:ascii="Times New Roman;Times;serif" w:hAnsi="Times New Roman;Times;serif"/>
          <w:sz w:val="20"/>
        </w:rPr>
        <w:t xml:space="preserve"> </w:t>
      </w:r>
      <w:r>
        <w:rPr>
          <w:rFonts w:ascii="Times New Roman;Times;serif" w:hAnsi="Times New Roman;Times;serif"/>
          <w:sz w:val="22"/>
        </w:rPr>
        <w:t>payable to them;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u w:val="single"/>
        </w:rPr>
        <w:t>Third</w:t>
      </w:r>
      <w:r>
        <w:rPr>
          <w:rFonts w:ascii="Times New Roman;Times;serif" w:hAnsi="Times New Roman;Times;serif"/>
          <w:sz w:val="22"/>
        </w:rPr>
        <w:t xml:space="preserve">, to payment of that portion of the Obligations constituting accrued and unpaid Letter of Credit Fees and interest on the Loans, L/C Borrowings and other Obligations, ratably among the Lenders and the L/C Issuers in proportion to the respective amounts described in this clause </w:t>
      </w:r>
      <w:r>
        <w:rPr>
          <w:rFonts w:ascii="Times New Roman;Times;serif" w:hAnsi="Times New Roman;Times;serif"/>
          <w:sz w:val="22"/>
          <w:u w:val="single"/>
        </w:rPr>
        <w:t>Third</w:t>
      </w:r>
      <w:r>
        <w:rPr>
          <w:rFonts w:ascii="Times New Roman;Times;serif" w:hAnsi="Times New Roman;Times;serif"/>
          <w:sz w:val="20"/>
        </w:rPr>
        <w:t xml:space="preserve"> </w:t>
      </w:r>
      <w:r>
        <w:rPr>
          <w:rFonts w:ascii="Times New Roman;Times;serif" w:hAnsi="Times New Roman;Times;serif"/>
          <w:sz w:val="22"/>
        </w:rPr>
        <w:t>payable to them;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u w:val="single"/>
        </w:rPr>
        <w:t>Fourth</w:t>
      </w:r>
      <w:r>
        <w:rPr>
          <w:rFonts w:ascii="Times New Roman;Times;serif" w:hAnsi="Times New Roman;Times;serif"/>
          <w:sz w:val="22"/>
        </w:rPr>
        <w:t xml:space="preserve">, to payment of that portion of the Obligations constituting unpaid principal of the Loans and L/C Borrowings, ratably among the Lenders and the L/C Issuers in proportion to the respective amounts described in this clause </w:t>
      </w:r>
      <w:r>
        <w:rPr>
          <w:rFonts w:ascii="Times New Roman;Times;serif" w:hAnsi="Times New Roman;Times;serif"/>
          <w:sz w:val="22"/>
          <w:u w:val="single"/>
        </w:rPr>
        <w:t>Fourth</w:t>
      </w:r>
      <w:r>
        <w:rPr>
          <w:rFonts w:ascii="Times New Roman;Times;serif" w:hAnsi="Times New Roman;Times;serif"/>
          <w:sz w:val="20"/>
        </w:rPr>
        <w:t xml:space="preserve"> </w:t>
      </w:r>
      <w:r>
        <w:rPr>
          <w:rFonts w:ascii="Times New Roman;Times;serif" w:hAnsi="Times New Roman;Times;serif"/>
          <w:sz w:val="22"/>
        </w:rPr>
        <w:t>held by them;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u w:val="single"/>
        </w:rPr>
        <w:t>Fifth</w:t>
      </w:r>
      <w:r>
        <w:rPr>
          <w:rFonts w:ascii="Times New Roman;Times;serif" w:hAnsi="Times New Roman;Times;serif"/>
          <w:sz w:val="22"/>
        </w:rPr>
        <w:t xml:space="preserve">, to the Administrative Agent for the account of the L/C Issuers (ratably in proportion to the respective portion of such L/C Obligations applicable to each L/C Issuer), to Cash Collateralize that portion of L/C Obligations comprised of the aggregate undrawn amount of Letters of Credit to the extent not otherwise Cash Collateralized by the Company pursuant to </w:t>
      </w:r>
      <w:r>
        <w:rPr>
          <w:rFonts w:ascii="Times New Roman;Times;serif" w:hAnsi="Times New Roman;Times;serif"/>
          <w:sz w:val="22"/>
          <w:u w:val="single"/>
        </w:rPr>
        <w:t>Sections 2.03</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2.16</w:t>
      </w:r>
      <w:r>
        <w:rPr>
          <w:rFonts w:ascii="Times New Roman;Times;serif" w:hAnsi="Times New Roman;Times;serif"/>
          <w:sz w:val="22"/>
        </w:rPr>
        <w:t>;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u w:val="single"/>
        </w:rPr>
        <w:t>Last</w:t>
      </w:r>
      <w:r>
        <w:rPr>
          <w:rFonts w:ascii="Times New Roman;Times;serif" w:hAnsi="Times New Roman;Times;serif"/>
          <w:sz w:val="22"/>
        </w:rPr>
        <w:t>, the balance, if any, after all of the Obligations have been indefeasibly paid in full, to the Company or as otherwise required by Law.</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rPr>
        <w:t xml:space="preserve">Subject to </w:t>
      </w:r>
      <w:r>
        <w:rPr>
          <w:rFonts w:ascii="Times New Roman;Times;serif" w:hAnsi="Times New Roman;Times;serif"/>
          <w:sz w:val="22"/>
          <w:u w:val="single"/>
        </w:rPr>
        <w:t>Section 2.03(c)</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2.16</w:t>
      </w:r>
      <w:r>
        <w:rPr>
          <w:rFonts w:ascii="Times New Roman;Times;serif" w:hAnsi="Times New Roman;Times;serif"/>
          <w:sz w:val="22"/>
        </w:rPr>
        <w:t xml:space="preserve">, amounts used to Cash Collateralize the aggregate undrawn amount of Letters of Credit pursuant to clause </w:t>
      </w:r>
      <w:r>
        <w:rPr>
          <w:rFonts w:ascii="Times New Roman;Times;serif" w:hAnsi="Times New Roman;Times;serif"/>
          <w:sz w:val="22"/>
          <w:u w:val="single"/>
        </w:rPr>
        <w:t>Fifth</w:t>
      </w:r>
      <w:r>
        <w:rPr>
          <w:rFonts w:ascii="Times New Roman;Times;serif" w:hAnsi="Times New Roman;Times;serif"/>
          <w:sz w:val="20"/>
        </w:rPr>
        <w:t xml:space="preserve"> </w:t>
      </w:r>
      <w:r>
        <w:rPr>
          <w:rFonts w:ascii="Times New Roman;Times;serif" w:hAnsi="Times New Roman;Times;serif"/>
          <w:sz w:val="22"/>
        </w:rPr>
        <w:t>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IX.</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ADMINISTRATIVE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9.01</w:t>
      </w:r>
      <w:r>
        <w:rPr>
          <w:rFonts w:ascii="Times New Roman;Times;serif" w:hAnsi="Times New Roman;Times;serif"/>
          <w:b/>
          <w:sz w:val="22"/>
        </w:rPr>
        <w:t>Appointment and Authority</w:t>
      </w:r>
      <w:r>
        <w:rPr>
          <w:rFonts w:ascii="Times New Roman;Times;serif" w:hAnsi="Times New Roman;Times;serif"/>
          <w:sz w:val="22"/>
        </w:rPr>
        <w:t>. Each of the Lenders and the L/C Issuers hereby irrevocably appoints Bank of America to act on its behalf as the Administrative Agent hereunder and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Issuers, and neither any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9.02</w:t>
      </w:r>
      <w:r>
        <w:rPr>
          <w:rFonts w:ascii="Times New Roman;Times;serif" w:hAnsi="Times New Roman;Times;serif"/>
          <w:b/>
          <w:sz w:val="22"/>
        </w:rPr>
        <w:t>Rights as a Lender</w:t>
      </w:r>
      <w:r>
        <w:rPr>
          <w:rFonts w:ascii="Times New Roman;Times;serif" w:hAnsi="Times New Roman;Times;serif"/>
          <w:sz w:val="22"/>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Borrowers or any Subsidiary or other Affiliate thereof as if such Person were not the Administrative Agent hereunder and without any duty to account therefor to the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9.03</w:t>
      </w:r>
      <w:r>
        <w:rPr>
          <w:rFonts w:ascii="Times New Roman;Times;serif" w:hAnsi="Times New Roman;Times;serif"/>
          <w:b/>
          <w:sz w:val="22"/>
        </w:rPr>
        <w:t>Exculpatory Provisions</w:t>
      </w:r>
      <w:r>
        <w:rPr>
          <w:rFonts w:ascii="Times New Roman;Times;serif" w:hAnsi="Times New Roman;Times;serif"/>
          <w:sz w:val="22"/>
        </w:rPr>
        <w:t>. The Administrative Agent or the Arrangers, as applicable, shall not have any duties or obligations except those expressly set forth herein and in the other Loan Documents, and its duties hereunder shall be administrative in nature. Without limiting the generality of the foregoing, the Administrative Agent or the Arrangers,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shall not be subject to any fiduciary or other implied duties, regardless of whether a Default has occurred and is continuing;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a property of a Defaulting Lender in violation of any Debtor Relief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shall not have any duty or responsibility to disclose, and shall not be liable for the failure to disclose, to any Lender or any L/C Issuer, any credit or other information concerning the business, prospects, operations, property, financial and other condition or creditworthiness of any of the Borrowers or any of their Affiliates, that is communicated to, obtained or in the possession of, the Administrative Agent, Arranger or any of their Related Parties in any capacity, except for notices, reports and other documents expressly required to be furnished to the Lenders by the Administrative Agent herein or in the other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shall not be liable for any action taken or not taken by the Administrative Agent under or in connection with this Agreement or any other Loan Document or the transactions contemplated hereby or thereby (i) with the consent or at the request of the Required Lenders (or such other number or</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percentage of the Lenders as shall be necessary, or as the Administrative Agent shall believe in good faith shall be necessary, under the circumstances as provided in </w:t>
      </w:r>
      <w:r>
        <w:rPr>
          <w:rFonts w:ascii="Times New Roman;Times;serif" w:hAnsi="Times New Roman;Times;serif"/>
          <w:sz w:val="22"/>
          <w:u w:val="single"/>
        </w:rPr>
        <w:t>Sections 10.01</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8.02</w:t>
      </w:r>
      <w:r>
        <w:rPr>
          <w:rFonts w:ascii="Times New Roman;Times;serif" w:hAnsi="Times New Roman;Times;serif"/>
          <w:sz w:val="22"/>
        </w:rPr>
        <w:t>) or (ii) in the absence of its own gross negligence or willful misconduct as determined by a court of competent jurisdiction by final and nonappealable judgment. The Administrative Agent shall be deemed not to have knowledge of any Default or Event of Default unless and until notice describing such Default or Event of Default, as the case may be, is given in writing to the Administrative Agent by the Company, a Lender or an L/C Issuer;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 xml:space="preserve">shall not be responsible for or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w:t>
      </w:r>
      <w:r>
        <w:rPr>
          <w:rFonts w:ascii="Times New Roman;Times;serif" w:hAnsi="Times New Roman;Times;serif"/>
          <w:sz w:val="22"/>
          <w:u w:val="single"/>
        </w:rPr>
        <w:t>Article IV</w:t>
      </w:r>
      <w:r>
        <w:rPr>
          <w:rFonts w:ascii="Times New Roman;Times;serif" w:hAnsi="Times New Roman;Times;serif"/>
          <w:sz w:val="20"/>
        </w:rPr>
        <w:t xml:space="preserve"> </w:t>
      </w:r>
      <w:r>
        <w:rPr>
          <w:rFonts w:ascii="Times New Roman;Times;serif" w:hAnsi="Times New Roman;Times;serif"/>
          <w:sz w:val="22"/>
        </w:rPr>
        <w:t>or elsewhere herein, other than to confirm receipt of items expressly required to be delivered to the Administrative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9.04</w:t>
      </w:r>
      <w:r>
        <w:rPr>
          <w:rFonts w:ascii="Times New Roman;Times;serif" w:hAnsi="Times New Roman;Times;serif"/>
          <w:b/>
          <w:sz w:val="22"/>
        </w:rPr>
        <w:t>Reliance by Administrative Agent</w:t>
      </w:r>
      <w:r>
        <w:rPr>
          <w:rFonts w:ascii="Times New Roman;Times;serif" w:hAnsi="Times New Roman;Times;serif"/>
          <w:sz w:val="22"/>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Company), independent accountants and other experts selected by it, and shall not be liable for any action taken or not taken by it in accordance with the advice of any such counsel, accountants or experts.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9.05</w:t>
      </w:r>
      <w:r>
        <w:rPr>
          <w:rFonts w:ascii="Times New Roman;Times;serif" w:hAnsi="Times New Roman;Times;serif"/>
          <w:b/>
          <w:sz w:val="22"/>
        </w:rPr>
        <w:t>Delegation of Duties</w:t>
      </w:r>
      <w:r>
        <w:rPr>
          <w:rFonts w:ascii="Times New Roman;Times;serif" w:hAnsi="Times New Roman;Times;serif"/>
          <w:sz w:val="22"/>
        </w:rPr>
        <w:t>. The Administrative Agent may perform any and all of its duties and exercise its rights and powers hereunder or under any other Loan Document by or through any one or more sub agents appointed by the Administrative Agent. The Administrative Agent and any such sub agent may perform any and all of its duties and exercise its rights and powers by or through their respective Related Parties. The exculpatory provisions of this Article shall apply to any such sub agent and to the Related Parties of the Administrative Agent and any such sub agent, and shall apply to their respective activities in connection with the syndication of the credit facilities provided for herein as well as activities as Administrative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9.06</w:t>
      </w:r>
      <w:r>
        <w:rPr>
          <w:rFonts w:ascii="Times New Roman;Times;serif" w:hAnsi="Times New Roman;Times;serif"/>
          <w:b/>
          <w:sz w:val="22"/>
        </w:rPr>
        <w:t>Resignation of Administrative Agent</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The Administrative Agent may at any time give notice of its resignation to the Lenders, the L/C Issuers and the Company. Upon receipt of any such notice of resignation, the Required Lenders shall have the right, with the consent of the Company (such consent not to be unreasonably withheld or delayed;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no consent of the Company shall be required if an Event of Default has occurred and is continuing), to appoint a successor, which shall be a bank with an office in the United States, or an Affiliate of any such bank with an office in the United States. If no such successor shall have been so</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appointed by the Required Lenders and shall have accepted such appointment within 30 days after the retiring Administrative Agent gives notice of its resignation (or such earlier day as shall be agreed by the Required Lenders) (the “</w:t>
      </w:r>
      <w:r>
        <w:rPr>
          <w:rFonts w:ascii="Times New Roman;Times;serif" w:hAnsi="Times New Roman;Times;serif"/>
          <w:sz w:val="22"/>
          <w:u w:val="single"/>
        </w:rPr>
        <w:t>Resignation Effective Date</w:t>
      </w:r>
      <w:r>
        <w:rPr>
          <w:rFonts w:ascii="Times New Roman;Times;serif" w:hAnsi="Times New Roman;Times;serif"/>
          <w:sz w:val="20"/>
        </w:rPr>
        <w:t>”</w:t>
      </w:r>
      <w:r>
        <w:rPr>
          <w:rFonts w:ascii="Times New Roman;Times;serif" w:hAnsi="Times New Roman;Times;serif"/>
          <w:sz w:val="22"/>
        </w:rPr>
        <w:t>), then the retiring Administrative Agent may (but shall not be obligated to) on behalf of the Lenders and the L/C Issuers, appoint a successor Administrative Agent meeting the qualifications set forth above; provided that in no event shall any such successor Administrative Agent be a Defaulting Lender. Whether or not a successor has been appointed, such resignation shall become effective in accordance with such notice on the Resignation Effective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If the Person serving as the Administrative Agent is a Defaulting Lender pursuant to </w:t>
      </w:r>
      <w:r>
        <w:rPr>
          <w:rFonts w:ascii="Times New Roman;Times;serif" w:hAnsi="Times New Roman;Times;serif"/>
          <w:sz w:val="22"/>
          <w:u w:val="single"/>
        </w:rPr>
        <w:t>clause (d)</w:t>
      </w:r>
      <w:r>
        <w:rPr>
          <w:rFonts w:ascii="Times New Roman;Times;serif" w:hAnsi="Times New Roman;Times;serif"/>
          <w:sz w:val="20"/>
        </w:rPr>
        <w:t xml:space="preserve"> </w:t>
      </w:r>
      <w:r>
        <w:rPr>
          <w:rFonts w:ascii="Times New Roman;Times;serif" w:hAnsi="Times New Roman;Times;serif"/>
          <w:sz w:val="22"/>
        </w:rPr>
        <w:t xml:space="preserve">of the definition thereof, the Required Lenders may, to the extent permitted by applicable law, by notice in writing to the Company and such Person remove such Person as Administrative Agent and, with the consent of the Company (such consent not to be unreasonably withheld or delayed;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no consent of the Company shall be required if an Event of Default has occurred and is continuing), appoint a successor which shall be a bank with an office in the United States, or any Affiliate of any such bank which bank has an office in the United States. If no such successor shall have been so appointed by the Required Lenders and shall have accepted such appointment within 30 days (or such earlier day as shall be agreed by the Required Lenders) (the “Removal Effective Date”), then such removal shall nonetheless become effective in accordance with such notice on the Removal Effective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With effect from the Resignation Effective Date or the Removal Effective Date (as applicable) (1) the retiring or removed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or removed Administrative Agent shall continue to hold such collateral security until such time as a successor Administrative Agent is appointed) and (2)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if any, as the Required Lenders appoint a successor Administrative Agent as provided for above in this </w:t>
      </w:r>
      <w:r>
        <w:rPr>
          <w:rFonts w:ascii="Times New Roman;Times;serif" w:hAnsi="Times New Roman;Times;serif"/>
          <w:sz w:val="22"/>
          <w:u w:val="single"/>
        </w:rPr>
        <w:t>Section 9.06</w:t>
      </w:r>
      <w:r>
        <w:rPr>
          <w:rFonts w:ascii="Times New Roman;Times;serif" w:hAnsi="Times New Roman;Times;serif"/>
          <w:sz w:val="22"/>
        </w:rPr>
        <w:t xml:space="preser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Times New Roman;Times;serif" w:hAnsi="Times New Roman;Times;serif"/>
          <w:sz w:val="22"/>
          <w:u w:val="single"/>
        </w:rPr>
        <w:t>Section 3.01(g)</w:t>
      </w:r>
      <w:r>
        <w:rPr>
          <w:rFonts w:ascii="Times New Roman;Times;serif" w:hAnsi="Times New Roman;Times;serif"/>
          <w:sz w:val="20"/>
        </w:rPr>
        <w:t xml:space="preserve"> </w:t>
      </w:r>
      <w:r>
        <w:rPr>
          <w:rFonts w:ascii="Times New Roman;Times;serif" w:hAnsi="Times New Roman;Times;serif"/>
          <w:sz w:val="22"/>
        </w:rPr>
        <w:t xml:space="preserve">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Times New Roman;Times;serif" w:hAnsi="Times New Roman;Times;serif"/>
          <w:sz w:val="22"/>
          <w:u w:val="single"/>
        </w:rPr>
        <w:t>Section 9.06</w:t>
      </w:r>
      <w:r>
        <w:rPr>
          <w:rFonts w:ascii="Times New Roman;Times;serif" w:hAnsi="Times New Roman;Times;serif"/>
          <w:sz w:val="22"/>
        </w:rPr>
        <w:t xml:space="preserve">). The fees payable by the Company to a successor Administrative Agent shall be the same as those payable to its predecessor unless otherwise agreed between the Company and such successor. After the retiring or removed Administrative Agent’s resignation or removal hereunder and under the other Loan Documents, the provisions of this Article and </w:t>
      </w:r>
      <w:r>
        <w:rPr>
          <w:rFonts w:ascii="Times New Roman;Times;serif" w:hAnsi="Times New Roman;Times;serif"/>
          <w:sz w:val="22"/>
          <w:u w:val="single"/>
        </w:rPr>
        <w:t>Section 10.04</w:t>
      </w:r>
      <w:r>
        <w:rPr>
          <w:rFonts w:ascii="Times New Roman;Times;serif" w:hAnsi="Times New Roman;Times;serif"/>
          <w:sz w:val="20"/>
        </w:rPr>
        <w:t xml:space="preserve"> </w:t>
      </w:r>
      <w:r>
        <w:rPr>
          <w:rFonts w:ascii="Times New Roman;Times;serif" w:hAnsi="Times New Roman;Times;serif"/>
          <w:sz w:val="22"/>
        </w:rPr>
        <w:t>shall continue in effect for the benefit of the retiring or removed Administrative Agent, its sub agents and their respective Related Parties in respect of any actions taken or omitted to be taken by any of them while the retiring or removed Administrative Agent was acting as Administrative Agent.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Any resignation by Bank of America as Administrative Agent pursuant to this </w:t>
      </w:r>
      <w:r>
        <w:rPr>
          <w:rFonts w:ascii="Times New Roman;Times;serif" w:hAnsi="Times New Roman;Times;serif"/>
          <w:sz w:val="22"/>
          <w:u w:val="single"/>
        </w:rPr>
        <w:t>Section 9.06</w:t>
      </w:r>
      <w:r>
        <w:rPr>
          <w:rFonts w:ascii="Times New Roman;Times;serif" w:hAnsi="Times New Roman;Times;serif"/>
          <w:sz w:val="20"/>
        </w:rPr>
        <w:t xml:space="preserve"> </w:t>
      </w:r>
      <w:r>
        <w:rPr>
          <w:rFonts w:ascii="Times New Roman;Times;serif" w:hAnsi="Times New Roman;Times;serif"/>
          <w:sz w:val="22"/>
        </w:rPr>
        <w:t xml:space="preserve">shall also constitute its resignation as L/C Issuer and Swing Line Lender. If Bank of America resigns as L/C Issuer, it shall retain all the rights, powers, privileges and duties of an L/C Issuer hereunder with respect to all Letters of Credit outstanding as of the effective date of its resignation as an L/C Issuer and all L/C Obligations with respect thereto, including the right to require the Lenders to make Base Rate Loans or fund risk participations in Unreimbursed Amounts pursuant to </w:t>
      </w:r>
      <w:r>
        <w:rPr>
          <w:rFonts w:ascii="Times New Roman;Times;serif" w:hAnsi="Times New Roman;Times;serif"/>
          <w:sz w:val="22"/>
          <w:u w:val="single"/>
        </w:rPr>
        <w:t>Section 2.03(c)</w:t>
      </w:r>
      <w:r>
        <w:rPr>
          <w:rFonts w:ascii="Times New Roman;Times;serif" w:hAnsi="Times New Roman;Times;serif"/>
          <w:sz w:val="22"/>
        </w:rPr>
        <w:t>.  If Bank of America</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(with respect to Swing Line Loans denominated in Dollars), Alternative Currency Term Rate Loans (with respect to Euro Swing Line Loans) or fund risk participations in outstanding Swing Line Loans pursuant to </w:t>
      </w:r>
      <w:r>
        <w:rPr>
          <w:rFonts w:ascii="Times New Roman;Times;serif" w:hAnsi="Times New Roman;Times;serif"/>
          <w:sz w:val="22"/>
          <w:u w:val="single"/>
        </w:rPr>
        <w:t>Section 2.04(c)</w:t>
      </w:r>
      <w:r>
        <w:rPr>
          <w:rFonts w:ascii="Times New Roman;Times;serif" w:hAnsi="Times New Roman;Times;serif"/>
          <w:sz w:val="22"/>
        </w:rPr>
        <w:t>. Upon the appointment by the Company of a successor L/C Issuer or Swing Line Lender hereunder (which successor shall in all cases be a Lender other than a Defaulting Lender), (a) such successor shall succeed to and become vested with all of the rights, powers, privileges and duties of the retiring L/C Issuer and the Swing Line Lender, as applicable, (b) the retiring L/C Issuer and the Swing Line Lender shall be discharged from all of their respective duties and obligations hereunder or under the other Loan Documents, and (c) the successor L/C Issuer shall issue letters of credit in substitution for the Letters of Credit, if any, issued by Bank of America and outstanding at the time of such succession or make other arrangements satisfactory to Bank of America as retiring L/C Issuer to effectively assume the obligations of the retiring L/C Issuer with respect to such Letters of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9.07</w:t>
      </w:r>
      <w:r>
        <w:rPr>
          <w:rFonts w:ascii="Times New Roman;Times;serif" w:hAnsi="Times New Roman;Times;serif"/>
          <w:b/>
          <w:sz w:val="22"/>
        </w:rPr>
        <w:t>Non-Reliance on Administrative Agent, the Arrangers and Other Lenders</w:t>
      </w:r>
      <w:r>
        <w:rPr>
          <w:rFonts w:ascii="Times New Roman;Times;serif" w:hAnsi="Times New Roman;Times;serif"/>
          <w:sz w:val="22"/>
        </w:rPr>
        <w:t xml:space="preserve">. Each Lender and each L/C Issuer expressly acknowledges that none of the Administrative Agent nor </w:t>
      </w:r>
      <w:r>
        <w:rPr>
          <w:rFonts w:ascii="Times New Roman;Times;serif" w:hAnsi="Times New Roman;Times;serif"/>
          <w:color w:val="FF0000"/>
          <w:sz w:val="22"/>
        </w:rPr>
        <w:t>the</w:t>
      </w:r>
      <w:r>
        <w:rPr>
          <w:rFonts w:ascii="Times New Roman;Times;serif" w:hAnsi="Times New Roman;Times;serif"/>
          <w:color w:val="0000FF"/>
          <w:sz w:val="22"/>
          <w:u w:val="single"/>
        </w:rPr>
        <w:t>any</w:t>
      </w:r>
      <w:r>
        <w:rPr>
          <w:rFonts w:ascii="Times New Roman;Times;serif" w:hAnsi="Times New Roman;Times;serif"/>
          <w:sz w:val="20"/>
        </w:rPr>
        <w:t xml:space="preserve"> </w:t>
      </w:r>
      <w:r>
        <w:rPr>
          <w:rFonts w:ascii="Times New Roman;Times;serif" w:hAnsi="Times New Roman;Times;serif"/>
          <w:sz w:val="22"/>
        </w:rPr>
        <w:t xml:space="preserve">Arranger has made any representation or warranty to it, and that no act by the Administrative Agent or </w:t>
      </w:r>
      <w:r>
        <w:rPr>
          <w:rFonts w:ascii="Times New Roman;Times;serif" w:hAnsi="Times New Roman;Times;serif"/>
          <w:color w:val="FF0000"/>
          <w:sz w:val="22"/>
        </w:rPr>
        <w:t>the</w:t>
      </w:r>
      <w:r>
        <w:rPr>
          <w:rFonts w:ascii="Times New Roman;Times;serif" w:hAnsi="Times New Roman;Times;serif"/>
          <w:color w:val="0000FF"/>
          <w:sz w:val="22"/>
          <w:u w:val="single"/>
        </w:rPr>
        <w:t>any</w:t>
      </w:r>
      <w:r>
        <w:rPr>
          <w:rFonts w:ascii="Times New Roman;Times;serif" w:hAnsi="Times New Roman;Times;serif"/>
          <w:sz w:val="20"/>
        </w:rPr>
        <w:t xml:space="preserve"> </w:t>
      </w:r>
      <w:r>
        <w:rPr>
          <w:rFonts w:ascii="Times New Roman;Times;serif" w:hAnsi="Times New Roman;Times;serif"/>
          <w:sz w:val="22"/>
        </w:rPr>
        <w:t xml:space="preserve">Arranger hereafter taken, including any consent to, and acceptance of any assignment or review of the affairs of any Loan Party of any Affiliate thereof, shall be deemed to constitute any representation or warranty by the Administrative Agent or </w:t>
      </w:r>
      <w:r>
        <w:rPr>
          <w:rFonts w:ascii="Times New Roman;Times;serif" w:hAnsi="Times New Roman;Times;serif"/>
          <w:color w:val="FF0000"/>
          <w:sz w:val="22"/>
        </w:rPr>
        <w:t>the</w:t>
      </w:r>
      <w:r>
        <w:rPr>
          <w:rFonts w:ascii="Times New Roman;Times;serif" w:hAnsi="Times New Roman;Times;serif"/>
          <w:color w:val="0000FF"/>
          <w:sz w:val="22"/>
          <w:u w:val="single"/>
        </w:rPr>
        <w:t>any</w:t>
      </w:r>
      <w:r>
        <w:rPr>
          <w:rFonts w:ascii="Times New Roman;Times;serif" w:hAnsi="Times New Roman;Times;serif"/>
          <w:sz w:val="20"/>
        </w:rPr>
        <w:t xml:space="preserve"> </w:t>
      </w:r>
      <w:r>
        <w:rPr>
          <w:rFonts w:ascii="Times New Roman;Times;serif" w:hAnsi="Times New Roman;Times;serif"/>
          <w:sz w:val="22"/>
        </w:rPr>
        <w:t xml:space="preserve">Arranger to any Lender or each L/C Issuer as to any matter, including whether the Administrative Agent or the </w:t>
      </w:r>
      <w:r>
        <w:rPr>
          <w:rFonts w:ascii="Times New Roman;Times;serif" w:hAnsi="Times New Roman;Times;serif"/>
          <w:color w:val="FF0000"/>
          <w:sz w:val="22"/>
        </w:rPr>
        <w:t>Arranger</w:t>
      </w:r>
      <w:r>
        <w:rPr>
          <w:rFonts w:ascii="Times New Roman;Times;serif" w:hAnsi="Times New Roman;Times;serif"/>
          <w:color w:val="0000FF"/>
          <w:sz w:val="22"/>
          <w:u w:val="single"/>
        </w:rPr>
        <w:t>Arrangers</w:t>
      </w:r>
      <w:r>
        <w:rPr>
          <w:rFonts w:ascii="Times New Roman;Times;serif" w:hAnsi="Times New Roman;Times;serif"/>
          <w:sz w:val="20"/>
        </w:rPr>
        <w:t xml:space="preserve"> </w:t>
      </w:r>
      <w:r>
        <w:rPr>
          <w:rFonts w:ascii="Times New Roman;Times;serif" w:hAnsi="Times New Roman;Times;serif"/>
          <w:sz w:val="22"/>
        </w:rPr>
        <w:t xml:space="preserve">have disclosed material information in their (or their Related Parties’) possession. Each Lender and each L/C Issuer represents to the Administrative Agent and the </w:t>
      </w:r>
      <w:r>
        <w:rPr>
          <w:rFonts w:ascii="Times New Roman;Times;serif" w:hAnsi="Times New Roman;Times;serif"/>
          <w:color w:val="FF0000"/>
          <w:sz w:val="22"/>
        </w:rPr>
        <w:t>Arranger</w:t>
      </w:r>
      <w:r>
        <w:rPr>
          <w:rFonts w:ascii="Times New Roman;Times;serif" w:hAnsi="Times New Roman;Times;serif"/>
          <w:color w:val="0000FF"/>
          <w:sz w:val="22"/>
          <w:u w:val="single"/>
        </w:rPr>
        <w:t>Arrangers</w:t>
      </w:r>
      <w:r>
        <w:rPr>
          <w:rFonts w:ascii="Times New Roman;Times;serif" w:hAnsi="Times New Roman;Times;serif"/>
          <w:sz w:val="20"/>
        </w:rPr>
        <w:t xml:space="preserve"> </w:t>
      </w:r>
      <w:r>
        <w:rPr>
          <w:rFonts w:ascii="Times New Roman;Times;serif" w:hAnsi="Times New Roman;Times;serif"/>
          <w:sz w:val="22"/>
        </w:rPr>
        <w:t xml:space="preserve">that it has, independently and without reliance upon the Administrative Agent, </w:t>
      </w:r>
      <w:r>
        <w:rPr>
          <w:rFonts w:ascii="Times New Roman;Times;serif" w:hAnsi="Times New Roman;Times;serif"/>
          <w:color w:val="FF0000"/>
          <w:sz w:val="22"/>
        </w:rPr>
        <w:t>the</w:t>
      </w:r>
      <w:r>
        <w:rPr>
          <w:rFonts w:ascii="Times New Roman;Times;serif" w:hAnsi="Times New Roman;Times;serif"/>
          <w:color w:val="0000FF"/>
          <w:sz w:val="22"/>
          <w:u w:val="single"/>
        </w:rPr>
        <w:t>any</w:t>
      </w:r>
      <w:r>
        <w:rPr>
          <w:rFonts w:ascii="Times New Roman;Times;serif" w:hAnsi="Times New Roman;Times;serif"/>
          <w:sz w:val="20"/>
        </w:rPr>
        <w:t xml:space="preserve"> </w:t>
      </w:r>
      <w:r>
        <w:rPr>
          <w:rFonts w:ascii="Times New Roman;Times;serif" w:hAnsi="Times New Roman;Times;serif"/>
          <w:sz w:val="22"/>
        </w:rPr>
        <w:t xml:space="preserve">Arranger, any other Lender or any of their Related Parties and based on such documents and information as it has deemed appropriate, made its own credit analysis of, appraisal of, and investigation into, the business, prospects, operations, property, financial and other condition and creditworthiness of the Loan Parties and their Subsidiaries, and all applicable bank or other regulatory Laws relating to the transactions contemplated hereby, and made its own decision to enter into this Agreement and to extend credit to the Borrowers hereunder. Each Lender and each L/C Issuer also acknowledges that it will, independently and without reliance upon the Administrative Agent, </w:t>
      </w:r>
      <w:r>
        <w:rPr>
          <w:rFonts w:ascii="Times New Roman;Times;serif" w:hAnsi="Times New Roman;Times;serif"/>
          <w:color w:val="FF0000"/>
          <w:sz w:val="22"/>
        </w:rPr>
        <w:t>the</w:t>
      </w:r>
      <w:r>
        <w:rPr>
          <w:rFonts w:ascii="Times New Roman;Times;serif" w:hAnsi="Times New Roman;Times;serif"/>
          <w:color w:val="0000FF"/>
          <w:sz w:val="22"/>
          <w:u w:val="single"/>
        </w:rPr>
        <w:t>any</w:t>
      </w:r>
      <w:r>
        <w:rPr>
          <w:rFonts w:ascii="Times New Roman;Times;serif" w:hAnsi="Times New Roman;Times;serif"/>
          <w:sz w:val="20"/>
        </w:rPr>
        <w:t xml:space="preserve"> </w:t>
      </w:r>
      <w:r>
        <w:rPr>
          <w:rFonts w:ascii="Times New Roman;Times;serif" w:hAnsi="Times New Roman;Times;serif"/>
          <w:sz w:val="22"/>
        </w:rPr>
        <w:t>Arranger, any other Lender or any of their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(i) the Loan Documents set forth the terms of a commercial lending facility and (ii) it is engaged in making, acquiring or holding commercial loans in the ordinary course and is entering into this Agreement as a Lender or L/C Issuer for the purpose of making, acquiring or holding commercial loans and providing other facilities set forth herein as may be applicable to such Lender or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9.08</w:t>
      </w:r>
      <w:r>
        <w:rPr>
          <w:rFonts w:ascii="Times New Roman;Times;serif" w:hAnsi="Times New Roman;Times;serif"/>
          <w:b/>
          <w:sz w:val="22"/>
        </w:rPr>
        <w:t>No Other Duties, Etc</w:t>
      </w:r>
      <w:r>
        <w:rPr>
          <w:rFonts w:ascii="Times New Roman;Times;serif" w:hAnsi="Times New Roman;Times;serif"/>
          <w:sz w:val="22"/>
        </w:rPr>
        <w:t>. Anything herein to the contrary notwithstanding, none of the Joint Bookrunners, Joint Lead Arrangers or Co-Syndication Agents listed on the cover page hereof shall have any powers, duties or responsibilities under this Agreement or any of the other Loan Documents, except in its capacity, as applicable, as the Administrative Agent, a Lender, a Swing Line Lender or an L/C Issuer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9.09</w:t>
      </w:r>
      <w:r>
        <w:rPr>
          <w:rFonts w:ascii="Times New Roman;Times;serif" w:hAnsi="Times New Roman;Times;serif"/>
          <w:b/>
          <w:sz w:val="22"/>
        </w:rPr>
        <w:t>Administrative Agent May File Proofs of Claim</w:t>
      </w:r>
      <w:r>
        <w:rPr>
          <w:rFonts w:ascii="Times New Roman;Times;serif" w:hAnsi="Times New Roman;Times;serif"/>
          <w:sz w:val="22"/>
        </w:rPr>
        <w:t>. 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 to, and shall, at the direction of the Required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 Issuers and the Administrative Agent and their respective agents and counsel and all other amounts due the Lenders, the L/C Issuers and the Administrative Agent under </w:t>
      </w:r>
      <w:r>
        <w:rPr>
          <w:rFonts w:ascii="Times New Roman;Times;serif" w:hAnsi="Times New Roman;Times;serif"/>
          <w:sz w:val="22"/>
          <w:u w:val="single"/>
        </w:rPr>
        <w:t>Sections 2.03(h)</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(i)</w:t>
      </w:r>
      <w:r>
        <w:rPr>
          <w:rFonts w:ascii="Times New Roman;Times;serif" w:hAnsi="Times New Roman;Times;serif"/>
          <w:sz w:val="22"/>
        </w:rPr>
        <w:t xml:space="preserve">, </w:t>
      </w:r>
      <w:r>
        <w:rPr>
          <w:rFonts w:ascii="Times New Roman;Times;serif" w:hAnsi="Times New Roman;Times;serif"/>
          <w:sz w:val="22"/>
          <w:u w:val="single"/>
        </w:rPr>
        <w:t>2.09</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10.04</w:t>
      </w:r>
      <w:r>
        <w:rPr>
          <w:rFonts w:ascii="Times New Roman;Times;serif" w:hAnsi="Times New Roman;Times;serif"/>
          <w:sz w:val="22"/>
        </w:rPr>
        <w:t>) allowed in such judicial proceeding;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collect and receive any monies or other property payable or deliverable on any such claims and to distribute the same;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Times New Roman;Times;serif" w:hAnsi="Times New Roman;Times;serif"/>
          <w:sz w:val="22"/>
          <w:u w:val="single"/>
        </w:rPr>
        <w:t>Sections 2.09</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10.04</w:t>
      </w:r>
      <w:r>
        <w:rPr>
          <w:rFonts w:ascii="Times New Roman;Times;serif" w:hAnsi="Times New Roman;Times;serif"/>
          <w:sz w:val="22"/>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Nothing contained herein shall be deemed to authorize the Administrative Agent to authorize or consent to or accept or adopt on behalf of any Lender or any L/C Issuer any plan of reorganization, arrangement, adjustment or composition affecting the Obligations or the rights of any Lender or any L/C Issuer to authorize the Administrative Agent to vote in respect of the claim of any Lender or any L/C Issuer in any such proceeding.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9.10</w:t>
      </w:r>
      <w:r>
        <w:rPr>
          <w:rFonts w:ascii="Times New Roman;Times;serif" w:hAnsi="Times New Roman;Times;serif"/>
          <w:b/>
          <w:sz w:val="22"/>
        </w:rPr>
        <w:t>Certain ERISA Matters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Borrowers or any other Loan Party, that at least one of the following is and will be true: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such Lender is not using “plan assets” (within the meaning of Section 3(42) of ERISA or otherwise) of one or more Benefit Plans with respect to such Lender’s entrance into,</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participation in, administration of and performance of the Loans, the Letters of Credit, the Commitments or this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such other representation, warranty and covenant as may be agreed in writing between the Administrative Agent, in its sole discretion, and such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In addition, unless either (1) </w:t>
      </w:r>
      <w:r>
        <w:rPr>
          <w:rFonts w:ascii="Times New Roman;Times;serif" w:hAnsi="Times New Roman;Times;serif"/>
          <w:sz w:val="22"/>
          <w:u w:val="single"/>
        </w:rPr>
        <w:t>sub-clause (i)</w:t>
      </w:r>
      <w:r>
        <w:rPr>
          <w:rFonts w:ascii="Times New Roman;Times;serif" w:hAnsi="Times New Roman;Times;serif"/>
          <w:sz w:val="20"/>
        </w:rPr>
        <w:t xml:space="preserve"> </w:t>
      </w:r>
      <w:r>
        <w:rPr>
          <w:rFonts w:ascii="Times New Roman;Times;serif" w:hAnsi="Times New Roman;Times;serif"/>
          <w:sz w:val="22"/>
        </w:rPr>
        <w:t xml:space="preserve">in the immediately preceding clause (a) is true with respect to a Lender or (2) a Lender has provided another representation, warranty and covenant in accordance with </w:t>
      </w:r>
      <w:r>
        <w:rPr>
          <w:rFonts w:ascii="Times New Roman;Times;serif" w:hAnsi="Times New Roman;Times;serif"/>
          <w:sz w:val="22"/>
          <w:u w:val="single"/>
        </w:rPr>
        <w:t>sub-clause (iv)</w:t>
      </w:r>
      <w:r>
        <w:rPr>
          <w:rFonts w:ascii="Times New Roman;Times;serif" w:hAnsi="Times New Roman;Times;serif"/>
          <w:sz w:val="20"/>
        </w:rPr>
        <w:t xml:space="preserve"> </w:t>
      </w:r>
      <w:r>
        <w:rPr>
          <w:rFonts w:ascii="Times New Roman;Times;serif" w:hAnsi="Times New Roman;Times;serif"/>
          <w:sz w:val="22"/>
        </w:rPr>
        <w:t xml:space="preserve">in the immediately preceding </w:t>
      </w:r>
      <w:r>
        <w:rPr>
          <w:rFonts w:ascii="Times New Roman;Times;serif" w:hAnsi="Times New Roman;Times;serif"/>
          <w:sz w:val="22"/>
          <w:u w:val="single"/>
        </w:rPr>
        <w:t>clause (a)</w:t>
      </w:r>
      <w:r>
        <w:rPr>
          <w:rFonts w:ascii="Times New Roman;Times;serif" w:hAnsi="Times New Roman;Times;serif"/>
          <w:sz w:val="22"/>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Arrangers and their respective Affiliates, and not, for the avoidance of doubt, to or for the benefit of the Borrowers or any other Loan Party, that none of the Administrative Agent or the Arrangers or any of their respective Affiliates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9.11</w:t>
      </w:r>
      <w:r>
        <w:rPr>
          <w:rFonts w:ascii="Times New Roman;Times;serif" w:hAnsi="Times New Roman;Times;serif"/>
          <w:b/>
          <w:sz w:val="22"/>
        </w:rPr>
        <w:t xml:space="preserve">Recovery of Erroneous Payments. </w:t>
      </w:r>
      <w:r>
        <w:rPr>
          <w:rFonts w:ascii="Times New Roman;Times;serif" w:hAnsi="Times New Roman;Times;serif"/>
          <w:sz w:val="22"/>
        </w:rPr>
        <w:t>Without limitation of any other provision in this Agreement, if at any time the Administrative Agent makes a payment hereunder in error to any Lender Recipient Party, whether or not in respect of an Obligation due and owing by any Borrower at such time, where such payment is a Rescindable Amount, then in any such event, each Lender Recipient Party receiving a Rescindable Amount severally agrees to repay to the Administrative Agent forthwith on demand the Rescindable Amount received by such Lender Recipient Party in Same Day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Recipient Party irrevocably waives any and all defenses, including any “discharge for value” (under which a creditor might otherwise claim a right to</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retain funds mistakenly paid by a third party in respect of a debt owed by another) or similar defense to its obligation to return any Rescindable Amount. The Administrative Agent shall inform each Lender Recipient Party promptly upon determining that any payment made to such Lender Recipient Party comprised, in whole or in part, a Rescindable Amount.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X.</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MISCELLANEOUS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10.01</w:t>
      </w:r>
      <w:r>
        <w:rPr>
          <w:rFonts w:ascii="Times New Roman;Times;serif" w:hAnsi="Times New Roman;Times;serif"/>
          <w:b/>
          <w:sz w:val="22"/>
        </w:rPr>
        <w:t>Amendments, Etc</w:t>
      </w:r>
      <w:r>
        <w:rPr>
          <w:rFonts w:ascii="Times New Roman;Times;serif" w:hAnsi="Times New Roman;Times;serif"/>
          <w:sz w:val="22"/>
        </w:rPr>
        <w:t xml:space="preserve">. Except as set forth in </w:t>
      </w:r>
      <w:r>
        <w:rPr>
          <w:rFonts w:ascii="Times New Roman;Times;serif" w:hAnsi="Times New Roman;Times;serif"/>
          <w:sz w:val="22"/>
          <w:u w:val="single"/>
        </w:rPr>
        <w:t>Sections 2.15</w:t>
      </w:r>
      <w:r>
        <w:rPr>
          <w:rFonts w:ascii="Times New Roman;Times;serif" w:hAnsi="Times New Roman;Times;serif"/>
          <w:color w:val="FF0000"/>
          <w:sz w:val="20"/>
        </w:rPr>
        <w:t xml:space="preserve"> </w:t>
      </w:r>
      <w:r>
        <w:rPr>
          <w:rFonts w:ascii="Times New Roman;Times;serif" w:hAnsi="Times New Roman;Times;serif"/>
          <w:color w:val="FF0000"/>
          <w:sz w:val="22"/>
        </w:rPr>
        <w:t>and</w:t>
      </w:r>
      <w:r>
        <w:rPr>
          <w:rFonts w:ascii="Times New Roman;Times;serif" w:hAnsi="Times New Roman;Times;serif"/>
          <w:color w:val="0000FF"/>
          <w:sz w:val="22"/>
        </w:rPr>
        <w:t xml:space="preserve">, </w:t>
      </w:r>
      <w:r>
        <w:rPr>
          <w:rFonts w:ascii="Times New Roman;Times;serif" w:hAnsi="Times New Roman;Times;serif"/>
          <w:sz w:val="22"/>
        </w:rPr>
        <w:t xml:space="preserve">3.03 </w:t>
      </w:r>
      <w:r>
        <w:rPr>
          <w:rFonts w:ascii="Times New Roman;Times;serif" w:hAnsi="Times New Roman;Times;serif"/>
          <w:color w:val="0000FF"/>
          <w:sz w:val="22"/>
        </w:rPr>
        <w:t>and 3.06(c)</w:t>
      </w:r>
      <w:r>
        <w:rPr>
          <w:rFonts w:ascii="Times New Roman;Times;serif" w:hAnsi="Times New Roman;Times;serif"/>
          <w:sz w:val="22"/>
        </w:rPr>
        <w:t xml:space="preserve">, no amendment or waiver of any provision of this Agreement or any other Loan Document, and no consent to any departure by the Company or any other Loan Party therefrom, shall be effective unless in writing signed by the Required Lenders and the Company or the applicable Loan Party, as the case may be, and acknowledged by the Administrative Agent, and each such waiver or consent shall be effective only in the specific instance and for the specific purpose for which given;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no such amendment, waiver or consent shall: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waive any condition set forth in </w:t>
      </w:r>
      <w:r>
        <w:rPr>
          <w:rFonts w:ascii="Times New Roman;Times;serif" w:hAnsi="Times New Roman;Times;serif"/>
          <w:sz w:val="22"/>
          <w:u w:val="single"/>
        </w:rPr>
        <w:t>Section 4.01(a)</w:t>
      </w:r>
      <w:r>
        <w:rPr>
          <w:rFonts w:ascii="Times New Roman;Times;serif" w:hAnsi="Times New Roman;Times;serif"/>
          <w:sz w:val="20"/>
        </w:rPr>
        <w:t xml:space="preserve"> </w:t>
      </w:r>
      <w:r>
        <w:rPr>
          <w:rFonts w:ascii="Times New Roman;Times;serif" w:hAnsi="Times New Roman;Times;serif"/>
          <w:sz w:val="22"/>
        </w:rPr>
        <w:t>without the written consent of each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extend or increase the Commitment of any Lender (or reinstate any Commitment terminated pursuant to </w:t>
      </w:r>
      <w:r>
        <w:rPr>
          <w:rFonts w:ascii="Times New Roman;Times;serif" w:hAnsi="Times New Roman;Times;serif"/>
          <w:sz w:val="22"/>
          <w:u w:val="single"/>
        </w:rPr>
        <w:t>Section 8.02</w:t>
      </w:r>
      <w:r>
        <w:rPr>
          <w:rFonts w:ascii="Times New Roman;Times;serif" w:hAnsi="Times New Roman;Times;serif"/>
          <w:sz w:val="22"/>
        </w:rPr>
        <w:t>) without the written consent of such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postpone any date fixed by this Agreement or any other Loan Document for any payment of principal, interest, fees or other amounts due to the Lenders (or any of them) hereunder or under any other Loan Document without the written consent of each Lender directly affected thereby;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 xml:space="preserve">reduce the principal of, or the rate or amount of interest specified herein on, any Loan or L/C Borrowing, or (subject to </w:t>
      </w:r>
      <w:r>
        <w:rPr>
          <w:rFonts w:ascii="Times New Roman;Times;serif" w:hAnsi="Times New Roman;Times;serif"/>
          <w:sz w:val="22"/>
          <w:u w:val="single"/>
        </w:rPr>
        <w:t>clause (iv)</w:t>
      </w:r>
      <w:r>
        <w:rPr>
          <w:rFonts w:ascii="Times New Roman;Times;serif" w:hAnsi="Times New Roman;Times;serif"/>
          <w:sz w:val="20"/>
        </w:rPr>
        <w:t xml:space="preserve"> </w:t>
      </w:r>
      <w:r>
        <w:rPr>
          <w:rFonts w:ascii="Times New Roman;Times;serif" w:hAnsi="Times New Roman;Times;serif"/>
          <w:sz w:val="22"/>
        </w:rPr>
        <w:t xml:space="preserve">of the second proviso to this </w:t>
      </w:r>
      <w:r>
        <w:rPr>
          <w:rFonts w:ascii="Times New Roman;Times;serif" w:hAnsi="Times New Roman;Times;serif"/>
          <w:sz w:val="22"/>
          <w:u w:val="single"/>
        </w:rPr>
        <w:t>Section 10.01</w:t>
      </w:r>
      <w:r>
        <w:rPr>
          <w:rFonts w:ascii="Times New Roman;Times;serif" w:hAnsi="Times New Roman;Times;serif"/>
          <w:sz w:val="22"/>
        </w:rPr>
        <w:t xml:space="preserve">) any fees or other amounts payable hereunder or under any other Loan Document, without the written consent of each Lender directly affected thereby;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only the consent of the Required Lenders shall be necessary to amend the definition of “Default Rate” or to waive any obligation of any Borrower to pay interest or Letter of Credit Fees at the Default Rate;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 xml:space="preserve">change </w:t>
      </w:r>
      <w:r>
        <w:rPr>
          <w:rFonts w:ascii="Times New Roman;Times;serif" w:hAnsi="Times New Roman;Times;serif"/>
          <w:sz w:val="22"/>
          <w:u w:val="single"/>
        </w:rPr>
        <w:t>Section 2.13</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Section 8.03</w:t>
      </w:r>
      <w:r>
        <w:rPr>
          <w:rFonts w:ascii="Times New Roman;Times;serif" w:hAnsi="Times New Roman;Times;serif"/>
          <w:sz w:val="20"/>
        </w:rPr>
        <w:t xml:space="preserve"> </w:t>
      </w:r>
      <w:r>
        <w:rPr>
          <w:rFonts w:ascii="Times New Roman;Times;serif" w:hAnsi="Times New Roman;Times;serif"/>
          <w:sz w:val="22"/>
        </w:rPr>
        <w:t>in a manner that would alter the pro rata sharing of payments required thereby without the written consent of each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 xml:space="preserve">amend </w:t>
      </w:r>
      <w:r>
        <w:rPr>
          <w:rFonts w:ascii="Times New Roman;Times;serif" w:hAnsi="Times New Roman;Times;serif"/>
          <w:sz w:val="22"/>
          <w:u w:val="single"/>
        </w:rPr>
        <w:t>Section 1.05</w:t>
      </w:r>
      <w:r>
        <w:rPr>
          <w:rFonts w:ascii="Times New Roman;Times;serif" w:hAnsi="Times New Roman;Times;serif"/>
          <w:sz w:val="20"/>
        </w:rPr>
        <w:t xml:space="preserve"> </w:t>
      </w:r>
      <w:r>
        <w:rPr>
          <w:rFonts w:ascii="Times New Roman;Times;serif" w:hAnsi="Times New Roman;Times;serif"/>
          <w:sz w:val="22"/>
        </w:rPr>
        <w:t>or the definition of “Alternative Currency” without the written consent of each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change any provision of this Section or the definition of “Required Lenders” or any other provision hereof specifying the number or percentage of Lenders required to amend, waive or otherwise modify any rights hereunder or make any determination or grant any consent hereunder, without the written consent of each Lender;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(h)</w:t>
      </w:r>
      <w:r>
        <w:rPr>
          <w:rFonts w:ascii="Times New Roman;Times;serif" w:hAnsi="Times New Roman;Times;serif"/>
          <w:sz w:val="22"/>
        </w:rPr>
        <w:t>release the Company from the Guaranty without the written consent of each Lender (including by virtue of consenting to any assignment of the Guaranty that includes a release of the Company from its obligations thereunder);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and, </w:t>
      </w:r>
      <w:r>
        <w:rPr>
          <w:rFonts w:ascii="Times New Roman;Times;serif" w:hAnsi="Times New Roman;Times;serif"/>
          <w:sz w:val="22"/>
          <w:u w:val="single"/>
        </w:rPr>
        <w:t>provided further</w:t>
      </w:r>
      <w:r>
        <w:rPr>
          <w:rFonts w:ascii="Times New Roman;Times;serif" w:hAnsi="Times New Roman;Times;serif"/>
          <w:sz w:val="22"/>
        </w:rPr>
        <w:t>, that (i) no amendment, waiver or consent shall, unless in writing and signed by each L/C Issuer directly affected thereby, in addition to the Lenders required above, affect the rights or duties of such L/C Issuer under this Agreement or any Issuer Document relating to any Letter of Credit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issued or to be issued by it; (ii) no amendment, waiver or consent shall, unless in writing and signed by the Swing Line Lender in addition to the Lenders required above, affect the rights or duties of the Swing Line Lender under this Agreement; (iii) no amendment, waiver or consent shall, unless in writing and signed by the Administrative Agent in addition to the Lenders required above, affect the rights or duties of the Administrative Agent under this Agreement or any other Loan Document; and (iv) any Fee Letter may be amended, or rights or privileges thereunder waived, in a writing executed only by the parties thereto.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more adversely than other affected Lenders shall require the consent of such Defaulting Lender.</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Notwithstanding any provision herein to the contrary, (i) if the Administrative Agent and the Company acting together identify any ambiguity, omission, mistake, typographical error or other defect in any provision of this Agreement or any other Loan Document (including the schedules and exhibits thereto), then the Administrative Agent and the Company shall be permitted to amend, modify or supplement such provision to cure such ambiguity, omission, mistake, typographical error or other defect, and such amendment shall become effective without any further action or consent of any other party to this Agreement if the same is not objected to in writing by any L/C Issuer (solely to the extent such amendment affects the rights or duties of such L/C Issuer under this Agreement or any Issuer Document relating to any Letter of Credit issued or to be issued by it) or the Required Lenders to the Administrative Agent within five Business Days following receipt of notice thereof, and (ii) each Lender and L/C Issuer hereby irrevocably authorizes the Administrative Agent on its behalf, and without further consent of any Lender or L/C Issuer (but with the consent of the Company and the Administrative Agent), to amend and/or restate this Agreement and the other Loan Documents if, upon giving effect to such amendment and/or restatement, such Lender or L/C Issuer shall no longer be a party to this Agreement (as so amended and/or restated), (A) the Commitments of such Lender shall have terminated, (B) such Lender or L/C Issuer shall have no other commitment or other obligation hereunder and (C) such Lender or L/C Issuer shall have been paid in full all principal, interest and other amounts owing to it or accrued for its account under this Agreement and the other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10.02</w:t>
      </w:r>
      <w:r>
        <w:rPr>
          <w:rFonts w:ascii="Times New Roman;Times;serif" w:hAnsi="Times New Roman;Times;serif"/>
          <w:b/>
          <w:sz w:val="22"/>
        </w:rPr>
        <w:t>Notices; Effectiveness; Electronic Communication</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Notices Generally</w:t>
      </w:r>
      <w:r>
        <w:rPr>
          <w:rFonts w:ascii="Times New Roman;Times;serif" w:hAnsi="Times New Roman;Times;serif"/>
          <w:sz w:val="22"/>
        </w:rPr>
        <w:t xml:space="preserve">. Except in the case of notices and other communications expressly permitted to be given by telephone and electronic mail and, except as provided in </w:t>
      </w:r>
      <w:r>
        <w:rPr>
          <w:rFonts w:ascii="Times New Roman;Times;serif" w:hAnsi="Times New Roman;Times;serif"/>
          <w:sz w:val="22"/>
          <w:u w:val="single"/>
        </w:rPr>
        <w:t>Section 2.03(b)(i)</w:t>
      </w:r>
      <w:r>
        <w:rPr>
          <w:rFonts w:ascii="Times New Roman;Times;serif" w:hAnsi="Times New Roman;Times;serif"/>
          <w:sz w:val="20"/>
        </w:rPr>
        <w:t xml:space="preserve"> </w:t>
      </w:r>
      <w:r>
        <w:rPr>
          <w:rFonts w:ascii="Times New Roman;Times;serif" w:hAnsi="Times New Roman;Times;serif"/>
          <w:sz w:val="22"/>
        </w:rPr>
        <w:t xml:space="preserve">and in </w:t>
      </w:r>
      <w:r>
        <w:rPr>
          <w:rFonts w:ascii="Times New Roman;Times;serif" w:hAnsi="Times New Roman;Times;serif"/>
          <w:sz w:val="22"/>
          <w:u w:val="single"/>
        </w:rPr>
        <w:t>subsection (b)</w:t>
      </w:r>
      <w:r>
        <w:rPr>
          <w:rFonts w:ascii="Times New Roman;Times;serif" w:hAnsi="Times New Roman;Times;serif"/>
          <w:sz w:val="20"/>
        </w:rPr>
        <w:t xml:space="preserve"> </w:t>
      </w:r>
      <w:r>
        <w:rPr>
          <w:rFonts w:ascii="Times New Roman;Times;serif" w:hAnsi="Times New Roman;Times;serif"/>
          <w:sz w:val="22"/>
        </w:rPr>
        <w:t>below, all notices and other communications provided for herein shall be in writing and shall be delivered by hand or overnight courier service, mailed by certified or registered mail or sent by electronic mail as follows, and all notices and other communications expressly permitted hereunder to be given by telephone shall be made to the applicable telephone number, as follows: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 xml:space="preserve">if to the Borrowers, the Administrative Agent, any L/C Issuer or the Swing Line Lender, to the address, electronic mail address or telephone number specified for such Person on </w:t>
      </w:r>
      <w:r>
        <w:rPr>
          <w:rFonts w:ascii="Times New Roman;Times;serif" w:hAnsi="Times New Roman;Times;serif"/>
          <w:sz w:val="22"/>
          <w:u w:val="single"/>
        </w:rPr>
        <w:t>Schedule 10.02</w:t>
      </w:r>
      <w:r>
        <w:rPr>
          <w:rFonts w:ascii="Times New Roman;Times;serif" w:hAnsi="Times New Roman;Times;serif"/>
          <w:sz w:val="22"/>
        </w:rPr>
        <w:t>;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if to any other Lender, to the address, electronic mail address or telephone number specified in its Administrative Questionnaire (including, as appropriate, notices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delivered solely to the Person designated by a Lender on its Administrative Questionnaire then in effect for the delivery of notices that may contain MNPI).</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Notices and other communications sent by hand or overnight courier service, or mailed by certified or registered mail, shall be deemed to have been given when received. Notices and other communications delivered through electronic communications to the extent provided in </w:t>
      </w:r>
      <w:r>
        <w:rPr>
          <w:rFonts w:ascii="Times New Roman;Times;serif" w:hAnsi="Times New Roman;Times;serif"/>
          <w:sz w:val="22"/>
          <w:u w:val="single"/>
        </w:rPr>
        <w:t>subsection (b)</w:t>
      </w:r>
      <w:r>
        <w:rPr>
          <w:rFonts w:ascii="Times New Roman;Times;serif" w:hAnsi="Times New Roman;Times;serif"/>
          <w:sz w:val="20"/>
        </w:rPr>
        <w:t xml:space="preserve"> </w:t>
      </w:r>
      <w:r>
        <w:rPr>
          <w:rFonts w:ascii="Times New Roman;Times;serif" w:hAnsi="Times New Roman;Times;serif"/>
          <w:sz w:val="22"/>
        </w:rPr>
        <w:t xml:space="preserve">below, shall be effective as provided in such </w:t>
      </w:r>
      <w:r>
        <w:rPr>
          <w:rFonts w:ascii="Times New Roman;Times;serif" w:hAnsi="Times New Roman;Times;serif"/>
          <w:sz w:val="22"/>
          <w:u w:val="single"/>
        </w:rPr>
        <w:t>subsection (b)</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Electronic Communications</w:t>
      </w:r>
      <w:r>
        <w:rPr>
          <w:rFonts w:ascii="Times New Roman;Times;serif" w:hAnsi="Times New Roman;Times;serif"/>
          <w:sz w:val="22"/>
        </w:rPr>
        <w:t xml:space="preserve">. Notices and other communications to the Administrative Agent, Lenders and the L/C Issuers hereunder may be delivered or furnished by electronic communication (including e mail, FpML messaging and Internet or intranet websites) pursuant to procedures approved by the Administrative Agent, provided that the foregoing shall not apply to notices to any Lender or any L/C Issuer pursuant to </w:t>
      </w:r>
      <w:r>
        <w:rPr>
          <w:rFonts w:ascii="Times New Roman;Times;serif" w:hAnsi="Times New Roman;Times;serif"/>
          <w:sz w:val="22"/>
          <w:u w:val="single"/>
        </w:rPr>
        <w:t>Article II</w:t>
      </w:r>
      <w:r>
        <w:rPr>
          <w:rFonts w:ascii="Times New Roman;Times;serif" w:hAnsi="Times New Roman;Times;serif"/>
          <w:sz w:val="20"/>
        </w:rPr>
        <w:t xml:space="preserve"> </w:t>
      </w:r>
      <w:r>
        <w:rPr>
          <w:rFonts w:ascii="Times New Roman;Times;serif" w:hAnsi="Times New Roman;Times;serif"/>
          <w:sz w:val="22"/>
        </w:rPr>
        <w:t xml:space="preserve">if such Lender or such L/C Issuer, as applicable, has notified the Administrative Agent or the Company, as applicable, that it is incapable of receiving notices under such Article by electronic communication. The Administrative Agent, the Swing Line Lender, any L/C Issuer or the Company may, in its discretion, agree to accept notices and other communications to it hereunder by electronic communications pursuant to procedures approved by it,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approval of such procedures may be limited to particular notices or communications.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Times;serif" w:hAnsi="Times New Roman;Times;serif"/>
          <w:sz w:val="22"/>
          <w:u w:val="single"/>
        </w:rPr>
        <w:t>clause (i)</w:t>
      </w:r>
      <w:r>
        <w:rPr>
          <w:rFonts w:ascii="Times New Roman;Times;serif" w:hAnsi="Times New Roman;Times;serif"/>
          <w:sz w:val="20"/>
        </w:rPr>
        <w:t xml:space="preserve"> </w:t>
      </w:r>
      <w:r>
        <w:rPr>
          <w:rFonts w:ascii="Times New Roman;Times;serif" w:hAnsi="Times New Roman;Times;serif"/>
          <w:sz w:val="22"/>
        </w:rPr>
        <w:t xml:space="preserve">of notification that such notice or communication is available and identifying the website address therefor,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for both clauses (i) and (ii), if such notice, email or other communication is not sent during the normal business hours of the recipient, such notice, email or communication shall be deemed to have been sent at the opening of business on the next business day for the recipient.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The Platform</w:t>
      </w:r>
      <w:r>
        <w:rPr>
          <w:rFonts w:ascii="Times New Roman;Times;serif" w:hAnsi="Times New Roman;Times;serif"/>
          <w:sz w:val="22"/>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Times New Roman;Times;serif" w:hAnsi="Times New Roman;Times;serif"/>
          <w:sz w:val="22"/>
          <w:u w:val="single"/>
        </w:rPr>
        <w:t>Agent Parties</w:t>
      </w:r>
      <w:r>
        <w:rPr>
          <w:rFonts w:ascii="Times New Roman;Times;serif" w:hAnsi="Times New Roman;Times;serif"/>
          <w:sz w:val="20"/>
        </w:rPr>
        <w:t>”</w:t>
      </w:r>
      <w:r>
        <w:rPr>
          <w:rFonts w:ascii="Times New Roman;Times;serif" w:hAnsi="Times New Roman;Times;serif"/>
          <w:sz w:val="22"/>
        </w:rPr>
        <w:t xml:space="preserve">) have any liability to any Borrower, any Lender, any L/C Issuer or any other Person for losses, claims, damages, liabilities or expenses of any kind (whether in tort, contract or otherwise) arising out of any Borrower’s or the Administrative Agent’s transmission of Borrower Materials or notices through the Platform, any other electronic platform or electronic messaging service, or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in no event shall any Agent Party have any liability to any Borrower, any Lender, any L/C Issuer or any other Person for indirect, special, incidental, consequential or punitive damages (as opposed to direct or actual damages).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Change of Address, Etc</w:t>
      </w:r>
      <w:r>
        <w:rPr>
          <w:rFonts w:ascii="Times New Roman;Times;serif" w:hAnsi="Times New Roman;Times;serif"/>
          <w:sz w:val="22"/>
        </w:rPr>
        <w:t>. Each of the Borrowers, the Administrative Agent, the L/C Issuers and the Swing Line Lender may change its address or telephone number or electronic mail address for notices and other communications hereunder by notice to the other parties hereto. Each other Lender may change its address, telephone number or electronic mail address for notices and other communications hereunder by notice to the Company, the Administrative Agent, the L/C Issuers and the Swing Line Lender. In addition, each Lender agrees to notify the Administrative Agent from time to time to ensure that the Administrative Agent has on record (i) an effective address, contact name, telephone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MNPI.</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u w:val="single"/>
        </w:rPr>
        <w:t>Reliance by Administrative Agent, L/C Issuers and Lenders</w:t>
      </w:r>
      <w:r>
        <w:rPr>
          <w:rFonts w:ascii="Times New Roman;Times;serif" w:hAnsi="Times New Roman;Times;serif"/>
          <w:sz w:val="22"/>
        </w:rPr>
        <w:t>. The Administrative Agent, the L/C Issuers and the Lenders shall be entitled to rely and act upon any notices (including telephonic or electronic notices, Committed Loan Notices, Letter of Credit Applications and Swing Line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Each Borrower shall jointly and severally indemnify the Administrative Agent, each L/C Issuer, each Lender and the Related Parties of each of them from all losses, costs, expenses and liabilities resulting from the reliance by such Person on each notice purportedly given by or on behalf of any Borrower. All telephonic notices to and other telephonic communications with the Administrative Agent may be recorded by the Administrative Agent, and each of the parties hereto hereby consents to such recording.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10.03</w:t>
      </w:r>
      <w:r>
        <w:rPr>
          <w:rFonts w:ascii="Times New Roman;Times;serif" w:hAnsi="Times New Roman;Times;serif"/>
          <w:b/>
          <w:sz w:val="22"/>
        </w:rPr>
        <w:t>No Waiver; Cumulative Remedies; Enforcement</w:t>
      </w:r>
      <w:r>
        <w:rPr>
          <w:rFonts w:ascii="Times New Roman;Times;serif" w:hAnsi="Times New Roman;Times;serif"/>
          <w:sz w:val="22"/>
        </w:rPr>
        <w:t>. 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Times New Roman;Times;serif" w:hAnsi="Times New Roman;Times;serif"/>
          <w:sz w:val="22"/>
          <w:u w:val="single"/>
        </w:rPr>
        <w:t>Section 8.02</w:t>
      </w:r>
      <w:r>
        <w:rPr>
          <w:rFonts w:ascii="Times New Roman;Times;serif" w:hAnsi="Times New Roman;Times;serif"/>
          <w:sz w:val="20"/>
        </w:rPr>
        <w:t xml:space="preserve"> </w:t>
      </w:r>
      <w:r>
        <w:rPr>
          <w:rFonts w:ascii="Times New Roman;Times;serif" w:hAnsi="Times New Roman;Times;serif"/>
          <w:sz w:val="22"/>
        </w:rPr>
        <w:t xml:space="preserve">for the benefit of all the Lenders and all the L/C Issuers;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the foregoing shall not prohibit (a) the Administrative Agent from exercising on its own behalf the rights and remedies that inure to its benefit (solely in its capacity as Administrative Agent) hereunder and under the other Loan Documents, (b) any L/C Issuer or the Swing Line Lender from exercising the rights and remedies that inure to its benefit (solely in its capacity as an L/C Issuer or Swing Line Lender, as the case may be) hereunder and under the other Loan Documents, (c) any Lender from exercising setoff rights in accordance with </w:t>
      </w:r>
      <w:r>
        <w:rPr>
          <w:rFonts w:ascii="Times New Roman;Times;serif" w:hAnsi="Times New Roman;Times;serif"/>
          <w:sz w:val="22"/>
          <w:u w:val="single"/>
        </w:rPr>
        <w:t>Section 10.08</w:t>
      </w:r>
      <w:r>
        <w:rPr>
          <w:rFonts w:ascii="Times New Roman;Times;serif" w:hAnsi="Times New Roman;Times;serif"/>
          <w:sz w:val="20"/>
        </w:rPr>
        <w:t xml:space="preserve"> </w:t>
      </w:r>
      <w:r>
        <w:rPr>
          <w:rFonts w:ascii="Times New Roman;Times;serif" w:hAnsi="Times New Roman;Times;serif"/>
          <w:sz w:val="22"/>
        </w:rPr>
        <w:t xml:space="preserve">(subject to the terms of </w:t>
      </w:r>
      <w:r>
        <w:rPr>
          <w:rFonts w:ascii="Times New Roman;Times;serif" w:hAnsi="Times New Roman;Times;serif"/>
          <w:sz w:val="22"/>
          <w:u w:val="single"/>
        </w:rPr>
        <w:t>Section 2.13</w:t>
      </w:r>
      <w:r>
        <w:rPr>
          <w:rFonts w:ascii="Times New Roman;Times;serif" w:hAnsi="Times New Roman;Times;serif"/>
          <w:sz w:val="22"/>
        </w:rPr>
        <w:t xml:space="preserve">), or (d) any Lender from filing proofs of claim or appearing and filing pleadings on its own behalf during the pendency of a proceeding relative to any Loan Party under any Debtor Relief Law; and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that if at any time there is no Person acting as Administrative Agent hereunder and under the other Loan</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Documents, then (i) the Required Lenders shall have the rights otherwise ascribed to the Administrative Agent pursuant to </w:t>
      </w:r>
      <w:r>
        <w:rPr>
          <w:rFonts w:ascii="Times New Roman;Times;serif" w:hAnsi="Times New Roman;Times;serif"/>
          <w:sz w:val="22"/>
          <w:u w:val="single"/>
        </w:rPr>
        <w:t>Section 8.02</w:t>
      </w:r>
      <w:r>
        <w:rPr>
          <w:rFonts w:ascii="Times New Roman;Times;serif" w:hAnsi="Times New Roman;Times;serif"/>
          <w:sz w:val="20"/>
        </w:rPr>
        <w:t xml:space="preserve"> </w:t>
      </w:r>
      <w:r>
        <w:rPr>
          <w:rFonts w:ascii="Times New Roman;Times;serif" w:hAnsi="Times New Roman;Times;serif"/>
          <w:sz w:val="22"/>
        </w:rPr>
        <w:t xml:space="preserve">and (ii) in addition to the matters set forth in </w:t>
      </w:r>
      <w:r>
        <w:rPr>
          <w:rFonts w:ascii="Times New Roman;Times;serif" w:hAnsi="Times New Roman;Times;serif"/>
          <w:sz w:val="22"/>
          <w:u w:val="single"/>
        </w:rPr>
        <w:t>clauses (b)</w:t>
      </w:r>
      <w:r>
        <w:rPr>
          <w:rFonts w:ascii="Times New Roman;Times;serif" w:hAnsi="Times New Roman;Times;serif"/>
          <w:sz w:val="22"/>
        </w:rPr>
        <w:t xml:space="preserve">, </w:t>
      </w:r>
      <w:r>
        <w:rPr>
          <w:rFonts w:ascii="Times New Roman;Times;serif" w:hAnsi="Times New Roman;Times;serif"/>
          <w:sz w:val="22"/>
          <w:u w:val="single"/>
        </w:rPr>
        <w:t>(c)</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(d)</w:t>
      </w:r>
      <w:r>
        <w:rPr>
          <w:rFonts w:ascii="Times New Roman;Times;serif" w:hAnsi="Times New Roman;Times;serif"/>
          <w:sz w:val="20"/>
        </w:rPr>
        <w:t xml:space="preserve"> </w:t>
      </w:r>
      <w:r>
        <w:rPr>
          <w:rFonts w:ascii="Times New Roman;Times;serif" w:hAnsi="Times New Roman;Times;serif"/>
          <w:sz w:val="22"/>
        </w:rPr>
        <w:t xml:space="preserve">of the preceding proviso and subject to </w:t>
      </w:r>
      <w:r>
        <w:rPr>
          <w:rFonts w:ascii="Times New Roman;Times;serif" w:hAnsi="Times New Roman;Times;serif"/>
          <w:sz w:val="22"/>
          <w:u w:val="single"/>
        </w:rPr>
        <w:t>Section 2.13</w:t>
      </w:r>
      <w:r>
        <w:rPr>
          <w:rFonts w:ascii="Times New Roman;Times;serif" w:hAnsi="Times New Roman;Times;serif"/>
          <w:sz w:val="22"/>
        </w:rPr>
        <w:t>, any Lender may, with the consent of the Required Lenders, enforce any rights and remedies available to it and as authorized by the Required Lenders.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10.04</w:t>
      </w:r>
      <w:r>
        <w:rPr>
          <w:rFonts w:ascii="Times New Roman;Times;serif" w:hAnsi="Times New Roman;Times;serif"/>
          <w:b/>
          <w:sz w:val="22"/>
        </w:rPr>
        <w:t>Expenses; Indemnity; Damage Waiver</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Costs and Expenses</w:t>
      </w:r>
      <w:r>
        <w:rPr>
          <w:rFonts w:ascii="Times New Roman;Times;serif" w:hAnsi="Times New Roman;Times;serif"/>
          <w:sz w:val="22"/>
        </w:rPr>
        <w:t xml:space="preserve">. The Borrowers, jointly and severally, shall pay (i) all reasonable and documented out of pocket costs and expenses incurred by the Administrative Agent and its Affiliates (including the reasonable fees, charges and disbursements of counsel for the Administrative Agent and BofA Securities, Inc.; </w:t>
      </w:r>
      <w:r>
        <w:rPr>
          <w:rFonts w:ascii="Times New Roman;Times;serif" w:hAnsi="Times New Roman;Times;serif"/>
          <w:sz w:val="22"/>
          <w:u w:val="single"/>
        </w:rPr>
        <w:t>provided that</w:t>
      </w:r>
      <w:r>
        <w:rPr>
          <w:rFonts w:ascii="Times New Roman;Times;serif" w:hAnsi="Times New Roman;Times;serif"/>
          <w:sz w:val="20"/>
        </w:rPr>
        <w:t xml:space="preserve"> </w:t>
      </w:r>
      <w:r>
        <w:rPr>
          <w:rFonts w:ascii="Times New Roman;Times;serif" w:hAnsi="Times New Roman;Times;serif"/>
          <w:sz w:val="22"/>
        </w:rPr>
        <w:t>such counsel’s reasonable fees, charges and disbursements shall be limited to (i) one law firm acting as transaction counsel for the Administrative Agent and BofA Securities, Inc., and (ii) one law firm acting as special and local counsel in each applicable jurisdiction in which the Administrative Agent reasonably determines such local counsel to be necessary),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 of pocket expenses incurred by any L/C Issuer in connection with the issuance, amendment, renewal or extension of any Letter of Credit or any demand for payment thereunder and (iii) all out of pocket expenses incurred by the Administrative Agent, any Lender or any L/C Issuer (including the fees, charges and disbursements of any counsel for the Administrative Agent, any Lender or any L/C Issuer), and shall pay all fees and time charges for attorneys who may be employees of the Administrative Agent, any Lender or any L/C Issuer, in connection with the enforcement or protection of its rights (A) in connection with this Agreement and the other Loan Documents, including its rights under this Section, or (B) in connection with the Loans made or Letters of Credit issued hereunder, including all such out of pocket expenses incurred during any workout, restructuring or negotiations in respect of such Loans or Letters of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Indemnification by the Borrowers</w:t>
      </w:r>
      <w:r>
        <w:rPr>
          <w:rFonts w:ascii="Times New Roman;Times;serif" w:hAnsi="Times New Roman;Times;serif"/>
          <w:sz w:val="22"/>
        </w:rPr>
        <w:t>. Each Borrower shall jointly and severally indemnify the Administrative Agent (and any sub-agent thereof), each Lender and each L/C Issuer, and each Related Party of any of the foregoing Persons (each such Person being called an “</w:t>
      </w:r>
      <w:r>
        <w:rPr>
          <w:rFonts w:ascii="Times New Roman;Times;serif" w:hAnsi="Times New Roman;Times;serif"/>
          <w:sz w:val="22"/>
          <w:u w:val="single"/>
        </w:rPr>
        <w:t>Indemnitee</w:t>
      </w:r>
      <w:r>
        <w:rPr>
          <w:rFonts w:ascii="Times New Roman;Times;serif" w:hAnsi="Times New Roman;Times;serif"/>
          <w:sz w:val="20"/>
        </w:rPr>
        <w:t>”</w:t>
      </w:r>
      <w:r>
        <w:rPr>
          <w:rFonts w:ascii="Times New Roman;Times;serif" w:hAnsi="Times New Roman;Times;serif"/>
          <w:sz w:val="22"/>
        </w:rPr>
        <w:t xml:space="preserve">) against, and hold each Indemnitee harmless from, any and all losses, claims, damages, liabilities and related expenses (including the reasonable fees, charges and disbursements of any counsel for any Indemnitee), and shall jointly and severally indemnify and hold harmless each Indemnitee from all fees and time charges and disbursements for attorneys who may be employees of any Indemnitee, incurred by any Indemnitee or asserted against any Indemnitee by any third party or by any Borrower or any other Loan Party arising out of, in connection with, or as a result of (i) the execution or delivery of the Commitment Letter (including the Summary of Terms), this Agreement, any other Loan Document or any agreement or instrument contemplated hereby or thereby (including, without limitation, the Indemnitee’s reliance on any Communication executed using an Electronic Signature, or in the form of an Electronic Record), the performance by the parties hereto of their respective obligations hereunder or thereunder or the consummation of the transactions contemplated hereby or thereby, or any other aspect of any transaction contemplated by the Commitment Letter (including the Summary of Terms) or, in the case of the Administrative Agent (and any sub-agent thereof) and its Related Parties only, the administration of this Agreement and the other Loan Documents (including in respect of any matters addressed in </w:t>
      </w:r>
      <w:r>
        <w:rPr>
          <w:rFonts w:ascii="Times New Roman;Times;serif" w:hAnsi="Times New Roman;Times;serif"/>
          <w:sz w:val="22"/>
          <w:u w:val="single"/>
        </w:rPr>
        <w:t>Section 3.01</w:t>
      </w:r>
      <w:r>
        <w:rPr>
          <w:rFonts w:ascii="Times New Roman;Times;serif" w:hAnsi="Times New Roman;Times;serif"/>
          <w:sz w:val="22"/>
        </w:rPr>
        <w:t>), (ii) any Loan or Letter of Credit or any use made (or proposed to be made, including any use proposed in the Commitment Letter or Summary of Terms to be made) of proceeds therefrom (including any refusal by an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operated by any Borrower or any of its Subsidiaries, or any Environmental Liability related in any way to any Borrower or any of its Subsidiaries, or (iv) any actual or prospective claim, litigation, investigation or proceeding relating to any of the foregoing, whether based on contract, tort or any other theory, whether brought by a third party or by the Company or any other Loan Party, and regardless of whether any Indemnitee is a party thereto, in all cases, whether or not caused by or arising, in whole or in part, out of the comparative, contributory or sole negligence of the Indemnitee;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Company or any other Loan Party against an Indemnitee for breach in bad faith of such Indemnitee’s obligations hereunder, under any other Loan Document or under the Commitment Letter (including the Summary of Terms), if the Company or such other Loan Party has obtained a final and nonappealable judgment in its favor on such claim as determined by a court of competent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Reimbursement by Lenders</w:t>
      </w:r>
      <w:r>
        <w:rPr>
          <w:rFonts w:ascii="Times New Roman;Times;serif" w:hAnsi="Times New Roman;Times;serif"/>
          <w:sz w:val="22"/>
        </w:rPr>
        <w:t xml:space="preserve">. To the extent that the Borrowers for any reason fail to indefeasibly pay any amount required under </w:t>
      </w:r>
      <w:r>
        <w:rPr>
          <w:rFonts w:ascii="Times New Roman;Times;serif" w:hAnsi="Times New Roman;Times;serif"/>
          <w:sz w:val="22"/>
          <w:u w:val="single"/>
        </w:rPr>
        <w:t>subsection (a)</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(b)</w:t>
      </w:r>
      <w:r>
        <w:rPr>
          <w:rFonts w:ascii="Times New Roman;Times;serif" w:hAnsi="Times New Roman;Times;serif"/>
          <w:sz w:val="20"/>
        </w:rPr>
        <w:t xml:space="preserve"> </w:t>
      </w:r>
      <w:r>
        <w:rPr>
          <w:rFonts w:ascii="Times New Roman;Times;serif" w:hAnsi="Times New Roman;Times;serif"/>
          <w:sz w:val="22"/>
        </w:rPr>
        <w:t xml:space="preserve">of this Section to be paid by it to the Administrative Agent (or any sub-agent thereof), any L/C Issuer, the Swing Line Lender or any Related Party of any of the foregoing, each Lender severally agrees to pay to the Administrative Agent (or any such sub-agent), such L/C Issuer, the Swing 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xml:space="preserve">, that the unreimbursed expense or indemnified loss, claim, damage, liability or related expense, as the case may be, was incurred by or asserted against the Administrative Agent (or any such sub-agent) or any L/C Issuer or the Swing Line Lender in its capacity as such, or against any Related Party of any of the foregoing acting for the Administrative Agent (or any such sub-agent) such L/C Issuer or the Swing Line Lender in connection with such capacity. The obligations of the Lenders under this </w:t>
      </w:r>
      <w:r>
        <w:rPr>
          <w:rFonts w:ascii="Times New Roman;Times;serif" w:hAnsi="Times New Roman;Times;serif"/>
          <w:sz w:val="22"/>
          <w:u w:val="single"/>
        </w:rPr>
        <w:t>subsection (c)</w:t>
      </w:r>
      <w:r>
        <w:rPr>
          <w:rFonts w:ascii="Times New Roman;Times;serif" w:hAnsi="Times New Roman;Times;serif"/>
          <w:sz w:val="20"/>
        </w:rPr>
        <w:t xml:space="preserve"> </w:t>
      </w:r>
      <w:r>
        <w:rPr>
          <w:rFonts w:ascii="Times New Roman;Times;serif" w:hAnsi="Times New Roman;Times;serif"/>
          <w:sz w:val="22"/>
        </w:rPr>
        <w:t xml:space="preserve">are subject to the provisions of </w:t>
      </w:r>
      <w:r>
        <w:rPr>
          <w:rFonts w:ascii="Times New Roman;Times;serif" w:hAnsi="Times New Roman;Times;serif"/>
          <w:sz w:val="22"/>
          <w:u w:val="single"/>
        </w:rPr>
        <w:t>Section 2.12(d)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Waiver of Consequential Damages, Etc</w:t>
      </w:r>
      <w:r>
        <w:rPr>
          <w:rFonts w:ascii="Times New Roman;Times;serif" w:hAnsi="Times New Roman;Times;serif"/>
          <w:sz w:val="22"/>
        </w:rPr>
        <w:t xml:space="preserve">. To the fullest extent permitted by applicable law, no Borrower shall assert, and hereby waives, and acknowledges that no other Person shall have, any claim against any Indemnitee, on any theory of liability, for special, indirect, consequential or punitive damages (as opposed to direct or actual damages) arising out of, in connection with, or as a result of, the Commitment Letter (including the Summary of Terms), this Agreement, any other Loan Document or any agreement or instrument contemplated hereby, the transactions contemplated hereby or thereby, any Loan or Letter of Credit or any use made (or proposed to be made, including any use proposed in the Commitment Letter or Summary of Terms to be made) of proceeds therefrom. No Indemnitee referred to in </w:t>
      </w:r>
      <w:r>
        <w:rPr>
          <w:rFonts w:ascii="Times New Roman;Times;serif" w:hAnsi="Times New Roman;Times;serif"/>
          <w:sz w:val="22"/>
          <w:u w:val="single"/>
        </w:rPr>
        <w:t>subsection (b)</w:t>
      </w:r>
      <w:r>
        <w:rPr>
          <w:rFonts w:ascii="Times New Roman;Times;serif" w:hAnsi="Times New Roman;Times;serif"/>
          <w:sz w:val="20"/>
        </w:rPr>
        <w:t xml:space="preserve"> </w:t>
      </w:r>
      <w:r>
        <w:rPr>
          <w:rFonts w:ascii="Times New Roman;Times;serif" w:hAnsi="Times New Roman;Times;serif"/>
          <w:sz w:val="22"/>
        </w:rPr>
        <w:t>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nonappealable judgment of a court of competent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u w:val="single"/>
        </w:rPr>
        <w:t>Payments</w:t>
      </w:r>
      <w:r>
        <w:rPr>
          <w:rFonts w:ascii="Times New Roman;Times;serif" w:hAnsi="Times New Roman;Times;serif"/>
          <w:sz w:val="22"/>
        </w:rPr>
        <w:t xml:space="preserve">. All amounts due under this </w:t>
      </w:r>
      <w:r>
        <w:rPr>
          <w:rFonts w:ascii="Times New Roman;Times;serif" w:hAnsi="Times New Roman;Times;serif"/>
          <w:sz w:val="22"/>
          <w:u w:val="single"/>
        </w:rPr>
        <w:t>Section 10.04</w:t>
      </w:r>
      <w:r>
        <w:rPr>
          <w:rFonts w:ascii="Times New Roman;Times;serif" w:hAnsi="Times New Roman;Times;serif"/>
          <w:sz w:val="20"/>
        </w:rPr>
        <w:t xml:space="preserve"> </w:t>
      </w:r>
      <w:r>
        <w:rPr>
          <w:rFonts w:ascii="Times New Roman;Times;serif" w:hAnsi="Times New Roman;Times;serif"/>
          <w:sz w:val="22"/>
        </w:rPr>
        <w:t>shall be payable not later than 10 Business Days after demand therefor.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u w:val="single"/>
        </w:rPr>
        <w:t>Survival</w:t>
      </w:r>
      <w:r>
        <w:rPr>
          <w:rFonts w:ascii="Times New Roman;Times;serif" w:hAnsi="Times New Roman;Times;serif"/>
          <w:sz w:val="22"/>
        </w:rPr>
        <w:t xml:space="preserve">. The agreements in this </w:t>
      </w:r>
      <w:r>
        <w:rPr>
          <w:rFonts w:ascii="Times New Roman;Times;serif" w:hAnsi="Times New Roman;Times;serif"/>
          <w:sz w:val="22"/>
          <w:u w:val="single"/>
        </w:rPr>
        <w:t>Section 10.04</w:t>
      </w:r>
      <w:r>
        <w:rPr>
          <w:rFonts w:ascii="Times New Roman;Times;serif" w:hAnsi="Times New Roman;Times;serif"/>
          <w:sz w:val="20"/>
        </w:rPr>
        <w:t xml:space="preserve"> </w:t>
      </w:r>
      <w:r>
        <w:rPr>
          <w:rFonts w:ascii="Times New Roman;Times;serif" w:hAnsi="Times New Roman;Times;serif"/>
          <w:sz w:val="22"/>
        </w:rPr>
        <w:t xml:space="preserve">and the indemnity provisions of </w:t>
      </w:r>
      <w:r>
        <w:rPr>
          <w:rFonts w:ascii="Times New Roman;Times;serif" w:hAnsi="Times New Roman;Times;serif"/>
          <w:sz w:val="22"/>
          <w:u w:val="single"/>
        </w:rPr>
        <w:t>Section 10.02(e)</w:t>
      </w:r>
      <w:r>
        <w:rPr>
          <w:rFonts w:ascii="Times New Roman;Times;serif" w:hAnsi="Times New Roman;Times;serif"/>
          <w:sz w:val="20"/>
        </w:rPr>
        <w:t xml:space="preserve"> </w:t>
      </w:r>
      <w:r>
        <w:rPr>
          <w:rFonts w:ascii="Times New Roman;Times;serif" w:hAnsi="Times New Roman;Times;serif"/>
          <w:sz w:val="22"/>
        </w:rPr>
        <w:t>shall survive the resignation of the Administrative Agent, any L/C Issuer and the Swing Line Lender, the replacement of any Lender, the termination of the Aggregate Commitments and the repayment, satisfaction or discharge of all the other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10.05</w:t>
      </w:r>
      <w:r>
        <w:rPr>
          <w:rFonts w:ascii="Times New Roman;Times;serif" w:hAnsi="Times New Roman;Times;serif"/>
          <w:b/>
          <w:sz w:val="22"/>
        </w:rPr>
        <w:t>Payments Set Aside</w:t>
      </w:r>
      <w:r>
        <w:rPr>
          <w:rFonts w:ascii="Times New Roman;Times;serif" w:hAnsi="Times New Roman;Times;serif"/>
          <w:sz w:val="22"/>
        </w:rPr>
        <w:t xml:space="preserve">. To the extent that any payment by or on behalf of any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interest thereon from the date of such demand to the date such payment is made at a rate per annum equal to the applicable Overnight Rate from time to time in effect, in the applicable currency of such recovery or payment. The obligations of the Lenders and the L/C Issuers under </w:t>
      </w:r>
      <w:r>
        <w:rPr>
          <w:rFonts w:ascii="Times New Roman;Times;serif" w:hAnsi="Times New Roman;Times;serif"/>
          <w:sz w:val="22"/>
          <w:u w:val="single"/>
        </w:rPr>
        <w:t>clause (b)</w:t>
      </w:r>
      <w:r>
        <w:rPr>
          <w:rFonts w:ascii="Times New Roman;Times;serif" w:hAnsi="Times New Roman;Times;serif"/>
          <w:sz w:val="20"/>
        </w:rPr>
        <w:t xml:space="preserve"> </w:t>
      </w:r>
      <w:r>
        <w:rPr>
          <w:rFonts w:ascii="Times New Roman;Times;serif" w:hAnsi="Times New Roman;Times;serif"/>
          <w:sz w:val="22"/>
        </w:rPr>
        <w:t>of the preceding sentence shall survive the payment in full of the Obligations and the termination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10.06</w:t>
      </w:r>
      <w:r>
        <w:rPr>
          <w:rFonts w:ascii="Times New Roman;Times;serif" w:hAnsi="Times New Roman;Times;serif"/>
          <w:b/>
          <w:sz w:val="22"/>
        </w:rPr>
        <w:t>Successors and Assigns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Successors and Assigns Generally</w:t>
      </w:r>
      <w:r>
        <w:rPr>
          <w:rFonts w:ascii="Times New Roman;Times;serif" w:hAnsi="Times New Roman;Times;serif"/>
          <w:sz w:val="22"/>
        </w:rPr>
        <w:t xml:space="preserve">. The provisions of this Agreement shall be binding upon and inure to the benefit of the parties hereto and their respective successors and assigns permitted hereby, except that no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Times New Roman;Times;serif" w:hAnsi="Times New Roman;Times;serif"/>
          <w:sz w:val="22"/>
          <w:u w:val="single"/>
        </w:rPr>
        <w:t>subsection (b)</w:t>
      </w:r>
      <w:r>
        <w:rPr>
          <w:rFonts w:ascii="Times New Roman;Times;serif" w:hAnsi="Times New Roman;Times;serif"/>
          <w:sz w:val="20"/>
        </w:rPr>
        <w:t xml:space="preserve"> </w:t>
      </w:r>
      <w:r>
        <w:rPr>
          <w:rFonts w:ascii="Times New Roman;Times;serif" w:hAnsi="Times New Roman;Times;serif"/>
          <w:sz w:val="22"/>
        </w:rPr>
        <w:t xml:space="preserve">of this Section, (ii) by way of participation in accordance with the provisions of </w:t>
      </w:r>
      <w:r>
        <w:rPr>
          <w:rFonts w:ascii="Times New Roman;Times;serif" w:hAnsi="Times New Roman;Times;serif"/>
          <w:sz w:val="22"/>
          <w:u w:val="single"/>
        </w:rPr>
        <w:t>subsection (d)</w:t>
      </w:r>
      <w:r>
        <w:rPr>
          <w:rFonts w:ascii="Times New Roman;Times;serif" w:hAnsi="Times New Roman;Times;serif"/>
          <w:sz w:val="20"/>
        </w:rPr>
        <w:t xml:space="preserve"> </w:t>
      </w:r>
      <w:r>
        <w:rPr>
          <w:rFonts w:ascii="Times New Roman;Times;serif" w:hAnsi="Times New Roman;Times;serif"/>
          <w:sz w:val="22"/>
        </w:rPr>
        <w:t xml:space="preserve">of this Section, or (iii) by way of pledge or assignment of a security interest subject to the restrictions of </w:t>
      </w:r>
      <w:r>
        <w:rPr>
          <w:rFonts w:ascii="Times New Roman;Times;serif" w:hAnsi="Times New Roman;Times;serif"/>
          <w:sz w:val="22"/>
          <w:u w:val="single"/>
        </w:rPr>
        <w:t>subsection (g)</w:t>
      </w:r>
      <w:r>
        <w:rPr>
          <w:rFonts w:ascii="Times New Roman;Times;serif" w:hAnsi="Times New Roman;Times;serif"/>
          <w:sz w:val="20"/>
        </w:rPr>
        <w:t xml:space="preserve"> </w:t>
      </w:r>
      <w:r>
        <w:rPr>
          <w:rFonts w:ascii="Times New Roman;Times;serif" w:hAnsi="Times New Roman;Times;serif"/>
          <w:sz w:val="22"/>
        </w:rPr>
        <w:t xml:space="preserve">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Times;serif" w:hAnsi="Times New Roman;Times;serif"/>
          <w:sz w:val="22"/>
          <w:u w:val="single"/>
        </w:rPr>
        <w:t>subsection (d)</w:t>
      </w:r>
      <w:r>
        <w:rPr>
          <w:rFonts w:ascii="Times New Roman;Times;serif" w:hAnsi="Times New Roman;Times;serif"/>
          <w:sz w:val="20"/>
        </w:rPr>
        <w:t xml:space="preserve"> </w:t>
      </w:r>
      <w:r>
        <w:rPr>
          <w:rFonts w:ascii="Times New Roman;Times;serif" w:hAnsi="Times New Roman;Times;serif"/>
          <w:sz w:val="22"/>
        </w:rPr>
        <w:t>of this Section and, to the extent expressly contemplated hereby, the Related Parties of each of the Administrative Agent, the L/C Issuers and the Lenders) any legal or equitable right, remedy or claim under or by reason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Assignments by Lenders</w:t>
      </w:r>
      <w:r>
        <w:rPr>
          <w:rFonts w:ascii="Times New Roman;Times;serif" w:hAnsi="Times New Roman;Times;serif"/>
          <w:sz w:val="22"/>
        </w:rPr>
        <w:t xml:space="preserve">. Any Lender may at any time assign to one or more assignees all or a portion of its rights and obligations under this Agreement (including all or a portion of its Commitment and the Loans (including for purposes of this </w:t>
      </w:r>
      <w:r>
        <w:rPr>
          <w:rFonts w:ascii="Times New Roman;Times;serif" w:hAnsi="Times New Roman;Times;serif"/>
          <w:sz w:val="22"/>
          <w:u w:val="single"/>
        </w:rPr>
        <w:t>subsection (b)</w:t>
      </w:r>
      <w:r>
        <w:rPr>
          <w:rFonts w:ascii="Times New Roman;Times;serif" w:hAnsi="Times New Roman;Times;serif"/>
          <w:sz w:val="22"/>
        </w:rPr>
        <w:t xml:space="preserve">, participations in L/C Obligations and in Swing Line Loans) at the time owing to it);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any such assignment shall be subject to the following conditions: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u w:val="single"/>
        </w:rPr>
        <w:t>Minimum Amounts</w:t>
      </w:r>
      <w:r>
        <w:rPr>
          <w:rFonts w:ascii="Times New Roman;Times;serif" w:hAnsi="Times New Roman;Times;serif"/>
          <w:sz w:val="22"/>
        </w:rPr>
        <w:t>:</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z w:val="22"/>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HorizontalLine"/>
        <w:pBdr>
          <w:bottom w:val="double" w:sz="2" w:space="0" w:color="808080"/>
        </w:pBdr>
        <w:bidi w:val="0"/>
        <w:spacing w:before="0" w:after="283"/>
        <w:jc w:val="left"/>
        <w:rPr/>
      </w:pPr>
      <w:r>
        <w:rPr/>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2"/>
        </w:rPr>
        <w:t xml:space="preserve">in any case not described in </w:t>
      </w:r>
      <w:r>
        <w:rPr>
          <w:rFonts w:ascii="Times New Roman;Times;serif" w:hAnsi="Times New Roman;Times;serif"/>
          <w:sz w:val="22"/>
          <w:u w:val="single"/>
        </w:rPr>
        <w:t>subsection (b)(i)(A)</w:t>
      </w:r>
      <w:r>
        <w:rPr>
          <w:rFonts w:ascii="Times New Roman;Times;serif" w:hAnsi="Times New Roman;Times;serif"/>
          <w:sz w:val="20"/>
        </w:rPr>
        <w:t xml:space="preserve"> </w:t>
      </w:r>
      <w:r>
        <w:rPr>
          <w:rFonts w:ascii="Times New Roman;Times;serif" w:hAnsi="Times New Roman;Times;serif"/>
          <w:sz w:val="22"/>
        </w:rPr>
        <w:t xml:space="preserve">of this Section,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has occurred and is continuing, the Company otherwise consents (each such consent not to be unreasonably withheld or delayed);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u w:val="single"/>
        </w:rPr>
        <w:t>Proportionate Amounts</w:t>
      </w:r>
      <w:r>
        <w:rPr>
          <w:rFonts w:ascii="Times New Roman;Times;serif" w:hAnsi="Times New Roman;Times;serif"/>
          <w:sz w:val="22"/>
        </w:rPr>
        <w:t xml:space="preserve">. Each partial assignment shall be made as an assignment of a proportionate part of all the assigning Lender’s rights and obligations under this Agreement with respect to the Loans or the Commitment assigned, except that this </w:t>
      </w:r>
      <w:r>
        <w:rPr>
          <w:rFonts w:ascii="Times New Roman;Times;serif" w:hAnsi="Times New Roman;Times;serif"/>
          <w:sz w:val="22"/>
          <w:u w:val="single"/>
        </w:rPr>
        <w:t>clause (ii)</w:t>
      </w:r>
      <w:r>
        <w:rPr>
          <w:rFonts w:ascii="Times New Roman;Times;serif" w:hAnsi="Times New Roman;Times;serif"/>
          <w:sz w:val="20"/>
        </w:rPr>
        <w:t xml:space="preserve"> </w:t>
      </w:r>
      <w:r>
        <w:rPr>
          <w:rFonts w:ascii="Times New Roman;Times;serif" w:hAnsi="Times New Roman;Times;serif"/>
          <w:sz w:val="22"/>
        </w:rPr>
        <w:t>shall not apply to the Swing Line Lender’s rights and obligations in respect of Swing Line Loans;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u w:val="single"/>
        </w:rPr>
        <w:t>Required Consents</w:t>
      </w:r>
      <w:r>
        <w:rPr>
          <w:rFonts w:ascii="Times New Roman;Times;serif" w:hAnsi="Times New Roman;Times;serif"/>
          <w:sz w:val="22"/>
        </w:rPr>
        <w:t xml:space="preserve">. No consent shall be required for any assignment except to the extent required by </w:t>
      </w:r>
      <w:r>
        <w:rPr>
          <w:rFonts w:ascii="Times New Roman;Times;serif" w:hAnsi="Times New Roman;Times;serif"/>
          <w:sz w:val="22"/>
          <w:u w:val="single"/>
        </w:rPr>
        <w:t>subsection (b)(i)(B)</w:t>
      </w:r>
      <w:r>
        <w:rPr>
          <w:rFonts w:ascii="Times New Roman;Times;serif" w:hAnsi="Times New Roman;Times;serif"/>
          <w:sz w:val="20"/>
        </w:rPr>
        <w:t xml:space="preserve"> </w:t>
      </w:r>
      <w:r>
        <w:rPr>
          <w:rFonts w:ascii="Times New Roman;Times;serif" w:hAnsi="Times New Roman;Times;serif"/>
          <w:sz w:val="22"/>
        </w:rPr>
        <w:t>of this Section and, in addition:</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(A)</w:t>
      </w:r>
      <w:r>
        <w:rPr>
          <w:rFonts w:ascii="Times New Roman;Times;serif" w:hAnsi="Times New Roman;Times;serif"/>
          <w:sz w:val="22"/>
        </w:rPr>
        <w:t xml:space="preserve">the consent of the Company (such consent not to be unreasonably withheld or delayed) shall be required unless (1) an Event of Default under </w:t>
      </w:r>
      <w:r>
        <w:rPr>
          <w:rFonts w:ascii="Times New Roman;Times;serif" w:hAnsi="Times New Roman;Times;serif"/>
          <w:sz w:val="22"/>
          <w:u w:val="single"/>
        </w:rPr>
        <w:t>Section 8.01(a)</w:t>
      </w:r>
      <w:r>
        <w:rPr>
          <w:rFonts w:ascii="Times New Roman;Times;serif" w:hAnsi="Times New Roman;Times;serif"/>
          <w:sz w:val="22"/>
        </w:rPr>
        <w:t xml:space="preserve">, </w:t>
      </w:r>
      <w:r>
        <w:rPr>
          <w:rFonts w:ascii="Times New Roman;Times;serif" w:hAnsi="Times New Roman;Times;serif"/>
          <w:sz w:val="22"/>
          <w:u w:val="single"/>
        </w:rPr>
        <w:t>(b)</w:t>
      </w:r>
      <w:r>
        <w:rPr>
          <w:rFonts w:ascii="Times New Roman;Times;serif" w:hAnsi="Times New Roman;Times;serif"/>
          <w:sz w:val="20"/>
        </w:rPr>
        <w:t xml:space="preserve"> </w:t>
      </w:r>
      <w:r>
        <w:rPr>
          <w:rFonts w:ascii="Times New Roman;Times;serif" w:hAnsi="Times New Roman;Times;serif"/>
          <w:sz w:val="22"/>
        </w:rPr>
        <w:t xml:space="preserve">(with respect to the terms, covenants and agreements contained in </w:t>
      </w:r>
      <w:r>
        <w:rPr>
          <w:rFonts w:ascii="Times New Roman;Times;serif" w:hAnsi="Times New Roman;Times;serif"/>
          <w:sz w:val="22"/>
          <w:u w:val="single"/>
        </w:rPr>
        <w:t>Article VII</w:t>
      </w:r>
      <w:r>
        <w:rPr>
          <w:rFonts w:ascii="Times New Roman;Times;serif" w:hAnsi="Times New Roman;Times;serif"/>
          <w:sz w:val="20"/>
        </w:rPr>
        <w:t xml:space="preserve"> </w:t>
      </w:r>
      <w:r>
        <w:rPr>
          <w:rFonts w:ascii="Times New Roman;Times;serif" w:hAnsi="Times New Roman;Times;serif"/>
          <w:sz w:val="22"/>
        </w:rPr>
        <w:t xml:space="preserve">only) or </w:t>
      </w:r>
      <w:r>
        <w:rPr>
          <w:rFonts w:ascii="Times New Roman;Times;serif" w:hAnsi="Times New Roman;Times;serif"/>
          <w:sz w:val="22"/>
          <w:u w:val="single"/>
        </w:rPr>
        <w:t>(f)</w:t>
      </w:r>
      <w:r>
        <w:rPr>
          <w:rFonts w:ascii="Times New Roman;Times;serif" w:hAnsi="Times New Roman;Times;serif"/>
          <w:sz w:val="20"/>
        </w:rPr>
        <w:t xml:space="preserve"> </w:t>
      </w:r>
      <w:r>
        <w:rPr>
          <w:rFonts w:ascii="Times New Roman;Times;serif" w:hAnsi="Times New Roman;Times;serif"/>
          <w:sz w:val="22"/>
        </w:rPr>
        <w:t xml:space="preserve">has occurred and is continuing at the time of such assignment or (2) such assignment is to a Lender, an Affiliate of a Lender or an Approved Fund,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Company shall be deemed to have consented to any such assignment unless it shall have objected thereto by written notice to the Administrative Agent within 10 Business Days after having received notice thereof;</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(B)</w:t>
      </w:r>
      <w:r>
        <w:rPr>
          <w:rFonts w:ascii="Times New Roman;Times;serif" w:hAnsi="Times New Roman;Times;serif"/>
          <w:sz w:val="22"/>
        </w:rPr>
        <w:t>the consent of the Administrative Agent (such consent not to be unreasonably withheld or delayed) shall be required if such assignment is to a Person that is not a Lender, an Affiliate of such Lender or an Approved Fund with respect to such Lender;</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(C)</w:t>
      </w:r>
      <w:r>
        <w:rPr>
          <w:rFonts w:ascii="Times New Roman;Times;serif" w:hAnsi="Times New Roman;Times;serif"/>
          <w:sz w:val="22"/>
        </w:rPr>
        <w:t>the consent of each L/C Issuer (such consent not to be unreasonably withheld or delayed) shall be required for any assignment that increases the obligation of the assignee to participate in exposure under one or more Letters of Credit (whether or not then outstanding); and</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0"/>
        </w:rPr>
        <w:t>(D)</w:t>
      </w:r>
      <w:r>
        <w:rPr>
          <w:rFonts w:ascii="Times New Roman;Times;serif" w:hAnsi="Times New Roman;Times;serif"/>
          <w:sz w:val="22"/>
        </w:rPr>
        <w:t>the consent of the Swing Line Lender (such consent not to be unreasonably withheld or delayed) shall be required for any assignment.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u w:val="single"/>
        </w:rPr>
        <w:t>Assignment and Assumption</w:t>
      </w:r>
      <w:r>
        <w:rPr>
          <w:rFonts w:ascii="Times New Roman;Times;serif" w:hAnsi="Times New Roman;Times;serif"/>
          <w:sz w:val="22"/>
        </w:rPr>
        <w:t xml:space="preserve">. The parties to each assignment shall execute and deliver to the Administrative Agent an Assignment and Assumption, together with a processing and recordation fee in the amount of $3,500;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the Administrative Agent may, in its sole discretion, elect to waive such processing and recordation fee in the case of any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assignment. The assignee, if it is not a Lender, shall deliver to the Administrative Agent an Administrative Questionnaire.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w:t>
      </w:r>
      <w:r>
        <w:rPr>
          <w:rFonts w:ascii="Times New Roman;Times;serif" w:hAnsi="Times New Roman;Times;serif"/>
          <w:sz w:val="22"/>
          <w:u w:val="single"/>
        </w:rPr>
        <w:t>No Assignment to Certain Persons</w:t>
      </w:r>
      <w:r>
        <w:rPr>
          <w:rFonts w:ascii="Times New Roman;Times;serif" w:hAnsi="Times New Roman;Times;serif"/>
          <w:sz w:val="22"/>
        </w:rPr>
        <w:t xml:space="preserve">. No such assignment shall be made (A) to the Company or any of the Company’s Affiliates or Subsidiaries, or (B) to any Defaulting Lender or any of its Affiliates or Subsidiaries, or any Person who, upon becoming a Lender hereunder, would constitute any of the foregoing Persons described in this </w:t>
      </w:r>
      <w:r>
        <w:rPr>
          <w:rFonts w:ascii="Times New Roman;Times;serif" w:hAnsi="Times New Roman;Times;serif"/>
          <w:sz w:val="22"/>
          <w:u w:val="single"/>
        </w:rPr>
        <w:t>clause (B)</w:t>
      </w:r>
      <w:r>
        <w:rPr>
          <w:rFonts w:ascii="Times New Roman;Times;serif" w:hAnsi="Times New Roman;Times;serif"/>
          <w:sz w:val="22"/>
        </w:rPr>
        <w:t>, or (C) to a natural person (or to a holding company, investment vehicle or trust for, or owned and operated for the primary benefit of a natural person).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w:t>
      </w:r>
      <w:r>
        <w:rPr>
          <w:rFonts w:ascii="Times New Roman;Times;serif" w:hAnsi="Times New Roman;Times;serif"/>
          <w:sz w:val="22"/>
          <w:u w:val="single"/>
        </w:rPr>
        <w:t>Certain Additional Payments</w:t>
      </w:r>
      <w:r>
        <w:rPr>
          <w:rFonts w:ascii="Times New Roman;Times;serif" w:hAnsi="Times New Roman;Times;serif"/>
          <w:sz w:val="22"/>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Company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any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Subject to acceptance and recording thereof by the Administrative Agent pursuant to </w:t>
      </w:r>
      <w:r>
        <w:rPr>
          <w:rFonts w:ascii="Times New Roman;Times;serif" w:hAnsi="Times New Roman;Times;serif"/>
          <w:sz w:val="22"/>
          <w:u w:val="single"/>
        </w:rPr>
        <w:t>subsection (c)</w:t>
      </w:r>
      <w:r>
        <w:rPr>
          <w:rFonts w:ascii="Times New Roman;Times;serif" w:hAnsi="Times New Roman;Times;serif"/>
          <w:sz w:val="20"/>
        </w:rPr>
        <w:t xml:space="preserve"> </w:t>
      </w:r>
      <w:r>
        <w:rPr>
          <w:rFonts w:ascii="Times New Roman;Times;serif" w:hAnsi="Times New Roman;Times;serif"/>
          <w:sz w:val="22"/>
        </w:rPr>
        <w:t xml:space="preserve">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Times;serif" w:hAnsi="Times New Roman;Times;serif"/>
          <w:sz w:val="22"/>
          <w:u w:val="single"/>
        </w:rPr>
        <w:t>Sections 3.01</w:t>
      </w:r>
      <w:r>
        <w:rPr>
          <w:rFonts w:ascii="Times New Roman;Times;serif" w:hAnsi="Times New Roman;Times;serif"/>
          <w:sz w:val="22"/>
        </w:rPr>
        <w:t xml:space="preserve">, </w:t>
      </w:r>
      <w:r>
        <w:rPr>
          <w:rFonts w:ascii="Times New Roman;Times;serif" w:hAnsi="Times New Roman;Times;serif"/>
          <w:sz w:val="22"/>
          <w:u w:val="single"/>
        </w:rPr>
        <w:t>3.04</w:t>
      </w:r>
      <w:r>
        <w:rPr>
          <w:rFonts w:ascii="Times New Roman;Times;serif" w:hAnsi="Times New Roman;Times;serif"/>
          <w:sz w:val="22"/>
        </w:rPr>
        <w:t xml:space="preserve">, </w:t>
      </w:r>
      <w:r>
        <w:rPr>
          <w:rFonts w:ascii="Times New Roman;Times;serif" w:hAnsi="Times New Roman;Times;serif"/>
          <w:sz w:val="22"/>
          <w:u w:val="single"/>
        </w:rPr>
        <w:t>3.05</w:t>
      </w:r>
      <w:r>
        <w:rPr>
          <w:rFonts w:ascii="Times New Roman;Times;serif" w:hAnsi="Times New Roman;Times;serif"/>
          <w:sz w:val="22"/>
        </w:rPr>
        <w:t xml:space="preserve">, and </w:t>
      </w:r>
      <w:r>
        <w:rPr>
          <w:rFonts w:ascii="Times New Roman;Times;serif" w:hAnsi="Times New Roman;Times;serif"/>
          <w:sz w:val="22"/>
          <w:u w:val="single"/>
        </w:rPr>
        <w:t>10.04</w:t>
      </w:r>
      <w:r>
        <w:rPr>
          <w:rFonts w:ascii="Times New Roman;Times;serif" w:hAnsi="Times New Roman;Times;serif"/>
          <w:sz w:val="20"/>
        </w:rPr>
        <w:t xml:space="preserve"> </w:t>
      </w:r>
      <w:r>
        <w:rPr>
          <w:rFonts w:ascii="Times New Roman;Times;serif" w:hAnsi="Times New Roman;Times;serif"/>
          <w:sz w:val="22"/>
        </w:rPr>
        <w:t xml:space="preserve">with respect to facts and circumstances occurring prior to the effective date of such assignment,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except to the extent otherwise expressly agreed by the affected parties, no assignment by a Defaulting Lender will constitute a waiver or release of any claim of any party hereunder arising from that Lender’s having been a Defaulting Lender. Upon request, each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Times New Roman;Times;serif" w:hAnsi="Times New Roman;Times;serif"/>
          <w:sz w:val="22"/>
          <w:u w:val="single"/>
        </w:rPr>
        <w:t>subsection (d)</w:t>
      </w:r>
      <w:r>
        <w:rPr>
          <w:rFonts w:ascii="Times New Roman;Times;serif" w:hAnsi="Times New Roman;Times;serif"/>
          <w:sz w:val="20"/>
        </w:rPr>
        <w:t xml:space="preserve"> </w:t>
      </w:r>
      <w:r>
        <w:rPr>
          <w:rFonts w:ascii="Times New Roman;Times;serif" w:hAnsi="Times New Roman;Times;serif"/>
          <w:sz w:val="22"/>
        </w:rPr>
        <w:t>of this Section.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Register</w:t>
      </w:r>
      <w:r>
        <w:rPr>
          <w:rFonts w:ascii="Times New Roman;Times;serif" w:hAnsi="Times New Roman;Times;serif"/>
          <w:sz w:val="22"/>
        </w:rPr>
        <w:t>. The Administrative Agent, acting solely for this purpose as a non-fiduciary agent of the Borrowers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Times New Roman;Times;serif" w:hAnsi="Times New Roman;Times;serif"/>
          <w:sz w:val="22"/>
          <w:u w:val="single"/>
        </w:rPr>
        <w:t>Register</w:t>
      </w:r>
      <w:r>
        <w:rPr>
          <w:rFonts w:ascii="Times New Roman;Times;serif" w:hAnsi="Times New Roman;Times;serif"/>
          <w:sz w:val="20"/>
        </w:rPr>
        <w:t>”</w:t>
      </w:r>
      <w:r>
        <w:rPr>
          <w:rFonts w:ascii="Times New Roman;Times;serif" w:hAnsi="Times New Roman;Times;serif"/>
          <w:sz w:val="22"/>
        </w:rPr>
        <w:t>). The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entries in the Register shall be conclusive absent manifest error, and the Borrowers, the Administrative Agent and the Lenders may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a Defaulting Lender. The Register shall be available for inspection by each of the Borrowers, any Lender and any L/C Issuer at any reasonable time and from time to time upon reasonable prior notice. In addition, at any time that a request for a consent for a material or substantive change to the Loan Documents is pending, any Lender wishing to consult with other Lenders in connection therewith may request and receive from the Administrative Agent a copy of the Register.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Participations</w:t>
      </w:r>
      <w:r>
        <w:rPr>
          <w:rFonts w:ascii="Times New Roman;Times;serif" w:hAnsi="Times New Roman;Times;serif"/>
          <w:sz w:val="22"/>
        </w:rPr>
        <w:t>. Any Lender may at any time, without the consent of, or notice to, any Borrower or the Administrative Agent, sell participations to any Person (other than a natural person, or a holding company, investment vehicle or trust for, or owned and operated for the primary benefit of a natural person, a Defaulting Lender or the Company or any of the Company’s Affiliates or Subsidiaries) (each, a “</w:t>
      </w:r>
      <w:r>
        <w:rPr>
          <w:rFonts w:ascii="Times New Roman;Times;serif" w:hAnsi="Times New Roman;Times;serif"/>
          <w:sz w:val="22"/>
          <w:u w:val="single"/>
        </w:rPr>
        <w:t>Participant</w:t>
      </w:r>
      <w:r>
        <w:rPr>
          <w:rFonts w:ascii="Times New Roman;Times;serif" w:hAnsi="Times New Roman;Times;serif"/>
          <w:sz w:val="20"/>
        </w:rPr>
        <w:t>”</w:t>
      </w:r>
      <w:r>
        <w:rPr>
          <w:rFonts w:ascii="Times New Roman;Times;serif" w:hAnsi="Times New Roman;Times;serif"/>
          <w:sz w:val="22"/>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(i) such Lender’s obligations under this Agreement shall remain unchanged, (ii) such Lender shall remain solely responsible to the other parties hereto for the performance of such obligations and (iii) the Borrowers, the Administrative Agent, the Lenders and the L/C Issuers shall continue to deal solely and directly with such Lender in connection with such Lender’s rights and obligations under this Agreement. For the avoidance of doubt, each Lender shall be responsible for the indemnity </w:t>
      </w:r>
      <w:r>
        <w:rPr>
          <w:rFonts w:ascii="Times New Roman;Times;serif" w:hAnsi="Times New Roman;Times;serif"/>
          <w:sz w:val="22"/>
          <w:u w:val="single"/>
        </w:rPr>
        <w:t>under Section 10.04(c)</w:t>
      </w:r>
      <w:r>
        <w:rPr>
          <w:rFonts w:ascii="Times New Roman;Times;serif" w:hAnsi="Times New Roman;Times;serif"/>
          <w:sz w:val="20"/>
        </w:rPr>
        <w:t xml:space="preserve"> </w:t>
      </w:r>
      <w:r>
        <w:rPr>
          <w:rFonts w:ascii="Times New Roman;Times;serif" w:hAnsi="Times New Roman;Times;serif"/>
          <w:sz w:val="22"/>
        </w:rPr>
        <w:t>without regard to the existence of any participation.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such agreement or instrument may provide that such Lender will not, without the consent of the Participant, agree to any amendment, waiver or other modification described in the first proviso to </w:t>
      </w:r>
      <w:r>
        <w:rPr>
          <w:rFonts w:ascii="Times New Roman;Times;serif" w:hAnsi="Times New Roman;Times;serif"/>
          <w:sz w:val="22"/>
          <w:u w:val="single"/>
        </w:rPr>
        <w:t>Section 10.01</w:t>
      </w:r>
      <w:r>
        <w:rPr>
          <w:rFonts w:ascii="Times New Roman;Times;serif" w:hAnsi="Times New Roman;Times;serif"/>
          <w:sz w:val="20"/>
        </w:rPr>
        <w:t xml:space="preserve"> </w:t>
      </w:r>
      <w:r>
        <w:rPr>
          <w:rFonts w:ascii="Times New Roman;Times;serif" w:hAnsi="Times New Roman;Times;serif"/>
          <w:sz w:val="22"/>
        </w:rPr>
        <w:t xml:space="preserve">that affects such Participant. Each Borrower agrees that each Participant shall be entitled to the benefits of </w:t>
      </w:r>
      <w:r>
        <w:rPr>
          <w:rFonts w:ascii="Times New Roman;Times;serif" w:hAnsi="Times New Roman;Times;serif"/>
          <w:sz w:val="22"/>
          <w:u w:val="single"/>
        </w:rPr>
        <w:t>Sections 3.01</w:t>
      </w:r>
      <w:r>
        <w:rPr>
          <w:rFonts w:ascii="Times New Roman;Times;serif" w:hAnsi="Times New Roman;Times;serif"/>
          <w:sz w:val="22"/>
        </w:rPr>
        <w:t xml:space="preserve">, </w:t>
      </w:r>
      <w:r>
        <w:rPr>
          <w:rFonts w:ascii="Times New Roman;Times;serif" w:hAnsi="Times New Roman;Times;serif"/>
          <w:sz w:val="22"/>
          <w:u w:val="single"/>
        </w:rPr>
        <w:t>3.04</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3.05</w:t>
      </w:r>
      <w:r>
        <w:rPr>
          <w:rFonts w:ascii="Times New Roman;Times;serif" w:hAnsi="Times New Roman;Times;serif"/>
          <w:sz w:val="20"/>
        </w:rPr>
        <w:t xml:space="preserve"> </w:t>
      </w:r>
      <w:r>
        <w:rPr>
          <w:rFonts w:ascii="Times New Roman;Times;serif" w:hAnsi="Times New Roman;Times;serif"/>
          <w:sz w:val="22"/>
        </w:rPr>
        <w:t xml:space="preserve">to the same extent as if it were a Lender and had acquired its interest by assignment pursuant to </w:t>
      </w:r>
      <w:r>
        <w:rPr>
          <w:rFonts w:ascii="Times New Roman;Times;serif" w:hAnsi="Times New Roman;Times;serif"/>
          <w:sz w:val="22"/>
          <w:u w:val="single"/>
        </w:rPr>
        <w:t>subsection (b)</w:t>
      </w:r>
      <w:r>
        <w:rPr>
          <w:rFonts w:ascii="Times New Roman;Times;serif" w:hAnsi="Times New Roman;Times;serif"/>
          <w:sz w:val="20"/>
        </w:rPr>
        <w:t xml:space="preserve"> </w:t>
      </w:r>
      <w:r>
        <w:rPr>
          <w:rFonts w:ascii="Times New Roman;Times;serif" w:hAnsi="Times New Roman;Times;serif"/>
          <w:sz w:val="22"/>
        </w:rPr>
        <w:t xml:space="preserve">of this Section (it being understood that the documentation required under </w:t>
      </w:r>
      <w:r>
        <w:rPr>
          <w:rFonts w:ascii="Times New Roman;Times;serif" w:hAnsi="Times New Roman;Times;serif"/>
          <w:sz w:val="22"/>
          <w:u w:val="single"/>
        </w:rPr>
        <w:t>Section 3.01(e)</w:t>
      </w:r>
      <w:r>
        <w:rPr>
          <w:rFonts w:ascii="Times New Roman;Times;serif" w:hAnsi="Times New Roman;Times;serif"/>
          <w:sz w:val="20"/>
        </w:rPr>
        <w:t xml:space="preserve"> </w:t>
      </w:r>
      <w:r>
        <w:rPr>
          <w:rFonts w:ascii="Times New Roman;Times;serif" w:hAnsi="Times New Roman;Times;serif"/>
          <w:sz w:val="22"/>
        </w:rPr>
        <w:t xml:space="preserve">shall be delivered to the Lender who sells the participation) to the same extent as if it were a Lender and had acquired its interest by assignment pursuant to paragraph (b) of this Section;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such Participant (A) agrees to be subject to the provisions of </w:t>
      </w:r>
      <w:r>
        <w:rPr>
          <w:rFonts w:ascii="Times New Roman;Times;serif" w:hAnsi="Times New Roman;Times;serif"/>
          <w:sz w:val="22"/>
          <w:u w:val="single"/>
        </w:rPr>
        <w:t>Sections 3.06</w:t>
      </w:r>
      <w:r>
        <w:rPr>
          <w:rFonts w:ascii="Times New Roman;Times;serif" w:hAnsi="Times New Roman;Times;serif"/>
          <w:sz w:val="20"/>
        </w:rPr>
        <w:t xml:space="preserve"> </w:t>
      </w:r>
      <w:r>
        <w:rPr>
          <w:rFonts w:ascii="Times New Roman;Times;serif" w:hAnsi="Times New Roman;Times;serif"/>
          <w:sz w:val="22"/>
        </w:rPr>
        <w:t xml:space="preserve">and </w:t>
      </w:r>
      <w:r>
        <w:rPr>
          <w:rFonts w:ascii="Times New Roman;Times;serif" w:hAnsi="Times New Roman;Times;serif"/>
          <w:sz w:val="22"/>
          <w:u w:val="single"/>
        </w:rPr>
        <w:t>10.13</w:t>
      </w:r>
      <w:r>
        <w:rPr>
          <w:rFonts w:ascii="Times New Roman;Times;serif" w:hAnsi="Times New Roman;Times;serif"/>
          <w:sz w:val="20"/>
        </w:rPr>
        <w:t xml:space="preserve"> </w:t>
      </w:r>
      <w:r>
        <w:rPr>
          <w:rFonts w:ascii="Times New Roman;Times;serif" w:hAnsi="Times New Roman;Times;serif"/>
          <w:sz w:val="22"/>
        </w:rPr>
        <w:t xml:space="preserve">as if it were an assignee under paragraph (b) of this Section and (B) shall not be entitled to receive any greater payment under </w:t>
      </w:r>
      <w:r>
        <w:rPr>
          <w:rFonts w:ascii="Times New Roman;Times;serif" w:hAnsi="Times New Roman;Times;serif"/>
          <w:sz w:val="22"/>
          <w:u w:val="single"/>
        </w:rPr>
        <w:t>Sections 3.01</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3.04</w:t>
      </w:r>
      <w:r>
        <w:rPr>
          <w:rFonts w:ascii="Times New Roman;Times;serif" w:hAnsi="Times New Roman;Times;serif"/>
          <w:sz w:val="22"/>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w:t>
      </w:r>
      <w:r>
        <w:rPr>
          <w:rFonts w:ascii="Times New Roman;Times;serif" w:hAnsi="Times New Roman;Times;serif"/>
          <w:sz w:val="22"/>
          <w:u w:val="single"/>
        </w:rPr>
        <w:t>Section 3.06</w:t>
      </w:r>
      <w:r>
        <w:rPr>
          <w:rFonts w:ascii="Times New Roman;Times;serif" w:hAnsi="Times New Roman;Times;serif"/>
          <w:sz w:val="20"/>
        </w:rPr>
        <w:t xml:space="preserve"> </w:t>
      </w:r>
      <w:r>
        <w:rPr>
          <w:rFonts w:ascii="Times New Roman;Times;serif" w:hAnsi="Times New Roman;Times;serif"/>
          <w:sz w:val="22"/>
        </w:rPr>
        <w:t xml:space="preserve">with respect to any Participant. To the extent permitted by law, each Participant also shall be entitled to the benefits of </w:t>
      </w:r>
      <w:r>
        <w:rPr>
          <w:rFonts w:ascii="Times New Roman;Times;serif" w:hAnsi="Times New Roman;Times;serif"/>
          <w:sz w:val="22"/>
          <w:u w:val="single"/>
        </w:rPr>
        <w:t>Section 10.08</w:t>
      </w:r>
      <w:r>
        <w:rPr>
          <w:rFonts w:ascii="Times New Roman;Times;serif" w:hAnsi="Times New Roman;Times;serif"/>
          <w:sz w:val="20"/>
        </w:rPr>
        <w:t xml:space="preserve"> </w:t>
      </w:r>
      <w:r>
        <w:rPr>
          <w:rFonts w:ascii="Times New Roman;Times;serif" w:hAnsi="Times New Roman;Times;serif"/>
          <w:sz w:val="22"/>
        </w:rPr>
        <w:t xml:space="preserve">as though it were a Lender,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such Participant agrees to be subject to </w:t>
      </w:r>
      <w:r>
        <w:rPr>
          <w:rFonts w:ascii="Times New Roman;Times;serif" w:hAnsi="Times New Roman;Times;serif"/>
          <w:sz w:val="22"/>
          <w:u w:val="single"/>
        </w:rPr>
        <w:t>Section 2.13</w:t>
      </w:r>
      <w:r>
        <w:rPr>
          <w:rFonts w:ascii="Times New Roman;Times;serif" w:hAnsi="Times New Roman;Times;serif"/>
          <w:sz w:val="20"/>
        </w:rPr>
        <w:t xml:space="preserve"> </w:t>
      </w:r>
      <w:r>
        <w:rPr>
          <w:rFonts w:ascii="Times New Roman;Times;serif" w:hAnsi="Times New Roman;Times;serif"/>
          <w:sz w:val="22"/>
        </w:rPr>
        <w:t>as though it were a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u w:val="single"/>
        </w:rPr>
        <w:t>Participant Register</w:t>
      </w:r>
      <w:r>
        <w:rPr>
          <w:rFonts w:ascii="Times New Roman;Times;serif" w:hAnsi="Times New Roman;Times;serif"/>
          <w:sz w:val="22"/>
        </w:rPr>
        <w:t>. Each Lender that sells a participation shall, acting solely for this purpose as a non-fiduciary agent of the Company, maintain a register on which it enters the name and address of each Participant and the principal amounts (and stated interest) of each Participant’s interest in the Loans or other obligations under the Loan Documents (the “</w:t>
      </w:r>
      <w:r>
        <w:rPr>
          <w:rFonts w:ascii="Times New Roman;Times;serif" w:hAnsi="Times New Roman;Times;serif"/>
          <w:sz w:val="22"/>
          <w:u w:val="single"/>
        </w:rPr>
        <w:t>Participant Register</w:t>
      </w:r>
      <w:r>
        <w:rPr>
          <w:rFonts w:ascii="Times New Roman;Times;serif" w:hAnsi="Times New Roman;Times;serif"/>
          <w:sz w:val="20"/>
        </w:rPr>
        <w:t>”</w:t>
      </w:r>
      <w:r>
        <w:rPr>
          <w:rFonts w:ascii="Times New Roman;Times;serif" w:hAnsi="Times New Roman;Times;serif"/>
          <w:sz w:val="22"/>
        </w:rPr>
        <w:t>); provided that no Lender shall have any obligation to disclose all or any portion of the Participant Register (including the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u w:val="single"/>
        </w:rPr>
        <w:t>Limitations upon Participant Rights</w:t>
      </w:r>
      <w:r>
        <w:rPr>
          <w:rFonts w:ascii="Times New Roman;Times;serif" w:hAnsi="Times New Roman;Times;serif"/>
          <w:sz w:val="22"/>
        </w:rPr>
        <w:t xml:space="preserve">. A Participant shall not be entitled to receive any greater payment under </w:t>
      </w:r>
      <w:r>
        <w:rPr>
          <w:rFonts w:ascii="Times New Roman;Times;serif" w:hAnsi="Times New Roman;Times;serif"/>
          <w:sz w:val="22"/>
          <w:u w:val="single"/>
        </w:rPr>
        <w:t>Section 3.01</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3.04</w:t>
      </w:r>
      <w:r>
        <w:rPr>
          <w:rFonts w:ascii="Times New Roman;Times;serif" w:hAnsi="Times New Roman;Times;serif"/>
          <w:sz w:val="20"/>
        </w:rPr>
        <w:t xml:space="preserve"> </w:t>
      </w:r>
      <w:r>
        <w:rPr>
          <w:rFonts w:ascii="Times New Roman;Times;serif" w:hAnsi="Times New Roman;Times;serif"/>
          <w:sz w:val="22"/>
        </w:rPr>
        <w:t xml:space="preserve">than the applicable Lender would have been entitled to receive with respect to the participation sold to such Participant, unless the sale of the participation to such Participant is made with the Company’s prior written consent. A Participant that would be a Foreign Lender if it were a Lender shall not be entitled to the benefits of </w:t>
      </w:r>
      <w:r>
        <w:rPr>
          <w:rFonts w:ascii="Times New Roman;Times;serif" w:hAnsi="Times New Roman;Times;serif"/>
          <w:sz w:val="22"/>
          <w:u w:val="single"/>
        </w:rPr>
        <w:t>Section 3.01</w:t>
      </w:r>
      <w:r>
        <w:rPr>
          <w:rFonts w:ascii="Times New Roman;Times;serif" w:hAnsi="Times New Roman;Times;serif"/>
          <w:sz w:val="20"/>
        </w:rPr>
        <w:t xml:space="preserve"> </w:t>
      </w:r>
      <w:r>
        <w:rPr>
          <w:rFonts w:ascii="Times New Roman;Times;serif" w:hAnsi="Times New Roman;Times;serif"/>
          <w:sz w:val="22"/>
        </w:rPr>
        <w:t xml:space="preserve">unless the Company is notified of the participation sold to such Participant and such Participant agrees, for the benefit of the Borrowers, to comply with </w:t>
      </w:r>
      <w:r>
        <w:rPr>
          <w:rFonts w:ascii="Times New Roman;Times;serif" w:hAnsi="Times New Roman;Times;serif"/>
          <w:sz w:val="22"/>
          <w:u w:val="single"/>
        </w:rPr>
        <w:t>Section 3.01(e)</w:t>
      </w:r>
      <w:r>
        <w:rPr>
          <w:rFonts w:ascii="Times New Roman;Times;serif" w:hAnsi="Times New Roman;Times;serif"/>
          <w:sz w:val="20"/>
        </w:rPr>
        <w:t xml:space="preserve"> </w:t>
      </w:r>
      <w:r>
        <w:rPr>
          <w:rFonts w:ascii="Times New Roman;Times;serif" w:hAnsi="Times New Roman;Times;serif"/>
          <w:sz w:val="22"/>
        </w:rPr>
        <w:t>as though it were a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u w:val="single"/>
        </w:rPr>
        <w:t>Certain Pledges</w:t>
      </w:r>
      <w:r>
        <w:rPr>
          <w:rFonts w:ascii="Times New Roman;Times;serif" w:hAnsi="Times New Roman;Times;serif"/>
          <w:sz w:val="22"/>
        </w:rPr>
        <w:t xml:space="preserve">. Any Lender may at any time, without notice to or consent of any Person, pledge or assign a security interest in all or any portion of its rights under this Agreement (including under its Note(s), if any) to secure obligations of such Lender, including any pledge or assignment to secure obligations to a Federal Reserve Bank;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no such pledge or assignment shall release such Lender from any of its obligations hereunder or substitute any such pledgee or assignee for such Lender as a party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(h)</w:t>
      </w:r>
      <w:r>
        <w:rPr>
          <w:rFonts w:ascii="Times New Roman;Times;serif" w:hAnsi="Times New Roman;Times;serif"/>
          <w:sz w:val="22"/>
          <w:u w:val="single"/>
        </w:rPr>
        <w:t>Resignation as L/C Issuer or Swing Line Lender after Assignment</w:t>
      </w:r>
      <w:r>
        <w:rPr>
          <w:rFonts w:ascii="Times New Roman;Times;serif" w:hAnsi="Times New Roman;Times;serif"/>
          <w:sz w:val="22"/>
        </w:rPr>
        <w:t xml:space="preserve">. Notwithstanding anything to the contrary contained herein, if at any time Bank of America or another L/C Issuer assigns all of its Commitment and Loans pursuant to </w:t>
      </w:r>
      <w:r>
        <w:rPr>
          <w:rFonts w:ascii="Times New Roman;Times;serif" w:hAnsi="Times New Roman;Times;serif"/>
          <w:sz w:val="22"/>
          <w:u w:val="single"/>
        </w:rPr>
        <w:t>subsection (b)</w:t>
      </w:r>
      <w:r>
        <w:rPr>
          <w:rFonts w:ascii="Times New Roman;Times;serif" w:hAnsi="Times New Roman;Times;serif"/>
          <w:sz w:val="20"/>
        </w:rPr>
        <w:t xml:space="preserve"> </w:t>
      </w:r>
      <w:r>
        <w:rPr>
          <w:rFonts w:ascii="Times New Roman;Times;serif" w:hAnsi="Times New Roman;Times;serif"/>
          <w:sz w:val="22"/>
        </w:rPr>
        <w:t xml:space="preserve">above, (i) such L/C Issuer may, upon 30 days’ notice to the Company and the Lenders, resign as an L/C Issuer and/or (ii) if Bank of America is the assignor, Bank of America may, upon 30 days’ notice to the Company, resign as the Swing Line Lender. In the event of any such resignation as an L/C Issuer or the Swing Line Lender, the Company shall be entitled to appoint from among the Lenders a successor L/C Issuer or Swing Line Lender hereunder;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no failure by the Company to appoint any such successor shall affect the resignation of such L/C Issuer as an L/C Issuer or Bank of America as the Swing Line Lender, as the case may be. If an L/C Issuer resigns, it shall retain all the rights, powers, privileges and duties of an L/C Issuer hereunder with respect to all Letters of Credit and outstanding as of the effective date of its resignation as an L/C Issuer and all L/C Obligations with respect thereto (including the right to require the Lenders to make Base Rate Committed Loans or fund risk participations in Unreimbursed Amounts pursuant to </w:t>
      </w:r>
      <w:r>
        <w:rPr>
          <w:rFonts w:ascii="Times New Roman;Times;serif" w:hAnsi="Times New Roman;Times;serif"/>
          <w:sz w:val="22"/>
          <w:u w:val="single"/>
        </w:rPr>
        <w:t>Section 2.03(c)</w:t>
      </w:r>
      <w:r>
        <w:rPr>
          <w:rFonts w:ascii="Times New Roman;Times;serif" w:hAnsi="Times New Roman;Times;serif"/>
          <w:sz w:val="22"/>
        </w:rPr>
        <w:t xml:space="preserve">). If Bank of America resigns as the Swing Line Lender, it shall retain all the rights of the Swing Line Lender provided for hereunder with respect to Swing Line Loans made by it and outstanding as of the effective date of such resignation, including the right to require the Lenders to make Base Rate Committed Loans or fund risk participations in outstanding Swing Line Loans pursuant to </w:t>
      </w:r>
      <w:r>
        <w:rPr>
          <w:rFonts w:ascii="Times New Roman;Times;serif" w:hAnsi="Times New Roman;Times;serif"/>
          <w:sz w:val="22"/>
          <w:u w:val="single"/>
        </w:rPr>
        <w:t>Section 2.04(c)</w:t>
      </w:r>
      <w:r>
        <w:rPr>
          <w:rFonts w:ascii="Times New Roman;Times;serif" w:hAnsi="Times New Roman;Times;serif"/>
          <w:sz w:val="22"/>
        </w:rPr>
        <w:t>. Upon the appointment of a successor L/C Issuer and/or Swing Line Lender, (a) such successor shall succeed to and become vested with all of the rights, powers, privileges and duties of such retiring L/C Issuer or Swing Line Lender, as the case may be, and (b) the successor L/C Issuer shall issue letters of credit in substitution for the Letters of Credit, if any, outstanding at the time of such succession or make other arrangements reasonably satisfactory to the L/C Issuer to effectively assume the obligations of the L/C Issuer with respect to such Letters of Credit.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10.07</w:t>
      </w:r>
      <w:r>
        <w:rPr>
          <w:rFonts w:ascii="Times New Roman;Times;serif" w:hAnsi="Times New Roman;Times;serif"/>
          <w:b/>
          <w:sz w:val="22"/>
        </w:rPr>
        <w:t>Treatment of Certain Information; Confidentiality</w:t>
      </w:r>
      <w:r>
        <w:rPr>
          <w:rFonts w:ascii="Times New Roman;Times;serif" w:hAnsi="Times New Roman;Times;serif"/>
          <w:sz w:val="22"/>
        </w:rPr>
        <w:t>. Each of the Administrative Agent, the Lenders and the L/C Issuers agree to maintain the confidentiality of the Information (as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defined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shall have agreed (orally or in writing)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Eligible Assignee invited to be a Lender pursuant to </w:t>
      </w:r>
      <w:r>
        <w:rPr>
          <w:rFonts w:ascii="Times New Roman;Times;serif" w:hAnsi="Times New Roman;Times;serif"/>
          <w:sz w:val="22"/>
          <w:u w:val="single"/>
        </w:rPr>
        <w:t>Section 2.15(a)</w:t>
      </w:r>
      <w:r>
        <w:rPr>
          <w:rFonts w:ascii="Times New Roman;Times;serif" w:hAnsi="Times New Roman;Times;serif"/>
          <w:sz w:val="20"/>
        </w:rPr>
        <w:t xml:space="preserve"> </w:t>
      </w:r>
      <w:r>
        <w:rPr>
          <w:rFonts w:ascii="Times New Roman;Times;serif" w:hAnsi="Times New Roman;Times;serif"/>
          <w:sz w:val="22"/>
        </w:rPr>
        <w:t>or (ii) any actual or prospective counterparty (or its advisors) to any swap or derivative transaction under which payments are to be made by reference to any of the Borrowers and their obligations, (g) on a confidential basis to (i) any rating agency in connection with rating the Company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Company or (i) to the extent such Information (x) is or becomes publicly available other than as a result of a breach of this Section or (y) is or becomes available to the Administrative Agent, any Lender, any L/C Issuer or any of their respective Affiliates on a nonconfidential basis from a source other than the Company or any of its Subsidiaries. In addition, the Administrative Agent and the Lenders may disclose the existence of this Agreement and information about this Agreement (excluding, in all cases, information about the present or prospective business of the Company and its Subsidiaries, including, without limitation, any financial projections related thereto) to market data collectors, similar service providers to the lending industry and service providers to the Administrative Agent and the Lenders in connection with the administration of this Agreement, the other Loan Documents, and the Commitments.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For purposes of this Section, “</w:t>
      </w:r>
      <w:r>
        <w:rPr>
          <w:rFonts w:ascii="Times New Roman;Times;serif" w:hAnsi="Times New Roman;Times;serif"/>
          <w:sz w:val="22"/>
          <w:u w:val="single"/>
        </w:rPr>
        <w:t>Information</w:t>
      </w:r>
      <w:r>
        <w:rPr>
          <w:rFonts w:ascii="Times New Roman;Times;serif" w:hAnsi="Times New Roman;Times;serif"/>
          <w:sz w:val="20"/>
        </w:rPr>
        <w:t xml:space="preserve">” </w:t>
      </w:r>
      <w:r>
        <w:rPr>
          <w:rFonts w:ascii="Times New Roman;Times;serif" w:hAnsi="Times New Roman;Times;serif"/>
          <w:sz w:val="22"/>
        </w:rPr>
        <w:t xml:space="preserve">means all information received from the Company or any Subsidiary relating to the Company or any Subsidiary or any of their respective businesses, other than any such information that is available to the Administrative Agent, any Lender or any L/C Issuer on a nonconfidential basis prior to disclosure by the Company or any Subsidiary,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in the case of information received from the Company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Each of the Administrative Agent, the Lenders and the L/C Issuers acknowledges that (a) the Information may include material non-public information concerning the Company or a Subsidiary, as the case may be, (b) it has developed compliance procedures regarding the use of material non-public information and (c) it will handle such material non-public information in accordance with applicable Law, including Federal and state securities Laws.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For the avoidance of doubt, nothing herein prohibits any individual from communicating or disclosing information regarding suspected violations of law, rules or regulations to a governmental, regulatory or self-regulatory authority without any notification to any Person in accordance with applicable laws, rules, regulations or regulatory guidance.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10.08</w:t>
      </w:r>
      <w:r>
        <w:rPr>
          <w:rFonts w:ascii="Times New Roman;Times;serif" w:hAnsi="Times New Roman;Times;serif"/>
          <w:b/>
          <w:sz w:val="22"/>
        </w:rPr>
        <w:t>Right of Setoff</w:t>
      </w:r>
      <w:r>
        <w:rPr>
          <w:rFonts w:ascii="Times New Roman;Times;serif" w:hAnsi="Times New Roman;Times;serif"/>
          <w:sz w:val="22"/>
        </w:rPr>
        <w:t xml:space="preserve">. 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any Borrower or any other Loan Party against any and all of the obligations of such Borrower or such Loan Party now or hereafter existing under this Agreement or any other Loan Document to such Lender or such L/C Issuer or their respective Affiliates, irrespective of whether or not such Lender, such L/C Issuer or Affiliate shall have made any demand under this Agreement or any other Loan Document and although such obligations of such Borrower or such Loan Party may be contingent or unmatured or are owed to a branch, office or Affiliate of such Lender or such L/C Issuer different from the branch or office holding such deposit or obligated on such indebtedness; </w:t>
      </w:r>
      <w:r>
        <w:rPr>
          <w:rFonts w:ascii="Times New Roman;Times;serif" w:hAnsi="Times New Roman;Times;serif"/>
          <w:sz w:val="22"/>
          <w:u w:val="single"/>
        </w:rPr>
        <w:t>provided</w:t>
      </w:r>
      <w:r>
        <w:rPr>
          <w:rFonts w:ascii="Times New Roman;Times;serif" w:hAnsi="Times New Roman;Times;serif"/>
          <w:sz w:val="22"/>
        </w:rPr>
        <w:t xml:space="preserve">, that in the event that any Defaulting Lender shall exercise any such right of setoff hereunder, (x) all amounts so set off shall be paid over immediately to the Administrative Agent for further application in accordance with the provisions of </w:t>
      </w:r>
      <w:r>
        <w:rPr>
          <w:rFonts w:ascii="Times New Roman;Times;serif" w:hAnsi="Times New Roman;Times;serif"/>
          <w:sz w:val="22"/>
          <w:u w:val="single"/>
        </w:rPr>
        <w:t>Section 2.17</w:t>
      </w:r>
      <w:r>
        <w:rPr>
          <w:rFonts w:ascii="Times New Roman;Times;serif" w:hAnsi="Times New Roman;Times;serif"/>
          <w:sz w:val="20"/>
        </w:rPr>
        <w:t xml:space="preserve"> </w:t>
      </w:r>
      <w:r>
        <w:rPr>
          <w:rFonts w:ascii="Times New Roman;Times;serif" w:hAnsi="Times New Roman;Times;serif"/>
          <w:sz w:val="22"/>
        </w:rPr>
        <w:t xml:space="preserve">and, pending such payment, shall be segregated by such Defaulting Lender from its other funds and deemed held in trust for the benefit of the Administrative Agent, the L/C Issuers and the Lenders, and (y) the Defaulting Lender shall provide promptly to the Administrative Agent a statement describing in reasonable detail the Obligations owing to such Defaulting Lender as to which it exercised such right of setoff. The rights of each Lender, each L/C Issuer and their respective Affiliates under this Section are in addition to other rights and remedies (including other rights of setoff) that such Lender, such L/C Issuer or their respective Affiliates may have. Each Lender and each L/C Issuer agrees to notify the Company and the Administrative Agent promptly after any such setoff and application,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failure to give such notice shall not affect the validity of such setoff and application.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10.09</w:t>
      </w:r>
      <w:r>
        <w:rPr>
          <w:rFonts w:ascii="Times New Roman;Times;serif" w:hAnsi="Times New Roman;Times;serif"/>
          <w:b/>
          <w:sz w:val="22"/>
        </w:rPr>
        <w:t>Interest Rate Limitation</w:t>
      </w:r>
      <w:r>
        <w:rPr>
          <w:rFonts w:ascii="Times New Roman;Times;serif" w:hAnsi="Times New Roman;Times;serif"/>
          <w:sz w:val="22"/>
        </w:rPr>
        <w:t>. Notwithstanding anything to the contrary contained in any Loan Document, the interest paid or agreed to be paid under the Loan Documents shall not exceed the maximum rate of non-usurious interest permitted by applicable Law (the “</w:t>
      </w:r>
      <w:r>
        <w:rPr>
          <w:rFonts w:ascii="Times New Roman;Times;serif" w:hAnsi="Times New Roman;Times;serif"/>
          <w:sz w:val="22"/>
          <w:u w:val="single"/>
        </w:rPr>
        <w:t>Maximum Rate</w:t>
      </w:r>
      <w:r>
        <w:rPr>
          <w:rFonts w:ascii="Times New Roman;Times;serif" w:hAnsi="Times New Roman;Times;serif"/>
          <w:sz w:val="20"/>
        </w:rPr>
        <w:t>”</w:t>
      </w:r>
      <w:r>
        <w:rPr>
          <w:rFonts w:ascii="Times New Roman;Times;serif" w:hAnsi="Times New Roman;Times;serif"/>
          <w:sz w:val="22"/>
        </w:rPr>
        <w:t>). If the Administrative Agent or any Lender shall receive interest in an amount that exceeds the Maximum Rate, the excess interest shall be applied to the principal of the Loans or, if it exceeds such unpaid principal, refunded to the Company.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10.10</w:t>
      </w:r>
      <w:r>
        <w:rPr>
          <w:rFonts w:ascii="Times New Roman;Times;serif" w:hAnsi="Times New Roman;Times;serif"/>
          <w:b/>
          <w:sz w:val="22"/>
        </w:rPr>
        <w:t>Integration; Effectiveness</w:t>
      </w:r>
      <w:r>
        <w:rPr>
          <w:rFonts w:ascii="Times New Roman;Times;serif" w:hAnsi="Times New Roman;Times;serif"/>
          <w:sz w:val="22"/>
        </w:rPr>
        <w:t xml:space="preserve">. This Agreement, the other Loan Documents and any separate letter agreements with respect to 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w:t>
      </w:r>
      <w:r>
        <w:rPr>
          <w:rFonts w:ascii="Times New Roman;Times;serif" w:hAnsi="Times New Roman;Times;serif"/>
          <w:sz w:val="22"/>
          <w:u w:val="single"/>
        </w:rPr>
        <w:t>Section 4.01</w:t>
      </w:r>
      <w:r>
        <w:rPr>
          <w:rFonts w:ascii="Times New Roman;Times;serif" w:hAnsi="Times New Roman;Times;serif"/>
          <w:sz w:val="22"/>
        </w:rPr>
        <w:t>, each of this Agreement and the other Loan Documents shall become effective when it shall have been executed by the Administrative Agent and when the Administrative Agent shall have received counterparts hereof or thereof, as applicable, that, when taken together, bear the signatures of each of the other parties hereto or thereto,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10.11</w:t>
      </w:r>
      <w:r>
        <w:rPr>
          <w:rFonts w:ascii="Times New Roman;Times;serif" w:hAnsi="Times New Roman;Times;serif"/>
          <w:b/>
          <w:sz w:val="22"/>
        </w:rPr>
        <w:t>Survival of Representations and Warranties</w:t>
      </w:r>
      <w:r>
        <w:rPr>
          <w:rFonts w:ascii="Times New Roman;Times;serif" w:hAnsi="Times New Roman;Times;serif"/>
          <w:sz w:val="22"/>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10.12</w:t>
      </w:r>
      <w:r>
        <w:rPr>
          <w:rFonts w:ascii="Times New Roman;Times;serif" w:hAnsi="Times New Roman;Times;serif"/>
          <w:b/>
          <w:sz w:val="22"/>
        </w:rPr>
        <w:t>Severability</w:t>
      </w:r>
      <w:r>
        <w:rPr>
          <w:rFonts w:ascii="Times New Roman;Times;serif" w:hAnsi="Times New Roman;Times;serif"/>
          <w:sz w:val="22"/>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Times;serif" w:hAnsi="Times New Roman;Times;serif"/>
          <w:sz w:val="22"/>
          <w:u w:val="single"/>
        </w:rPr>
        <w:t>Section 10.12</w:t>
      </w:r>
      <w:r>
        <w:rPr>
          <w:rFonts w:ascii="Times New Roman;Times;serif" w:hAnsi="Times New Roman;Times;serif"/>
          <w:sz w:val="22"/>
        </w:rPr>
        <w:t>, if and to the extent that the enforceability of any provisions in this Agreement relating to Defaulting Lenders shall be limited by Debtor Relief Laws, as determined in good faith by the Administrative Agent, any L/C Issuer or the Swing Line Lender, as applicable, then such provisions shall be deemed to be in effect only to the extent not so limited.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10.13</w:t>
      </w:r>
      <w:r>
        <w:rPr>
          <w:rFonts w:ascii="Times New Roman;Times;serif" w:hAnsi="Times New Roman;Times;serif"/>
          <w:b/>
          <w:sz w:val="22"/>
        </w:rPr>
        <w:t>Replacement of Lenders</w:t>
      </w:r>
      <w:r>
        <w:rPr>
          <w:rFonts w:ascii="Times New Roman;Times;serif" w:hAnsi="Times New Roman;Times;serif"/>
          <w:sz w:val="22"/>
        </w:rPr>
        <w:t xml:space="preserve">. If any Lender requests compensation under </w:t>
      </w:r>
      <w:r>
        <w:rPr>
          <w:rFonts w:ascii="Times New Roman;Times;serif" w:hAnsi="Times New Roman;Times;serif"/>
          <w:sz w:val="22"/>
          <w:u w:val="single"/>
        </w:rPr>
        <w:t>Section 3.04</w:t>
      </w:r>
      <w:r>
        <w:rPr>
          <w:rFonts w:ascii="Times New Roman;Times;serif" w:hAnsi="Times New Roman;Times;serif"/>
          <w:sz w:val="22"/>
        </w:rPr>
        <w:t xml:space="preserve">, or if any Borrower is required to pay any additional amount to any Lender or any Governmental Authority for the account of any Lender pursuant to </w:t>
      </w:r>
      <w:r>
        <w:rPr>
          <w:rFonts w:ascii="Times New Roman;Times;serif" w:hAnsi="Times New Roman;Times;serif"/>
          <w:sz w:val="22"/>
          <w:u w:val="single"/>
        </w:rPr>
        <w:t>Section 3.01</w:t>
      </w:r>
      <w:r>
        <w:rPr>
          <w:rFonts w:ascii="Times New Roman;Times;serif" w:hAnsi="Times New Roman;Times;serif"/>
          <w:sz w:val="22"/>
        </w:rPr>
        <w:t xml:space="preserve">, or if any Lender is a Defaulting Lender or a Non-Consenting Lender (as defined below), or if any Lender is a Restricted Lender under </w:t>
      </w:r>
      <w:r>
        <w:rPr>
          <w:rFonts w:ascii="Times New Roman;Times;serif" w:hAnsi="Times New Roman;Times;serif"/>
          <w:sz w:val="22"/>
          <w:u w:val="single"/>
        </w:rPr>
        <w:t>Section 2.14(a)</w:t>
      </w:r>
      <w:r>
        <w:rPr>
          <w:rFonts w:ascii="Times New Roman;Times;serif" w:hAnsi="Times New Roman;Times;serif"/>
          <w:sz w:val="22"/>
        </w:rPr>
        <w:t xml:space="preserve">, then the Company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Times;serif" w:hAnsi="Times New Roman;Times;serif"/>
          <w:sz w:val="22"/>
          <w:u w:val="single"/>
        </w:rPr>
        <w:t>Section 10.06</w:t>
      </w:r>
      <w:r>
        <w:rPr>
          <w:rFonts w:ascii="Times New Roman;Times;serif" w:hAnsi="Times New Roman;Times;serif"/>
          <w:sz w:val="22"/>
        </w:rPr>
        <w:t xml:space="preserve">), all of its interests, rights and obligations under this Agreement and the related Loan Documents to an assignee that shall assume such obligations (which assignee may be another Lender, if a Lender accepts such assignment),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the Company shall have paid (or caused a Designated Borrower to pay) to the Administrative Agent the assignment fee specified in </w:t>
      </w:r>
      <w:r>
        <w:rPr>
          <w:rFonts w:ascii="Times New Roman;Times;serif" w:hAnsi="Times New Roman;Times;serif"/>
          <w:sz w:val="22"/>
          <w:u w:val="single"/>
        </w:rPr>
        <w:t>Section 10.06(b)</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such Lender shall have received payment of an amount equal to 100% of the outstanding principal of its Loans and L/C Advances, accrued interest thereon, accrued fees and all other amounts payable to it hereunder and under the other Loan Documents (including any amounts under </w:t>
      </w:r>
      <w:r>
        <w:rPr>
          <w:rFonts w:ascii="Times New Roman;Times;serif" w:hAnsi="Times New Roman;Times;serif"/>
          <w:sz w:val="22"/>
          <w:u w:val="single"/>
        </w:rPr>
        <w:t>Section 3.05</w:t>
      </w:r>
      <w:r>
        <w:rPr>
          <w:rFonts w:ascii="Times New Roman;Times;serif" w:hAnsi="Times New Roman;Times;serif"/>
          <w:sz w:val="22"/>
        </w:rPr>
        <w:t>) from the assignee (to the extent of such outstanding principal and accrued interest and fees) or the Company or applicable Designated Borrower (in the case of all other amounts);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in the case of any such assignment resulting from a claim for compensation under </w:t>
      </w:r>
      <w:r>
        <w:rPr>
          <w:rFonts w:ascii="Times New Roman;Times;serif" w:hAnsi="Times New Roman;Times;serif"/>
          <w:sz w:val="22"/>
          <w:u w:val="single"/>
        </w:rPr>
        <w:t>Section 3.04</w:t>
      </w:r>
      <w:r>
        <w:rPr>
          <w:rFonts w:ascii="Times New Roman;Times;serif" w:hAnsi="Times New Roman;Times;serif"/>
          <w:sz w:val="20"/>
        </w:rPr>
        <w:t xml:space="preserve"> </w:t>
      </w:r>
      <w:r>
        <w:rPr>
          <w:rFonts w:ascii="Times New Roman;Times;serif" w:hAnsi="Times New Roman;Times;serif"/>
          <w:sz w:val="22"/>
        </w:rPr>
        <w:t xml:space="preserve">or payments required to be made pursuant to </w:t>
      </w:r>
      <w:r>
        <w:rPr>
          <w:rFonts w:ascii="Times New Roman;Times;serif" w:hAnsi="Times New Roman;Times;serif"/>
          <w:sz w:val="22"/>
          <w:u w:val="single"/>
        </w:rPr>
        <w:t>Section 3.01</w:t>
      </w:r>
      <w:r>
        <w:rPr>
          <w:rFonts w:ascii="Times New Roman;Times;serif" w:hAnsi="Times New Roman;Times;serif"/>
          <w:sz w:val="22"/>
        </w:rPr>
        <w:t>, such assignment will result in a reduction in such compensation or payments thereafter;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such assignment does not conflict with applicable Laws;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with respect to the replacement of a Non-Consenting Lender, such assignment is requested within 90 days of such Lender’s failure to approve the applicable amendment, waiver or consent.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A Lender shall not be required to make any such assignment or delegation if, prior thereto, as a result of a waiver by such Lender or otherwise, the circumstances entitling the Company to require such assignment and delegation cease to apply.</w:t>
      </w:r>
    </w:p>
    <w:p>
      <w:pPr>
        <w:pStyle w:val="TextBody"/>
        <w:bidi w:val="0"/>
        <w:spacing w:before="0" w:after="240"/>
        <w:ind w:left="0" w:right="0" w:firstLine="720"/>
        <w:jc w:val="both"/>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 xml:space="preserve">For purposes of this </w:t>
      </w:r>
      <w:r>
        <w:rPr>
          <w:rFonts w:ascii="Times New Roman;Times;serif" w:hAnsi="Times New Roman;Times;serif"/>
          <w:sz w:val="22"/>
          <w:u w:val="single"/>
        </w:rPr>
        <w:t>Section 10.13</w:t>
      </w:r>
      <w:r>
        <w:rPr>
          <w:rFonts w:ascii="Times New Roman;Times;serif" w:hAnsi="Times New Roman;Times;serif"/>
          <w:sz w:val="22"/>
        </w:rPr>
        <w:t>, a “</w:t>
      </w:r>
      <w:r>
        <w:rPr>
          <w:rFonts w:ascii="Times New Roman;Times;serif" w:hAnsi="Times New Roman;Times;serif"/>
          <w:sz w:val="22"/>
          <w:u w:val="single"/>
        </w:rPr>
        <w:t>Non-Consenting Lender</w:t>
      </w:r>
      <w:r>
        <w:rPr>
          <w:rFonts w:ascii="Times New Roman;Times;serif" w:hAnsi="Times New Roman;Times;serif"/>
          <w:sz w:val="20"/>
        </w:rPr>
        <w:t xml:space="preserve">” </w:t>
      </w:r>
      <w:r>
        <w:rPr>
          <w:rFonts w:ascii="Times New Roman;Times;serif" w:hAnsi="Times New Roman;Times;serif"/>
          <w:sz w:val="22"/>
        </w:rPr>
        <w:t xml:space="preserve">means a Lender that fails to approve an amendment, waiver or consent requested by the Company or any other Loan Party pursuant to </w:t>
      </w:r>
      <w:r>
        <w:rPr>
          <w:rFonts w:ascii="Times New Roman;Times;serif" w:hAnsi="Times New Roman;Times;serif"/>
          <w:sz w:val="22"/>
          <w:u w:val="single"/>
        </w:rPr>
        <w:t>Section 10.01</w:t>
      </w:r>
      <w:r>
        <w:rPr>
          <w:rFonts w:ascii="Times New Roman;Times;serif" w:hAnsi="Times New Roman;Times;serif"/>
          <w:sz w:val="20"/>
        </w:rPr>
        <w:t xml:space="preserve"> </w:t>
      </w:r>
      <w:r>
        <w:rPr>
          <w:rFonts w:ascii="Times New Roman;Times;serif" w:hAnsi="Times New Roman;Times;serif"/>
          <w:sz w:val="22"/>
        </w:rPr>
        <w:t>that has received the written approval of not less than the Required Lenders but also requires the approval of such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10.14</w:t>
      </w:r>
      <w:r>
        <w:rPr>
          <w:rFonts w:ascii="Times New Roman;Times;serif" w:hAnsi="Times New Roman;Times;serif"/>
          <w:b/>
          <w:sz w:val="22"/>
        </w:rPr>
        <w:t>Governing Law; Jurisdiction; Etc</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GOVERNING LAW</w:t>
      </w:r>
      <w:r>
        <w:rPr>
          <w:rFonts w:ascii="Times New Roman;Times;serif" w:hAnsi="Times New Roman;Times;serif"/>
          <w:sz w:val="22"/>
        </w:rPr>
        <w:t>. THIS AGREEMENT SHALL BE GOVERNED BY, AND CONSTRUED IN ACCORDANCE WITH, THE LAW OF THE STATE OF NEW YORK.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SUBMISSION TO JURISDICTION</w:t>
      </w:r>
      <w:r>
        <w:rPr>
          <w:rFonts w:ascii="Times New Roman;Times;serif" w:hAnsi="Times New Roman;Times;serif"/>
          <w:sz w:val="22"/>
        </w:rPr>
        <w:t>. EACH PARTY HERETO IRREVOCABLY AND UNCONDITIONALLY SUBMITS, FOR ITSELF AND ITS PROPERTY, TO THE NONEXCLUSIVE JURISDICTION OF THE COURTS OF THE STATE OF NEW YORK SITTING IN NEW YORK COUNTY AND OF THE UNITED STATES DISTRICT COURT OF THE SOUTHERN DISTRICT OF NEW YORK, AND ANY APPELLATE COURT FROM ANY THEREOF,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ANY BORROWER OR ANY OTHER LOAN PARTY OR ITS PROPERTIES IN THE COURTS OF ANY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WAIVER OF VENUE</w:t>
      </w:r>
      <w:r>
        <w:rPr>
          <w:rFonts w:ascii="Times New Roman;Times;serif" w:hAnsi="Times New Roman;Times;serif"/>
          <w:sz w:val="22"/>
        </w:rPr>
        <w:t>.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SERVICE OF PROCESS</w:t>
      </w:r>
      <w:r>
        <w:rPr>
          <w:rFonts w:ascii="Times New Roman;Times;serif" w:hAnsi="Times New Roman;Times;serif"/>
          <w:sz w:val="22"/>
        </w:rPr>
        <w:t xml:space="preserve">. EACH PARTY HERETO IRREVOCABLY CONSENTS TO SERVICE OF PROCESS IN THE MANNER PROVIDED FOR NOTICES IN </w:t>
      </w:r>
      <w:r>
        <w:rPr>
          <w:rFonts w:ascii="Times New Roman;Times;serif" w:hAnsi="Times New Roman;Times;serif"/>
          <w:sz w:val="22"/>
          <w:u w:val="single"/>
        </w:rPr>
        <w:t>SECTION 10.02(a)</w:t>
      </w:r>
      <w:r>
        <w:rPr>
          <w:rFonts w:ascii="Times New Roman;Times;serif" w:hAnsi="Times New Roman;Times;serif"/>
          <w:sz w:val="22"/>
        </w:rPr>
        <w:t xml:space="preserve">. NOTHING IN THIS AGREEMENT WILL AFFECT THE RIGHT OF ANY PARTY HERETO TO SERVE PROCESS IN ANY OTHER MANNER PERMITTED BY APPLICABLE LAW; </w:t>
      </w:r>
      <w:r>
        <w:rPr>
          <w:rFonts w:ascii="Times New Roman;Times;serif" w:hAnsi="Times New Roman;Times;serif"/>
          <w:sz w:val="22"/>
          <w:u w:val="single"/>
        </w:rPr>
        <w:t>PROVIDED</w:t>
      </w:r>
      <w:r>
        <w:rPr>
          <w:rFonts w:ascii="Times New Roman;Times;serif" w:hAnsi="Times New Roman;Times;serif"/>
          <w:sz w:val="22"/>
        </w:rPr>
        <w:t>, THAT NO ELECTRONIC COMMUNICATION SHALL CONSTITUTE SERVICE OF PROCESS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10.15</w:t>
      </w:r>
      <w:r>
        <w:rPr>
          <w:rFonts w:ascii="Times New Roman;Times;serif" w:hAnsi="Times New Roman;Times;serif"/>
          <w:b/>
          <w:sz w:val="22"/>
        </w:rPr>
        <w:t>WAIVER OF JURY TRIAL</w:t>
      </w:r>
      <w:r>
        <w:rPr>
          <w:rFonts w:ascii="Times New Roman;Times;serif" w:hAnsi="Times New Roman;Times;serif"/>
          <w:sz w:val="22"/>
        </w:rPr>
        <w:t>. EACH PARTY HERETO HEREBY IRREVOCABLY WAIVES, TO THE FULLEST EXTENT PERMITTED BY APPLICABLE LAW, ANY RIGHT IT MAY HAVE TO A TRIAL BY JURY IN ANY LEGAL PROCEEDING DIRECTLY OR INDIRECTLY ARISING OUT OF OR RELATING TO THIS AGREEMENT OR ANY OTHER LOAN DOCUMENT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10.16</w:t>
      </w:r>
      <w:r>
        <w:rPr>
          <w:rFonts w:ascii="Times New Roman;Times;serif" w:hAnsi="Times New Roman;Times;serif"/>
          <w:b/>
          <w:sz w:val="22"/>
        </w:rPr>
        <w:t>No Advisory or Fiduciary Responsibility</w:t>
      </w:r>
      <w:r>
        <w:rPr>
          <w:rFonts w:ascii="Times New Roman;Times;serif" w:hAnsi="Times New Roman;Times;serif"/>
          <w:sz w:val="22"/>
        </w:rPr>
        <w:t>. In connection with all aspects of each transaction contemplated hereby (including in connection with any amendment, waiver or other modification hereof or of any other Loan Document), each Borrower and each other Loan Party acknowledges and agrees, and acknowledges each of their respective Affiliates’ understanding, that: (i) (A) the arranging and other services regarding this Agreement provided by the Administrative Agent and the Arrangers are arm’s-length commercial transactions between such Borrower and each other Loan Party and their respective Affiliates, on the one hand, and the Administrative Agent and the Arrangers, on the other hand, (B) each of such Borrower and the other Loan Parties has consulted its own legal, accounting, regulatory and tax advisors to the extent it has deemed appropriate, and (C) such Borrower and each other Loan Party is capable of evaluating, and understands and accepts, the terms, risks and conditions of the transactions contemplated hereby and by the other Loan Documents; (ii) (A), the Administrative Agent and each Arranger is and has been acting solely as a principal and, except as expressly agreed in writing by the relevant parties, has not been, is not, and will not be acting as an advisor, agent or fiduciary for such Borrower, any other Loan Party or any of their respective Affiliates or any other Person and (B) neither the Administrative Agent nor any Arranger has any obligation to such Borrower, any other Loan Party or any of their respective Affiliates with respect to the transactions contemplated hereby except those obligations expressly set forth herein and in the other Loan Documents; and (iii) the Administrative Agent and the Arrangers and their respective Affiliates may be engaged in a broad range of transactions that involve interests that differ from those of such Borrower, the other Loan Parties and their respective Affiliates, and neither the Administrative Agent nor any Arranger has any obligation to disclose any of such interests to such Borrower, any other Loan Party or any of their respective Affiliates. To the fullest extent permitted by law, each Borrower and each other Loan Party hereby waives and releases any claims that it may have against the Administrative Agent and the Arrangers with respect to any breach or alleged breach of agency or fiduciary duty in connection with any aspect of any transaction contemplated hereby. Nothing contained herein shall relieve any Person of its written contractual obligations under the Loan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10.17</w:t>
      </w:r>
      <w:r>
        <w:rPr>
          <w:rFonts w:ascii="Times New Roman;Times;serif" w:hAnsi="Times New Roman;Times;serif"/>
          <w:b/>
          <w:sz w:val="22"/>
        </w:rPr>
        <w:t>USA PATRIOT Act Notice</w:t>
      </w:r>
      <w:r>
        <w:rPr>
          <w:rFonts w:ascii="Times New Roman;Times;serif" w:hAnsi="Times New Roman;Times;serif"/>
          <w:sz w:val="22"/>
        </w:rPr>
        <w:t>. Each Lender that is subject to the PATRIOT Act (as hereinafter defined) and the Administrative Agent (for itself and not on behalf of any Lender) hereby notifies the Borrowers that pursuant to the requirements of the USA PATRIOT Act (Title III of Pub. L. 107-56 (signed into law October 26, 2001)) (the “</w:t>
      </w:r>
      <w:r>
        <w:rPr>
          <w:rFonts w:ascii="Times New Roman;Times;serif" w:hAnsi="Times New Roman;Times;serif"/>
          <w:sz w:val="22"/>
          <w:u w:val="single"/>
        </w:rPr>
        <w:t>PATRIOT Act</w:t>
      </w:r>
      <w:r>
        <w:rPr>
          <w:rFonts w:ascii="Times New Roman;Times;serif" w:hAnsi="Times New Roman;Times;serif"/>
          <w:sz w:val="20"/>
        </w:rPr>
        <w:t>”</w:t>
      </w:r>
      <w:r>
        <w:rPr>
          <w:rFonts w:ascii="Times New Roman;Times;serif" w:hAnsi="Times New Roman;Times;serif"/>
          <w:sz w:val="22"/>
        </w:rPr>
        <w:t>), it is required to obtain, verify and record information that identifies the Borrowers, which information includes the name and address of each Borrower and other information that will allow such Lender or the Administrative Agent, as applicable, to identify such Borrower in accordance with the PATRIOT Act. Each Borrower shall, promptly following a request by the Administrative Agent or any Lender, provide all documentation and other information that the Administrative Agent or such Lender reasonably requests in order to comply with its ongoing obligations under applicable “know your customer” and anti-money laundering rules and regulations, including the PATRIOT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10.18</w:t>
      </w:r>
      <w:r>
        <w:rPr>
          <w:rFonts w:ascii="Times New Roman;Times;serif" w:hAnsi="Times New Roman;Times;serif"/>
          <w:b/>
          <w:sz w:val="22"/>
        </w:rPr>
        <w:t>Judgment Currency</w:t>
      </w:r>
      <w:r>
        <w:rPr>
          <w:rFonts w:ascii="Times New Roman;Times;serif" w:hAnsi="Times New Roman;Times;serif"/>
          <w:sz w:val="22"/>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preceding that on which final judgment is given. The obligation of each Borrower in respect of any such sum due from it to the Administrative Agent or any Lender hereunder or under the other Loan Documents shall, notwithstanding any judgment in a currency (the “</w:t>
      </w:r>
      <w:r>
        <w:rPr>
          <w:rFonts w:ascii="Times New Roman;Times;serif" w:hAnsi="Times New Roman;Times;serif"/>
          <w:sz w:val="22"/>
          <w:u w:val="single"/>
        </w:rPr>
        <w:t>Judgment Currency</w:t>
      </w:r>
      <w:r>
        <w:rPr>
          <w:rFonts w:ascii="Times New Roman;Times;serif" w:hAnsi="Times New Roman;Times;serif"/>
          <w:sz w:val="20"/>
        </w:rPr>
        <w:t>”</w:t>
      </w:r>
      <w:r>
        <w:rPr>
          <w:rFonts w:ascii="Times New Roman;Times;serif" w:hAnsi="Times New Roman;Times;serif"/>
          <w:sz w:val="22"/>
        </w:rPr>
        <w:t>) other than that in which such sum is denominated in accordance with the applicable provisions of this Agreement (the “</w:t>
      </w:r>
      <w:r>
        <w:rPr>
          <w:rFonts w:ascii="Times New Roman;Times;serif" w:hAnsi="Times New Roman;Times;serif"/>
          <w:sz w:val="22"/>
          <w:u w:val="single"/>
        </w:rPr>
        <w:t>Agreement Currency</w:t>
      </w:r>
      <w:r>
        <w:rPr>
          <w:rFonts w:ascii="Times New Roman;Times;serif" w:hAnsi="Times New Roman;Times;serif"/>
          <w:sz w:val="20"/>
        </w:rPr>
        <w:t>”</w:t>
      </w:r>
      <w:r>
        <w:rPr>
          <w:rFonts w:ascii="Times New Roman;Times;serif" w:hAnsi="Times New Roman;Times;serif"/>
          <w:sz w:val="22"/>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any Borrower in the Agreement Currency, such Borrower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such Borrower (or to any other Person who may be entitled thereto under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10.19</w:t>
      </w:r>
      <w:r>
        <w:rPr>
          <w:rFonts w:ascii="Times New Roman;Times;serif" w:hAnsi="Times New Roman;Times;serif"/>
          <w:b/>
          <w:sz w:val="22"/>
        </w:rPr>
        <w:t xml:space="preserve">Electronic Execution; Electronic Records; Counterparts. </w:t>
      </w:r>
      <w:r>
        <w:rPr>
          <w:rFonts w:ascii="Times New Roman;Times;serif" w:hAnsi="Times New Roman;Times;serif"/>
          <w:sz w:val="22"/>
        </w:rPr>
        <w:t>This Agreement and any document, amendment, approval, consent, information, notice, certificate, request, statement, disclosure or authorization related to this Agreement (each a “</w:t>
      </w:r>
      <w:r>
        <w:rPr>
          <w:rFonts w:ascii="Times New Roman;Times;serif" w:hAnsi="Times New Roman;Times;serif"/>
          <w:sz w:val="22"/>
          <w:u w:val="single"/>
        </w:rPr>
        <w:t>Communication</w:t>
      </w:r>
      <w:r>
        <w:rPr>
          <w:rFonts w:ascii="Times New Roman;Times;serif" w:hAnsi="Times New Roman;Times;serif"/>
          <w:sz w:val="20"/>
        </w:rPr>
        <w:t>”</w:t>
      </w:r>
      <w:r>
        <w:rPr>
          <w:rFonts w:ascii="Times New Roman;Times;serif" w:hAnsi="Times New Roman;Times;serif"/>
          <w:sz w:val="22"/>
        </w:rPr>
        <w:t>), including Communications required to be in writing, may be in the form of an Electronic Record and may be executed using Electronic Signatures. Each of the parties hereto agrees that any Electronic Signature on or associated with any Communication shall be valid and binding on each such party to the same extent as a manual, original signature, and that any Communication entered into by Electronic Signature, will constitute the legal, valid and binding obligation of each such party enforceable against each such party in accordance with the terms thereof to the same extent as if a manually executed original signature was delivered. Any Communication may be executed in as many counterparts as necessary or convenient, including both paper and electronic counterparts, but all such counterparts are one and the same Communication. For the avoidance of doubt, the authorization under this paragraph may include, without limitation, use or acceptance by the Administrative Agent and each of the Lenders of a manually signed paper Communication which has been converted into electronic form (such as scanned into PDF format), or an electronically signed Communication converted into another format, for transmission, delivery and/or retention. The Administrative Agent and each of the Lenders may, at its option, create one or more copies of any Communication in the form of an imaged Electronic Record (“</w:t>
      </w:r>
      <w:r>
        <w:rPr>
          <w:rFonts w:ascii="Times New Roman;Times;serif" w:hAnsi="Times New Roman;Times;serif"/>
          <w:sz w:val="22"/>
          <w:u w:val="single"/>
        </w:rPr>
        <w:t>Electronic Copy</w:t>
      </w:r>
      <w:r>
        <w:rPr>
          <w:rFonts w:ascii="Times New Roman;Times;serif" w:hAnsi="Times New Roman;Times;serif"/>
          <w:sz w:val="20"/>
        </w:rPr>
        <w:t>”</w:t>
      </w:r>
      <w:r>
        <w:rPr>
          <w:rFonts w:ascii="Times New Roman;Times;serif" w:hAnsi="Times New Roman;Times;serif"/>
          <w:sz w:val="22"/>
        </w:rPr>
        <w:t xml:space="preserve">), which shall be deemed created in the ordinary course of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neither the Administrative Agent, any L/C Issuer nor the Swing Line Lender is under any obligation to accept an Electronic Signature in any form or in any format unless expressly agreed to by such Person pursuant to procedures approved by it; provided, further, without limiting the foregoing, (a) to the extent the Administrative Agent, any L/C Issuer and/or the Swing Line Lender has agreed to accept such Electronic Signature, the Administrative Agent and each of the Lender Parties shall be entitled to rely on any such Electronic Signature purportedly given by or on behalf of any Loan Party and/or any Lender Party without further verification and (b) upon the request of the Administrative Agent or any Lender Party, any Electronic Signature shall be promptly followed by such manually executed counterpart. </w:t>
      </w:r>
      <w:r>
        <w:rPr>
          <w:rFonts w:ascii="Times New Roman;Times;serif" w:hAnsi="Times New Roman;Times;serif"/>
          <w:color w:val="FF0000"/>
          <w:sz w:val="22"/>
        </w:rPr>
        <w:t xml:space="preserve">For purposes hereof, </w:t>
      </w:r>
      <w:r>
        <w:rPr>
          <w:rFonts w:ascii="Times New Roman;Times;serif" w:hAnsi="Times New Roman;Times;serif"/>
          <w:color w:val="007F00"/>
          <w:sz w:val="20"/>
        </w:rPr>
        <w:t>“</w:t>
      </w:r>
      <w:r>
        <w:rPr>
          <w:rFonts w:ascii="Times New Roman;Times;serif" w:hAnsi="Times New Roman;Times;serif"/>
          <w:color w:val="007F00"/>
          <w:sz w:val="22"/>
          <w:u w:val="single"/>
        </w:rPr>
        <w:t>Electronic Record</w:t>
      </w:r>
      <w:r>
        <w:rPr>
          <w:rFonts w:ascii="Times New Roman;Times;serif" w:hAnsi="Times New Roman;Times;serif"/>
          <w:color w:val="007F00"/>
          <w:sz w:val="20"/>
        </w:rPr>
        <w:t xml:space="preserve">” </w:t>
      </w:r>
      <w:r>
        <w:rPr>
          <w:rFonts w:ascii="Times New Roman;Times;serif" w:hAnsi="Times New Roman;Times;serif"/>
          <w:color w:val="007F00"/>
          <w:sz w:val="22"/>
        </w:rPr>
        <w:t>and “</w:t>
      </w:r>
      <w:r>
        <w:rPr>
          <w:rFonts w:ascii="Times New Roman;Times;serif" w:hAnsi="Times New Roman;Times;serif"/>
          <w:color w:val="007F00"/>
          <w:sz w:val="22"/>
          <w:u w:val="single"/>
        </w:rPr>
        <w:t>Electronic Signature</w:t>
      </w:r>
      <w:r>
        <w:rPr>
          <w:rFonts w:ascii="Times New Roman;Times;serif" w:hAnsi="Times New Roman;Times;serif"/>
          <w:color w:val="007F00"/>
          <w:sz w:val="20"/>
        </w:rPr>
        <w:t xml:space="preserve">” </w:t>
      </w:r>
      <w:r>
        <w:rPr>
          <w:rFonts w:ascii="Times New Roman;Times;serif" w:hAnsi="Times New Roman;Times;serif"/>
          <w:color w:val="007F00"/>
          <w:sz w:val="22"/>
        </w:rPr>
        <w:t xml:space="preserve">shall have the meanings assigned to them, respectively, by 15 </w:t>
      </w:r>
      <w:r>
        <w:rPr>
          <w:rFonts w:ascii="Times New Roman;Times;serif" w:hAnsi="Times New Roman;Times;serif"/>
          <w:b/>
          <w:color w:val="007F00"/>
          <w:sz w:val="22"/>
        </w:rPr>
        <w:t>USC §7006, as it may be amended from time to time.</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Neither the Administrative Agent, L/C Issuer nor Swing Line Lender shall be responsible for or have any duty to ascertain or inquire into the sufficiency, validity, enforceability, effectiveness or genuineness of any Loan Document or any other agreement, instrument or document (including, for the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avoidance of doubt, in connection with the Administrative Agent’s, L/C Issuer’s or Swing Line Lender’s reliance on any Electronic Signature transmitted by telecopy, emailed .pdf or any other electronic means). The Administrative Agent, L/C Issuer and Swing Line Lender shall be entitled to rely on, and shall incur no liability under or in respect of this Agreement or any other Loan Document by acting upon, any Communication (which writing may be a fax, any electronic message, Internet or intranet website posting or other distribution or signed using an Electronic Signature) or any statement made to it orally or by telephone and believed by it to be genuine and signed or sent or otherwise authenticated (whether or not such Person in fact meets the requirements set forth in the Loan Documents for being the maker thereof).</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Each of the Loan Parties and each Lender Party hereby waives (i) any argument, defense or right to contest the legal effect, validity or enforceability of this Agreement, any other Loan Document based solely on the lack of paper original copies of this Agreement, such other Loan Document, and (ii) waives any claim against the Administrative Agent, each Lender Party and each Related Party for any liabilities arising solely from the Administrative Agent’s and/or any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10.20</w:t>
      </w:r>
      <w:r>
        <w:rPr>
          <w:rFonts w:ascii="Times New Roman;Times;serif" w:hAnsi="Times New Roman;Times;serif"/>
          <w:b/>
          <w:sz w:val="22"/>
        </w:rPr>
        <w:t>Acknowledgement and Consent to Bail-In of Affected Financial Institutions</w:t>
      </w:r>
      <w:r>
        <w:rPr>
          <w:rFonts w:ascii="Times New Roman;Times;serif" w:hAnsi="Times New Roman;Times;serif"/>
          <w:sz w:val="22"/>
        </w:rPr>
        <w:t xml:space="preserve">. 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w:t>
      </w:r>
      <w:r>
        <w:rPr>
          <w:rFonts w:ascii="Times New Roman;Times;serif" w:hAnsi="Times New Roman;Times;serif"/>
          <w:color w:val="FF0000"/>
          <w:sz w:val="22"/>
        </w:rPr>
        <w:t>powers</w:t>
      </w:r>
      <w:r>
        <w:rPr>
          <w:rFonts w:ascii="Times New Roman;Times;serif" w:hAnsi="Times New Roman;Times;serif"/>
          <w:color w:val="0000FF"/>
          <w:sz w:val="22"/>
          <w:u w:val="single"/>
        </w:rPr>
        <w:t>Powers</w:t>
      </w:r>
      <w:r>
        <w:rPr>
          <w:rFonts w:ascii="Times New Roman;Times;serif" w:hAnsi="Times New Roman;Times;serif"/>
          <w:sz w:val="20"/>
        </w:rPr>
        <w:t xml:space="preserve"> </w:t>
      </w:r>
      <w:r>
        <w:rPr>
          <w:rFonts w:ascii="Times New Roman;Times;serif" w:hAnsi="Times New Roman;Times;serif"/>
          <w:sz w:val="22"/>
        </w:rPr>
        <w:t>of the applicable Resolution Authority and agrees and consents to, and acknowledges and agrees to be bound 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application of any Write-Down and Conversion Powers by the applicable Resolution Authority to any such liabilities arising hereunder which may be payable to it by any Lender that is an Affected Financial Institution;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the effects of any Bail-In Action on any such liability, including, if applicable:</w:t>
      </w:r>
    </w:p>
    <w:tbl>
      <w:tblPr>
        <w:tblW w:w="6273" w:type="dxa"/>
        <w:jc w:val="left"/>
        <w:tblInd w:w="0" w:type="dxa"/>
        <w:tblLayout w:type="fixed"/>
        <w:tblCellMar>
          <w:top w:w="0" w:type="dxa"/>
          <w:left w:w="0" w:type="dxa"/>
          <w:bottom w:w="0" w:type="dxa"/>
          <w:right w:w="0" w:type="dxa"/>
        </w:tblCellMar>
      </w:tblPr>
      <w:tblGrid>
        <w:gridCol w:w="23"/>
        <w:gridCol w:w="230"/>
        <w:gridCol w:w="602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(i)</w:t>
            </w:r>
          </w:p>
        </w:tc>
        <w:tc>
          <w:tcPr>
            <w:tcW w:w="6020" w:type="dxa"/>
            <w:tcBorders/>
            <w:vAlign w:val="center"/>
          </w:tcPr>
          <w:p>
            <w:pPr>
              <w:pStyle w:val="TableContents"/>
              <w:bidi w:val="0"/>
              <w:spacing w:before="0" w:after="240"/>
              <w:jc w:val="left"/>
              <w:rPr>
                <w:rFonts w:ascii="Times New Roman;Times;serif" w:hAnsi="Times New Roman;Times;serif"/>
                <w:sz w:val="22"/>
              </w:rPr>
            </w:pPr>
            <w:r>
              <w:rPr>
                <w:rFonts w:ascii="Times New Roman;Times;serif" w:hAnsi="Times New Roman;Times;serif"/>
                <w:sz w:val="22"/>
              </w:rPr>
              <w:t>a reduction in full or in part or cancellation of any such liability;</w:t>
            </w:r>
          </w:p>
        </w:tc>
      </w:tr>
    </w:tbl>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the variation of the terms of such liability in connection with the exercise of the Write-Down and Conversion Powers of the applicable Resolution Authority.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2"/>
        </w:rPr>
        <w:t>10.21</w:t>
      </w:r>
      <w:r>
        <w:rPr>
          <w:rFonts w:ascii="Times New Roman;Times;serif" w:hAnsi="Times New Roman;Times;serif"/>
          <w:b/>
          <w:sz w:val="22"/>
        </w:rPr>
        <w:t>Acknowledgement Regarding Any Supported QFCs</w:t>
      </w:r>
      <w:r>
        <w:rPr>
          <w:rFonts w:ascii="Times New Roman;Times;serif" w:hAnsi="Times New Roman;Times;serif"/>
          <w:sz w:val="22"/>
        </w:rPr>
        <w:t>. To the extent that the Loan Documents provide support, through a guarantee or otherwise, for any Swap Contract or any other agreement or instrument that is a QFC (such support, “</w:t>
      </w:r>
      <w:r>
        <w:rPr>
          <w:rFonts w:ascii="Times New Roman;Times;serif" w:hAnsi="Times New Roman;Times;serif"/>
          <w:sz w:val="22"/>
          <w:u w:val="single"/>
        </w:rPr>
        <w:t>QFC Credit Support</w:t>
      </w:r>
      <w:r>
        <w:rPr>
          <w:rFonts w:ascii="Times New Roman;Times;serif" w:hAnsi="Times New Roman;Times;serif"/>
          <w:sz w:val="20"/>
        </w:rPr>
        <w:t>”</w:t>
      </w:r>
      <w:r>
        <w:rPr>
          <w:rFonts w:ascii="Times New Roman;Times;serif" w:hAnsi="Times New Roman;Times;serif"/>
          <w:sz w:val="22"/>
        </w:rPr>
        <w:t>, and each such QFC, a “</w:t>
      </w:r>
      <w:r>
        <w:rPr>
          <w:rFonts w:ascii="Times New Roman;Times;serif" w:hAnsi="Times New Roman;Times;serif"/>
          <w:sz w:val="22"/>
          <w:u w:val="single"/>
        </w:rPr>
        <w:t>Supported QFC</w:t>
      </w:r>
      <w:r>
        <w:rPr>
          <w:rFonts w:ascii="Times New Roman;Times;serif" w:hAnsi="Times New Roman;Times;serif"/>
          <w:sz w:val="20"/>
        </w:rPr>
        <w:t>”</w:t>
      </w:r>
      <w:r>
        <w:rPr>
          <w:rFonts w:ascii="Times New Roman;Times;serif" w:hAnsi="Times New Roman;Times;serif"/>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Times;serif" w:hAnsi="Times New Roman;Times;serif"/>
          <w:sz w:val="22"/>
          <w:u w:val="single"/>
        </w:rPr>
        <w:t>U.S. Special Resolution Regimes</w:t>
      </w:r>
      <w:r>
        <w:rPr>
          <w:rFonts w:ascii="Times New Roman;Times;serif" w:hAnsi="Times New Roman;Times;serif"/>
          <w:sz w:val="20"/>
        </w:rPr>
        <w:t>”</w:t>
      </w:r>
      <w:r>
        <w:rPr>
          <w:rFonts w:ascii="Times New Roman;Times;serif" w:hAnsi="Times New Roman;Times;serif"/>
          <w:sz w:val="22"/>
        </w:rPr>
        <w:t>) in respect of such Supported QFC and QFC Credit Support (with the provisions below applicable notwithstanding that the Loan Documents and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any Supported QFC may in fact be stated to be governed by the laws of the State of New York and/or of the United States or any other state of the United States):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In the event a Covered Entity that is party to a Supported QFC (each, a “</w:t>
      </w:r>
      <w:r>
        <w:rPr>
          <w:rFonts w:ascii="Times New Roman;Times;serif" w:hAnsi="Times New Roman;Times;serif"/>
          <w:sz w:val="22"/>
          <w:u w:val="single"/>
        </w:rPr>
        <w:t>Covered Party</w:t>
      </w:r>
      <w:r>
        <w:rPr>
          <w:rFonts w:ascii="Times New Roman;Times;serif" w:hAnsi="Times New Roman;Times;serif"/>
          <w:sz w:val="20"/>
        </w:rPr>
        <w:t>”</w:t>
      </w:r>
      <w:r>
        <w:rPr>
          <w:rFonts w:ascii="Times New Roman;Times;serif" w:hAnsi="Times New Roman;Times;serif"/>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As used in this </w:t>
      </w:r>
      <w:r>
        <w:rPr>
          <w:rFonts w:ascii="Times New Roman;Times;serif" w:hAnsi="Times New Roman;Times;serif"/>
          <w:sz w:val="22"/>
          <w:u w:val="single"/>
        </w:rPr>
        <w:t>Section 10.21</w:t>
      </w:r>
      <w:r>
        <w:rPr>
          <w:rFonts w:ascii="Times New Roman;Times;serif" w:hAnsi="Times New Roman;Times;serif"/>
          <w:sz w:val="22"/>
        </w:rPr>
        <w:t>, the following terms have the following meanings:</w:t>
      </w:r>
    </w:p>
    <w:p>
      <w:pPr>
        <w:pStyle w:val="TextBody"/>
        <w:bidi w:val="0"/>
        <w:spacing w:before="0" w:after="240"/>
        <w:ind w:left="1440" w:right="0" w:firstLine="720"/>
        <w:jc w:val="both"/>
        <w:rPr/>
      </w:pPr>
      <w:r>
        <w:rPr/>
        <w:t>“</w:t>
      </w:r>
      <w:r>
        <w:rPr>
          <w:rFonts w:ascii="Times New Roman;Times;serif" w:hAnsi="Times New Roman;Times;serif"/>
          <w:sz w:val="22"/>
          <w:u w:val="single"/>
        </w:rPr>
        <w:t>BHC Act Affiliate</w:t>
      </w:r>
      <w:r>
        <w:rPr>
          <w:rFonts w:ascii="Times New Roman;Times;serif" w:hAnsi="Times New Roman;Times;serif"/>
          <w:sz w:val="20"/>
        </w:rPr>
        <w:t xml:space="preserve">” </w:t>
      </w:r>
      <w:r>
        <w:rPr>
          <w:rFonts w:ascii="Times New Roman;Times;serif" w:hAnsi="Times New Roman;Times;serif"/>
          <w:sz w:val="22"/>
        </w:rPr>
        <w:t>of a party means an “affiliate” (as such term is defined under, and interpreted in accordance with, 12 U.S.C. 1841(k)) of such party.</w:t>
      </w:r>
    </w:p>
    <w:p>
      <w:pPr>
        <w:pStyle w:val="TextBody"/>
        <w:bidi w:val="0"/>
        <w:spacing w:before="0" w:after="240"/>
        <w:ind w:left="1440" w:right="0" w:firstLine="720"/>
        <w:jc w:val="both"/>
        <w:rPr/>
      </w:pPr>
      <w:r>
        <w:rPr/>
        <w:t>“</w:t>
      </w:r>
      <w:r>
        <w:rPr>
          <w:rFonts w:ascii="Times New Roman;Times;serif" w:hAnsi="Times New Roman;Times;serif"/>
          <w:sz w:val="22"/>
          <w:u w:val="single"/>
        </w:rPr>
        <w:t>Covered Entity</w:t>
      </w:r>
      <w:r>
        <w:rPr>
          <w:rFonts w:ascii="Times New Roman;Times;serif" w:hAnsi="Times New Roman;Times;serif"/>
          <w:sz w:val="20"/>
        </w:rPr>
        <w:t xml:space="preserve">” </w:t>
      </w:r>
      <w:r>
        <w:rPr>
          <w:rFonts w:ascii="Times New Roman;Times;serif" w:hAnsi="Times New Roman;Times;serif"/>
          <w:sz w:val="22"/>
        </w:rPr>
        <w:t>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before="0" w:after="240"/>
        <w:ind w:left="1440" w:right="0" w:firstLine="720"/>
        <w:jc w:val="both"/>
        <w:rPr/>
      </w:pPr>
      <w:r>
        <w:rPr/>
        <w:t>“</w:t>
      </w:r>
      <w:r>
        <w:rPr>
          <w:rFonts w:ascii="Times New Roman;Times;serif" w:hAnsi="Times New Roman;Times;serif"/>
          <w:sz w:val="22"/>
          <w:u w:val="single"/>
        </w:rPr>
        <w:t>Default Right</w:t>
      </w:r>
      <w:r>
        <w:rPr>
          <w:rFonts w:ascii="Times New Roman;Times;serif" w:hAnsi="Times New Roman;Times;serif"/>
          <w:sz w:val="20"/>
        </w:rPr>
        <w:t xml:space="preserve">” </w:t>
      </w:r>
      <w:r>
        <w:rPr>
          <w:rFonts w:ascii="Times New Roman;Times;serif" w:hAnsi="Times New Roman;Times;serif"/>
          <w:sz w:val="22"/>
        </w:rPr>
        <w:t>has the meaning assigned to that term in, and shall be interpreted in accordance with, 12 C.F.R. §§ 252.81, 47.2 or 382.1, as applicable.</w:t>
      </w:r>
    </w:p>
    <w:p>
      <w:pPr>
        <w:pStyle w:val="TextBody"/>
        <w:bidi w:val="0"/>
        <w:spacing w:before="0" w:after="240"/>
        <w:ind w:left="1440" w:right="0" w:firstLine="720"/>
        <w:jc w:val="both"/>
        <w:rPr/>
      </w:pPr>
      <w:r>
        <w:rPr/>
        <w:t>“</w:t>
      </w:r>
      <w:r>
        <w:rPr>
          <w:rFonts w:ascii="Times New Roman;Times;serif" w:hAnsi="Times New Roman;Times;serif"/>
          <w:sz w:val="22"/>
          <w:u w:val="single"/>
        </w:rPr>
        <w:t>QFC</w:t>
      </w:r>
      <w:r>
        <w:rPr>
          <w:rFonts w:ascii="Times New Roman;Times;serif" w:hAnsi="Times New Roman;Times;serif"/>
          <w:sz w:val="20"/>
        </w:rPr>
        <w:t xml:space="preserve">” </w:t>
      </w:r>
      <w:r>
        <w:rPr>
          <w:rFonts w:ascii="Times New Roman;Times;serif" w:hAnsi="Times New Roman;Times;serif"/>
          <w:sz w:val="22"/>
        </w:rPr>
        <w:t>has the meaning assigned to the term “qualified financial contract” in, and shall be interpreted in accordance with, 12 U.S.C. 5390(c)(8)(D).</w:t>
      </w:r>
    </w:p>
    <w:p>
      <w:pPr>
        <w:pStyle w:val="TextBody"/>
        <w:bidi w:val="0"/>
        <w:spacing w:before="0" w:after="240"/>
        <w:ind w:left="0" w:right="0" w:hanging="0"/>
        <w:jc w:val="center"/>
        <w:rPr>
          <w:rFonts w:ascii="Times New Roman;Times;serif" w:hAnsi="Times New Roman;Times;serif"/>
          <w:b/>
          <w:i/>
          <w:sz w:val="20"/>
        </w:rPr>
      </w:pPr>
      <w:r>
        <w:rPr>
          <w:rFonts w:ascii="Times New Roman;Times;serif" w:hAnsi="Times New Roman;Times;serif"/>
          <w:b/>
          <w:i/>
          <w:sz w:val="20"/>
        </w:rPr>
        <w:t>[Signature pages intentionally removed.]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82241</Words>
  <Characters>433451</Characters>
  <CharactersWithSpaces>514509</CharactersWithSpaces>
  <Paragraphs>3032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