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932180</wp:posOffset>
            </wp:positionH>
            <wp:positionV relativeFrom="page">
              <wp:posOffset>340360</wp:posOffset>
            </wp:positionV>
            <wp:extent cx="56845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84520" cy="25400"/>
                    </a:xfrm>
                    <a:prstGeom prst="rect">
                      <a:avLst/>
                    </a:prstGeom>
                    <a:noFill/>
                  </pic:spPr>
                </pic:pic>
              </a:graphicData>
            </a:graphic>
          </wp:anchor>
        </w:drawing>
        <w:drawing>
          <wp:anchor simplePos="0" relativeHeight="251657728" behindDoc="1" locked="0" layoutInCell="0" allowOverlap="1">
            <wp:simplePos x="0" y="0"/>
            <wp:positionH relativeFrom="page">
              <wp:posOffset>932180</wp:posOffset>
            </wp:positionH>
            <wp:positionV relativeFrom="page">
              <wp:posOffset>372110</wp:posOffset>
            </wp:positionV>
            <wp:extent cx="5684520"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84520" cy="6350"/>
                    </a:xfrm>
                    <a:prstGeom prst="rect">
                      <a:avLst/>
                    </a:prstGeom>
                    <a:noFill/>
                  </pic:spPr>
                </pic:pic>
              </a:graphicData>
            </a:graphic>
          </wp:anchor>
        </w:drawing>
        <w:t>UNITED STATES</w:t>
      </w:r>
    </w:p>
    <w:p>
      <w:pPr>
        <w:spacing w:after="0" w:line="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2149475</wp:posOffset>
            </wp:positionH>
            <wp:positionV relativeFrom="paragraph">
              <wp:posOffset>193040</wp:posOffset>
            </wp:positionV>
            <wp:extent cx="1421130" cy="127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1130" cy="12700"/>
                    </a:xfrm>
                    <a:prstGeom prst="rect">
                      <a:avLst/>
                    </a:prstGeom>
                    <a:noFill/>
                  </pic:spPr>
                </pic:pic>
              </a:graphicData>
            </a:graphic>
          </wp:anchor>
        </w:drawing>
      </w:r>
    </w:p>
    <w:p>
      <w:pPr>
        <w:spacing w:after="0" w:line="200" w:lineRule="exact"/>
        <w:rPr>
          <w:sz w:val="24"/>
          <w:szCs w:val="24"/>
          <w:color w:val="auto"/>
        </w:rPr>
      </w:pPr>
    </w:p>
    <w:p>
      <w:pPr>
        <w:spacing w:after="0" w:line="2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FORM SD</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SPECIALIZED DISCLOSURE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2149475</wp:posOffset>
            </wp:positionH>
            <wp:positionV relativeFrom="paragraph">
              <wp:posOffset>76200</wp:posOffset>
            </wp:positionV>
            <wp:extent cx="1421130" cy="127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1130" cy="127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AVNET, INC.</w:t>
      </w:r>
    </w:p>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color w:val="auto"/>
        </w:rPr>
        <w:t>(Exact name of registrant as specified in its charter)</w:t>
      </w:r>
    </w:p>
    <w:p>
      <w:pPr>
        <w:sectPr>
          <w:pgSz w:w="11900" w:h="16838" w:orient="portrait"/>
          <w:cols w:equalWidth="0" w:num="1">
            <w:col w:w="9019"/>
          </w:cols>
          <w:pgMar w:left="1440" w:top="723" w:right="1440" w:bottom="1440" w:gutter="0" w:footer="0" w:header="0"/>
        </w:sectPr>
      </w:pPr>
    </w:p>
    <w:p>
      <w:pPr>
        <w:spacing w:after="0" w:line="200" w:lineRule="exact"/>
        <w:rPr>
          <w:sz w:val="24"/>
          <w:szCs w:val="24"/>
          <w:color w:val="auto"/>
        </w:rPr>
      </w:pPr>
    </w:p>
    <w:p>
      <w:pPr>
        <w:spacing w:after="0" w:line="397" w:lineRule="exact"/>
        <w:rPr>
          <w:sz w:val="24"/>
          <w:szCs w:val="24"/>
          <w:color w:val="auto"/>
        </w:rPr>
      </w:pPr>
    </w:p>
    <w:p>
      <w:pPr>
        <w:ind w:left="1180"/>
        <w:spacing w:after="0"/>
        <w:rPr>
          <w:sz w:val="20"/>
          <w:szCs w:val="20"/>
          <w:color w:val="auto"/>
        </w:rPr>
      </w:pPr>
      <w:r>
        <w:rPr>
          <w:rFonts w:ascii="Times New Roman" w:cs="Times New Roman" w:eastAsia="Times New Roman" w:hAnsi="Times New Roman"/>
          <w:sz w:val="13"/>
          <w:szCs w:val="13"/>
          <w:b w:val="1"/>
          <w:bCs w:val="1"/>
          <w:color w:val="auto"/>
        </w:rPr>
        <w:t>New York</w:t>
      </w:r>
    </w:p>
    <w:p>
      <w:pPr>
        <w:spacing w:after="0" w:line="24" w:lineRule="exact"/>
        <w:rPr>
          <w:sz w:val="24"/>
          <w:szCs w:val="24"/>
          <w:color w:val="auto"/>
        </w:rPr>
      </w:pPr>
    </w:p>
    <w:p>
      <w:pPr>
        <w:ind w:left="760"/>
        <w:spacing w:after="0"/>
        <w:rPr>
          <w:sz w:val="20"/>
          <w:szCs w:val="20"/>
          <w:color w:val="auto"/>
        </w:rPr>
      </w:pPr>
      <w:r>
        <w:rPr>
          <w:rFonts w:ascii="Times New Roman" w:cs="Times New Roman" w:eastAsia="Times New Roman" w:hAnsi="Times New Roman"/>
          <w:sz w:val="13"/>
          <w:szCs w:val="13"/>
          <w:color w:val="auto"/>
        </w:rPr>
        <w:t>(State or other jurisdiction</w:t>
      </w:r>
    </w:p>
    <w:p>
      <w:pPr>
        <w:spacing w:after="0" w:line="9" w:lineRule="exact"/>
        <w:rPr>
          <w:sz w:val="24"/>
          <w:szCs w:val="24"/>
          <w:color w:val="auto"/>
        </w:rPr>
      </w:pPr>
    </w:p>
    <w:p>
      <w:pPr>
        <w:ind w:left="600"/>
        <w:spacing w:after="0"/>
        <w:rPr>
          <w:sz w:val="20"/>
          <w:szCs w:val="20"/>
          <w:color w:val="auto"/>
        </w:rPr>
      </w:pPr>
      <w:r>
        <w:rPr>
          <w:rFonts w:ascii="Times New Roman" w:cs="Times New Roman" w:eastAsia="Times New Roman" w:hAnsi="Times New Roman"/>
          <w:sz w:val="13"/>
          <w:szCs w:val="13"/>
          <w:color w:val="auto"/>
        </w:rPr>
        <w:t>of 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7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3"/>
          <w:szCs w:val="13"/>
          <w:b w:val="1"/>
          <w:bCs w:val="1"/>
          <w:color w:val="auto"/>
        </w:rPr>
        <w:t>1-4224</w:t>
      </w:r>
    </w:p>
    <w:p>
      <w:pPr>
        <w:spacing w:after="0" w:line="24"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3"/>
          <w:szCs w:val="13"/>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77" w:lineRule="exact"/>
        <w:rPr>
          <w:sz w:val="24"/>
          <w:szCs w:val="24"/>
          <w:color w:val="auto"/>
        </w:rPr>
      </w:pPr>
    </w:p>
    <w:p>
      <w:pPr>
        <w:jc w:val="center"/>
        <w:ind w:right="899"/>
        <w:spacing w:after="0"/>
        <w:rPr>
          <w:sz w:val="20"/>
          <w:szCs w:val="20"/>
          <w:color w:val="auto"/>
        </w:rPr>
      </w:pPr>
      <w:r>
        <w:rPr>
          <w:rFonts w:ascii="Times New Roman" w:cs="Times New Roman" w:eastAsia="Times New Roman" w:hAnsi="Times New Roman"/>
          <w:sz w:val="13"/>
          <w:szCs w:val="13"/>
          <w:b w:val="1"/>
          <w:bCs w:val="1"/>
          <w:color w:val="auto"/>
        </w:rPr>
        <w:t>11-1890605</w:t>
      </w:r>
    </w:p>
    <w:p>
      <w:pPr>
        <w:spacing w:after="0" w:line="24" w:lineRule="exact"/>
        <w:rPr>
          <w:sz w:val="24"/>
          <w:szCs w:val="24"/>
          <w:color w:val="auto"/>
        </w:rPr>
      </w:pPr>
    </w:p>
    <w:p>
      <w:pPr>
        <w:jc w:val="center"/>
        <w:ind w:right="899"/>
        <w:spacing w:after="0"/>
        <w:rPr>
          <w:sz w:val="20"/>
          <w:szCs w:val="20"/>
          <w:color w:val="auto"/>
        </w:rPr>
      </w:pPr>
      <w:r>
        <w:rPr>
          <w:rFonts w:ascii="Times New Roman" w:cs="Times New Roman" w:eastAsia="Times New Roman" w:hAnsi="Times New Roman"/>
          <w:sz w:val="13"/>
          <w:szCs w:val="13"/>
          <w:color w:val="auto"/>
        </w:rPr>
        <w:t>(IRS Employer</w:t>
      </w:r>
    </w:p>
    <w:p>
      <w:pPr>
        <w:spacing w:after="0" w:line="9" w:lineRule="exact"/>
        <w:rPr>
          <w:sz w:val="24"/>
          <w:szCs w:val="24"/>
          <w:color w:val="auto"/>
        </w:rPr>
      </w:pPr>
    </w:p>
    <w:p>
      <w:pPr>
        <w:jc w:val="center"/>
        <w:ind w:right="899"/>
        <w:spacing w:after="0"/>
        <w:rPr>
          <w:sz w:val="20"/>
          <w:szCs w:val="20"/>
          <w:color w:val="auto"/>
        </w:rPr>
      </w:pPr>
      <w:r>
        <w:rPr>
          <w:rFonts w:ascii="Times New Roman" w:cs="Times New Roman" w:eastAsia="Times New Roman" w:hAnsi="Times New Roman"/>
          <w:sz w:val="13"/>
          <w:szCs w:val="13"/>
          <w:color w:val="auto"/>
        </w:rPr>
        <w:t>Identification No.)</w:t>
      </w:r>
    </w:p>
    <w:p>
      <w:pPr>
        <w:spacing w:after="0" w:line="162" w:lineRule="exact"/>
        <w:rPr>
          <w:sz w:val="24"/>
          <w:szCs w:val="24"/>
          <w:color w:val="auto"/>
        </w:rPr>
      </w:pPr>
    </w:p>
    <w:p>
      <w:pPr>
        <w:sectPr>
          <w:pgSz w:w="11900" w:h="16838" w:orient="portrait"/>
          <w:cols w:equalWidth="0" w:num="3">
            <w:col w:w="3140" w:space="720"/>
            <w:col w:w="2560" w:space="720"/>
            <w:col w:w="1879"/>
          </w:cols>
          <w:pgMar w:left="1440" w:top="723" w:right="1440" w:bottom="1440" w:gutter="0" w:footer="0" w:header="0"/>
          <w:type w:val="continuous"/>
        </w:sectPr>
      </w:pPr>
    </w:p>
    <w:p>
      <w:pPr>
        <w:jc w:val="center"/>
        <w:ind w:right="1380"/>
        <w:spacing w:after="0"/>
        <w:rPr>
          <w:sz w:val="20"/>
          <w:szCs w:val="20"/>
          <w:color w:val="auto"/>
        </w:rPr>
      </w:pPr>
      <w:r>
        <w:rPr>
          <w:rFonts w:ascii="Times New Roman" w:cs="Times New Roman" w:eastAsia="Times New Roman" w:hAnsi="Times New Roman"/>
          <w:sz w:val="13"/>
          <w:szCs w:val="13"/>
          <w:b w:val="1"/>
          <w:bCs w:val="1"/>
          <w:color w:val="auto"/>
        </w:rPr>
        <w:t>2211 South 47th Street, Phoenix, Arizona</w:t>
      </w:r>
    </w:p>
    <w:p>
      <w:pPr>
        <w:spacing w:after="0" w:line="24" w:lineRule="exact"/>
        <w:rPr>
          <w:sz w:val="24"/>
          <w:szCs w:val="24"/>
          <w:color w:val="auto"/>
        </w:rPr>
      </w:pPr>
    </w:p>
    <w:p>
      <w:pPr>
        <w:jc w:val="center"/>
        <w:ind w:right="1380"/>
        <w:spacing w:after="0"/>
        <w:rPr>
          <w:sz w:val="20"/>
          <w:szCs w:val="20"/>
          <w:color w:val="auto"/>
        </w:rPr>
      </w:pPr>
      <w:r>
        <w:rPr>
          <w:rFonts w:ascii="Times New Roman" w:cs="Times New Roman" w:eastAsia="Times New Roman" w:hAnsi="Times New Roman"/>
          <w:sz w:val="13"/>
          <w:szCs w:val="13"/>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1899"/>
        <w:spacing w:after="0"/>
        <w:rPr>
          <w:sz w:val="20"/>
          <w:szCs w:val="20"/>
          <w:color w:val="auto"/>
        </w:rPr>
      </w:pPr>
      <w:r>
        <w:rPr>
          <w:rFonts w:ascii="Times New Roman" w:cs="Times New Roman" w:eastAsia="Times New Roman" w:hAnsi="Times New Roman"/>
          <w:sz w:val="13"/>
          <w:szCs w:val="13"/>
          <w:b w:val="1"/>
          <w:bCs w:val="1"/>
          <w:color w:val="auto"/>
        </w:rPr>
        <w:t>85034</w:t>
      </w:r>
    </w:p>
    <w:p>
      <w:pPr>
        <w:spacing w:after="0" w:line="24" w:lineRule="exact"/>
        <w:rPr>
          <w:sz w:val="24"/>
          <w:szCs w:val="24"/>
          <w:color w:val="auto"/>
        </w:rPr>
      </w:pPr>
    </w:p>
    <w:p>
      <w:pPr>
        <w:jc w:val="center"/>
        <w:ind w:right="1899"/>
        <w:spacing w:after="0"/>
        <w:rPr>
          <w:sz w:val="20"/>
          <w:szCs w:val="20"/>
          <w:color w:val="auto"/>
        </w:rPr>
      </w:pPr>
      <w:r>
        <w:rPr>
          <w:rFonts w:ascii="Times New Roman" w:cs="Times New Roman" w:eastAsia="Times New Roman" w:hAnsi="Times New Roman"/>
          <w:sz w:val="13"/>
          <w:szCs w:val="13"/>
          <w:color w:val="auto"/>
        </w:rPr>
        <w:t>(Zip Code)</w:t>
      </w:r>
    </w:p>
    <w:p>
      <w:pPr>
        <w:spacing w:after="0" w:line="200" w:lineRule="exact"/>
        <w:rPr>
          <w:sz w:val="24"/>
          <w:szCs w:val="24"/>
          <w:color w:val="auto"/>
        </w:rPr>
      </w:pPr>
    </w:p>
    <w:p>
      <w:pPr>
        <w:sectPr>
          <w:pgSz w:w="11900" w:h="16838" w:orient="portrait"/>
          <w:cols w:equalWidth="0" w:num="2">
            <w:col w:w="5820" w:space="720"/>
            <w:col w:w="2479"/>
          </w:cols>
          <w:pgMar w:left="1440" w:top="723" w:right="1440" w:bottom="1440" w:gutter="0" w:footer="0" w:header="0"/>
          <w:type w:val="continuous"/>
        </w:sectPr>
      </w:pP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Darrel S. Jackson</w:t>
      </w:r>
    </w:p>
    <w:p>
      <w:pPr>
        <w:spacing w:after="0" w:line="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Corporate Secretary</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(480) 643-2000</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(Name and telephone number, including area code,</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of the person to contact in connection with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407670</wp:posOffset>
            </wp:positionV>
            <wp:extent cx="5684520"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84520" cy="25400"/>
                    </a:xfrm>
                    <a:prstGeom prst="rect">
                      <a:avLst/>
                    </a:prstGeom>
                    <a:noFill/>
                  </pic:spPr>
                </pic:pic>
              </a:graphicData>
            </a:graphic>
          </wp:anchor>
        </w:drawing>
        <w:drawing>
          <wp:anchor simplePos="0" relativeHeight="251657728" behindDoc="1" locked="0" layoutInCell="0" allowOverlap="1">
            <wp:simplePos x="0" y="0"/>
            <wp:positionH relativeFrom="column">
              <wp:posOffset>17780</wp:posOffset>
            </wp:positionH>
            <wp:positionV relativeFrom="paragraph">
              <wp:posOffset>395605</wp:posOffset>
            </wp:positionV>
            <wp:extent cx="5684520"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84520" cy="6350"/>
                    </a:xfrm>
                    <a:prstGeom prst="rect">
                      <a:avLst/>
                    </a:prstGeom>
                    <a:noFill/>
                  </pic:spPr>
                </pic:pic>
              </a:graphicData>
            </a:graphic>
          </wp:anchor>
        </w:drawing>
        <w:drawing>
          <wp:anchor simplePos="0" relativeHeight="251657728" behindDoc="1" locked="0" layoutInCell="0" allowOverlap="1">
            <wp:simplePos x="0" y="0"/>
            <wp:positionH relativeFrom="column">
              <wp:posOffset>2149475</wp:posOffset>
            </wp:positionH>
            <wp:positionV relativeFrom="paragraph">
              <wp:posOffset>200660</wp:posOffset>
            </wp:positionV>
            <wp:extent cx="1421130" cy="127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1130" cy="127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3"/>
          <w:szCs w:val="13"/>
          <w:color w:val="auto"/>
        </w:rPr>
        <w:t>Check the appropriate box to indicate the rule pursuant to which this form is being filed, and provide the period to which the information in this form applies:</w:t>
      </w:r>
    </w:p>
    <w:p>
      <w:pPr>
        <w:spacing w:after="0" w:line="167" w:lineRule="exact"/>
        <w:rPr>
          <w:sz w:val="24"/>
          <w:szCs w:val="24"/>
          <w:color w:val="auto"/>
        </w:rPr>
      </w:pPr>
    </w:p>
    <w:p>
      <w:pPr>
        <w:ind w:left="420" w:hanging="392"/>
        <w:spacing w:after="0"/>
        <w:tabs>
          <w:tab w:leader="none" w:pos="42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Rule 13p-1 under the Securities Exchange Act (17 CFR 240.13p-1) for the reporting period from January 1 to December 31,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516890</wp:posOffset>
            </wp:positionV>
            <wp:extent cx="5684520" cy="190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84520" cy="19050"/>
                    </a:xfrm>
                    <a:prstGeom prst="rect">
                      <a:avLst/>
                    </a:prstGeom>
                    <a:noFill/>
                  </pic:spPr>
                </pic:pic>
              </a:graphicData>
            </a:graphic>
          </wp:anchor>
        </w:drawing>
      </w:r>
    </w:p>
    <w:p>
      <w:pPr>
        <w:sectPr>
          <w:pgSz w:w="11900" w:h="16838" w:orient="portrait"/>
          <w:cols w:equalWidth="0" w:num="1">
            <w:col w:w="9019"/>
          </w:cols>
          <w:pgMar w:left="1440" w:top="723" w:right="1440" w:bottom="1440" w:gutter="0" w:footer="0" w:header="0"/>
          <w:type w:val="continuous"/>
        </w:sectPr>
      </w:pPr>
    </w:p>
    <w:bookmarkStart w:id="1" w:name="page2"/>
    <w:bookmarkEnd w:id="1"/>
    <w:p>
      <w:pPr>
        <w:ind w:left="20"/>
        <w:spacing w:after="0"/>
        <w:rPr>
          <w:sz w:val="20"/>
          <w:szCs w:val="20"/>
          <w:color w:val="auto"/>
        </w:rPr>
      </w:pPr>
      <w:r>
        <w:rPr>
          <w:rFonts w:ascii="Times New Roman" w:cs="Times New Roman" w:eastAsia="Times New Roman" w:hAnsi="Times New Roman"/>
          <w:sz w:val="13"/>
          <w:szCs w:val="13"/>
          <w:b w:val="1"/>
          <w:bCs w:val="1"/>
          <w:color w:val="auto"/>
        </w:rPr>
        <w:t>Section 1 – Conflict Minerals Disclosure</w:t>
      </w:r>
    </w:p>
    <w:p>
      <w:pPr>
        <w:spacing w:after="0" w:line="1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Item 1.01 Conflict Minerals Disclosure and Report</w:t>
      </w:r>
    </w:p>
    <w:p>
      <w:pPr>
        <w:spacing w:after="0" w:line="169" w:lineRule="exact"/>
        <w:rPr>
          <w:sz w:val="20"/>
          <w:szCs w:val="20"/>
          <w:color w:val="auto"/>
        </w:rPr>
      </w:pPr>
    </w:p>
    <w:p>
      <w:pPr>
        <w:ind w:left="20" w:right="59"/>
        <w:spacing w:after="0" w:line="266" w:lineRule="auto"/>
        <w:rPr>
          <w:sz w:val="20"/>
          <w:szCs w:val="20"/>
          <w:color w:val="auto"/>
        </w:rPr>
      </w:pPr>
      <w:r>
        <w:rPr>
          <w:rFonts w:ascii="Times New Roman" w:cs="Times New Roman" w:eastAsia="Times New Roman" w:hAnsi="Times New Roman"/>
          <w:sz w:val="13"/>
          <w:szCs w:val="13"/>
          <w:color w:val="auto"/>
        </w:rPr>
        <w:t>This Specialized Disclosure Report on Form SD and the Conflict Minerals Report, filed as Exhibit 1.01, is filed by Avnet, Inc. (collectively with its consolidated subsidiaries, the “Company”) pursuant to Rule 13p-1 under the Securities Exchange Act of 1934, as amended (“Conflict Minerals Rule”), for the calendar year ended December 31, 2025, and is posted on the Company’s website at https://www.avnet.com/wps/portal/us/about-avnet/human-rights/conflict-minerals. Information contained on, or accessible through, the Company’s website is neither part of nor incorporated by reference into this Report.</w:t>
      </w:r>
    </w:p>
    <w:p>
      <w:pPr>
        <w:spacing w:after="0" w:line="1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Item 1.02 Exhibit</w:t>
      </w:r>
    </w:p>
    <w:p>
      <w:pPr>
        <w:spacing w:after="0" w:line="1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The Conflict Minerals Report described in Item 1.01 is filed as Exhibit 1.01 to this Form SD.</w:t>
      </w:r>
    </w:p>
    <w:p>
      <w:pPr>
        <w:spacing w:after="0" w:line="16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Section 2 – Exhibits</w:t>
      </w:r>
    </w:p>
    <w:p>
      <w:pPr>
        <w:spacing w:after="0" w:line="1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Item 2.01 Exhibits</w:t>
      </w:r>
    </w:p>
    <w:p>
      <w:pPr>
        <w:spacing w:after="0" w:line="1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Exhibit</w:t>
      </w:r>
    </w:p>
    <w:p>
      <w:pPr>
        <w:spacing w:after="0" w:line="24" w:lineRule="exact"/>
        <w:rPr>
          <w:sz w:val="20"/>
          <w:szCs w:val="20"/>
          <w:color w:val="auto"/>
        </w:rPr>
      </w:pPr>
    </w:p>
    <w:p>
      <w:pPr>
        <w:ind w:left="20"/>
        <w:spacing w:after="0"/>
        <w:tabs>
          <w:tab w:leader="none" w:pos="760" w:val="left"/>
          <w:tab w:leader="none" w:pos="940" w:val="left"/>
        </w:tabs>
        <w:rPr>
          <w:sz w:val="20"/>
          <w:szCs w:val="20"/>
          <w:color w:val="auto"/>
        </w:rPr>
      </w:pPr>
      <w:r>
        <w:rPr>
          <w:rFonts w:ascii="Times New Roman" w:cs="Times New Roman" w:eastAsia="Times New Roman" w:hAnsi="Times New Roman"/>
          <w:sz w:val="13"/>
          <w:szCs w:val="13"/>
          <w:b w:val="1"/>
          <w:bCs w:val="1"/>
          <w:color w:val="auto"/>
        </w:rPr>
        <w:t>Number</w:t>
      </w:r>
      <w:r>
        <w:rPr>
          <w:sz w:val="20"/>
          <w:szCs w:val="20"/>
          <w:color w:val="auto"/>
        </w:rPr>
        <w:tab/>
      </w:r>
      <w:r>
        <w:rPr>
          <w:rFonts w:ascii="Times New Roman" w:cs="Times New Roman" w:eastAsia="Times New Roman" w:hAnsi="Times New Roman"/>
          <w:sz w:val="13"/>
          <w:szCs w:val="13"/>
          <w:color w:val="auto"/>
        </w:rPr>
        <w:t>​​</w:t>
      </w:r>
      <w:r>
        <w:rPr>
          <w:sz w:val="20"/>
          <w:szCs w:val="20"/>
          <w:color w:val="auto"/>
        </w:rPr>
        <w:tab/>
      </w:r>
      <w:r>
        <w:rPr>
          <w:rFonts w:ascii="Times New Roman" w:cs="Times New Roman" w:eastAsia="Times New Roman" w:hAnsi="Times New Roman"/>
          <w:sz w:val="13"/>
          <w:szCs w:val="13"/>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5715</wp:posOffset>
            </wp:positionV>
            <wp:extent cx="5684520" cy="63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84520" cy="6350"/>
                    </a:xfrm>
                    <a:prstGeom prst="rect">
                      <a:avLst/>
                    </a:prstGeom>
                    <a:noFill/>
                  </pic:spPr>
                </pic:pic>
              </a:graphicData>
            </a:graphic>
          </wp:anchor>
        </w:drawing>
      </w:r>
    </w:p>
    <w:p>
      <w:pPr>
        <w:spacing w:after="0" w:line="144" w:lineRule="exact"/>
        <w:rPr>
          <w:sz w:val="20"/>
          <w:szCs w:val="20"/>
          <w:color w:val="auto"/>
        </w:rPr>
      </w:pPr>
    </w:p>
    <w:p>
      <w:pPr>
        <w:ind w:left="20"/>
        <w:spacing w:after="0"/>
        <w:tabs>
          <w:tab w:leader="none" w:pos="940" w:val="left"/>
        </w:tabs>
        <w:rPr>
          <w:sz w:val="20"/>
          <w:szCs w:val="20"/>
          <w:color w:val="auto"/>
        </w:rPr>
      </w:pPr>
      <w:r>
        <w:rPr>
          <w:rFonts w:ascii="Times New Roman" w:cs="Times New Roman" w:eastAsia="Times New Roman" w:hAnsi="Times New Roman"/>
          <w:sz w:val="13"/>
          <w:szCs w:val="13"/>
          <w:u w:val="single" w:color="auto"/>
          <w:color w:val="0000EE"/>
        </w:rPr>
        <w:t>1.01</w:t>
      </w:r>
      <w:r>
        <w:rPr>
          <w:sz w:val="20"/>
          <w:szCs w:val="20"/>
          <w:color w:val="auto"/>
        </w:rPr>
        <w:tab/>
      </w:r>
      <w:r>
        <w:rPr>
          <w:rFonts w:ascii="Times New Roman" w:cs="Times New Roman" w:eastAsia="Times New Roman" w:hAnsi="Times New Roman"/>
          <w:sz w:val="13"/>
          <w:szCs w:val="13"/>
          <w:u w:val="single" w:color="auto"/>
          <w:color w:val="0000EE"/>
        </w:rPr>
        <w:t>Conflict Minerals Report for the calendar year ended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365760</wp:posOffset>
            </wp:positionV>
            <wp:extent cx="5684520" cy="19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84520" cy="19050"/>
                    </a:xfrm>
                    <a:prstGeom prst="rect">
                      <a:avLst/>
                    </a:prstGeom>
                    <a:noFill/>
                  </pic:spPr>
                </pic:pic>
              </a:graphicData>
            </a:graphic>
          </wp:anchor>
        </w:drawing>
      </w:r>
    </w:p>
    <w:p>
      <w:pPr>
        <w:sectPr>
          <w:pgSz w:w="11900" w:h="16838" w:orient="portrait"/>
          <w:cols w:equalWidth="0" w:num="1">
            <w:col w:w="9019"/>
          </w:cols>
          <w:pgMar w:left="1440" w:top="759" w:right="1440"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3"/>
          <w:szCs w:val="13"/>
          <w:b w:val="1"/>
          <w:bCs w:val="1"/>
          <w:color w:val="auto"/>
        </w:rPr>
        <w:t>SIGNATURE</w:t>
      </w:r>
    </w:p>
    <w:p>
      <w:pPr>
        <w:spacing w:after="0" w:line="140" w:lineRule="exact"/>
        <w:rPr>
          <w:sz w:val="20"/>
          <w:szCs w:val="20"/>
          <w:color w:val="auto"/>
        </w:rPr>
      </w:pPr>
    </w:p>
    <w:p>
      <w:pPr>
        <w:ind w:left="20" w:right="239"/>
        <w:spacing w:after="0" w:line="289" w:lineRule="auto"/>
        <w:rPr>
          <w:sz w:val="20"/>
          <w:szCs w:val="20"/>
          <w:color w:val="auto"/>
        </w:rPr>
      </w:pPr>
      <w:r>
        <w:rPr>
          <w:rFonts w:ascii="Times New Roman" w:cs="Times New Roman" w:eastAsia="Times New Roman" w:hAnsi="Times New Roman"/>
          <w:sz w:val="13"/>
          <w:szCs w:val="13"/>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p>
      <w:pPr>
        <w:ind w:left="20"/>
        <w:spacing w:after="0"/>
        <w:tabs>
          <w:tab w:leader="none" w:pos="4100" w:val="left"/>
        </w:tabs>
        <w:rPr>
          <w:sz w:val="20"/>
          <w:szCs w:val="20"/>
          <w:color w:val="auto"/>
        </w:rPr>
      </w:pPr>
      <w:r>
        <w:rPr>
          <w:rFonts w:ascii="Times New Roman" w:cs="Times New Roman" w:eastAsia="Times New Roman" w:hAnsi="Times New Roman"/>
          <w:sz w:val="13"/>
          <w:szCs w:val="13"/>
          <w:color w:val="auto"/>
        </w:rPr>
        <w:t>Date: May 29, 2026</w:t>
      </w:r>
      <w:r>
        <w:rPr>
          <w:sz w:val="20"/>
          <w:szCs w:val="20"/>
          <w:color w:val="auto"/>
        </w:rPr>
        <w:tab/>
      </w:r>
      <w:r>
        <w:rPr>
          <w:rFonts w:ascii="Times New Roman" w:cs="Times New Roman" w:eastAsia="Times New Roman" w:hAnsi="Times New Roman"/>
          <w:sz w:val="13"/>
          <w:szCs w:val="13"/>
          <w:color w:val="auto"/>
        </w:rPr>
        <w:t>By: /s/ Kenneth A. Jacobson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2564765</wp:posOffset>
            </wp:positionH>
            <wp:positionV relativeFrom="paragraph">
              <wp:posOffset>20320</wp:posOffset>
            </wp:positionV>
            <wp:extent cx="2974340" cy="63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974340" cy="6350"/>
                    </a:xfrm>
                    <a:prstGeom prst="rect">
                      <a:avLst/>
                    </a:prstGeom>
                    <a:noFill/>
                  </pic:spPr>
                </pic:pic>
              </a:graphicData>
            </a:graphic>
          </wp:anchor>
        </w:drawing>
      </w:r>
    </w:p>
    <w:p>
      <w:pPr>
        <w:spacing w:after="0" w:line="19"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3"/>
          <w:szCs w:val="13"/>
          <w:color w:val="auto"/>
        </w:rPr>
        <w:t>Name: Kenneth A. Jacobson</w:t>
      </w:r>
    </w:p>
    <w:p>
      <w:pPr>
        <w:spacing w:after="0" w:line="29"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3"/>
          <w:szCs w:val="13"/>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403860</wp:posOffset>
            </wp:positionV>
            <wp:extent cx="5684520" cy="19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84520" cy="19050"/>
                    </a:xfrm>
                    <a:prstGeom prst="rect">
                      <a:avLst/>
                    </a:prstGeom>
                    <a:noFill/>
                  </pic:spPr>
                </pic:pic>
              </a:graphicData>
            </a:graphic>
          </wp:anchor>
        </w:drawing>
      </w:r>
    </w:p>
    <w:p>
      <w:pPr>
        <w:sectPr>
          <w:pgSz w:w="11900" w:h="16838" w:orient="portrait"/>
          <w:cols w:equalWidth="0" w:num="1">
            <w:col w:w="9019"/>
          </w:cols>
          <w:pgMar w:left="1440" w:top="759" w:right="1440" w:bottom="1440" w:gutter="0" w:footer="0" w:header="0"/>
        </w:sectPr>
      </w:pPr>
    </w:p>
    <w:bookmarkStart w:id="3" w:name="page4"/>
    <w:bookmarkEnd w:id="3"/>
    <w:p>
      <w:pPr>
        <w:jc w:val="right"/>
        <w:ind w:right="39"/>
        <w:spacing w:after="0"/>
        <w:rPr>
          <w:sz w:val="20"/>
          <w:szCs w:val="20"/>
          <w:color w:val="auto"/>
        </w:rPr>
      </w:pPr>
      <w:r>
        <w:rPr>
          <w:rFonts w:ascii="Times New Roman" w:cs="Times New Roman" w:eastAsia="Times New Roman" w:hAnsi="Times New Roman"/>
          <w:sz w:val="13"/>
          <w:szCs w:val="13"/>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2186940</wp:posOffset>
            </wp:positionH>
            <wp:positionV relativeFrom="paragraph">
              <wp:posOffset>114300</wp:posOffset>
            </wp:positionV>
            <wp:extent cx="1345565" cy="2952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345565" cy="295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CONFLICT MINERALS REPORT</w:t>
      </w:r>
    </w:p>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For the Reporting Period from January 1 to December 31, 2025</w:t>
      </w:r>
    </w:p>
    <w:p>
      <w:pPr>
        <w:spacing w:after="0" w:line="1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Introduction</w:t>
      </w:r>
    </w:p>
    <w:p>
      <w:pPr>
        <w:spacing w:after="0" w:line="169" w:lineRule="exact"/>
        <w:rPr>
          <w:sz w:val="20"/>
          <w:szCs w:val="20"/>
          <w:color w:val="auto"/>
        </w:rPr>
      </w:pPr>
    </w:p>
    <w:p>
      <w:pPr>
        <w:ind w:left="20" w:right="79"/>
        <w:spacing w:after="0" w:line="272" w:lineRule="auto"/>
        <w:rPr>
          <w:sz w:val="20"/>
          <w:szCs w:val="20"/>
          <w:color w:val="auto"/>
        </w:rPr>
      </w:pPr>
      <w:r>
        <w:rPr>
          <w:rFonts w:ascii="Times New Roman" w:cs="Times New Roman" w:eastAsia="Times New Roman" w:hAnsi="Times New Roman"/>
          <w:sz w:val="13"/>
          <w:szCs w:val="13"/>
          <w:color w:val="auto"/>
        </w:rPr>
        <w:t>This Conflict Minerals Report of Avnet, Inc. for the calendar year 2025 (“Report”) is filed May 28, 2026, as an exhibit to the Company’s Form SD, as required under Rule 13p-1 of the Securities Exchange Act of 1934 (the “Conflict Minerals Rule”). The Report is posted on the Company’s website at https://www.avnet.com/wps/portal/us/about-avnet/human-rights/conflict-minerals. Other information available through the Company’s website is not part of this Report.</w:t>
      </w:r>
    </w:p>
    <w:p>
      <w:pPr>
        <w:spacing w:after="0" w:line="1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References to “the Company,” “Avnet,” “we,” “our,” or “us” means Avnet, Inc. and its subsidiaries, except where the context otherwise requires.</w:t>
      </w:r>
    </w:p>
    <w:p>
      <w:pPr>
        <w:spacing w:after="0" w:line="16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Applicability of the Conflict Minerals Rule to Avnet</w:t>
      </w:r>
    </w:p>
    <w:p>
      <w:pPr>
        <w:spacing w:after="0" w:line="169" w:lineRule="exact"/>
        <w:rPr>
          <w:sz w:val="20"/>
          <w:szCs w:val="20"/>
          <w:color w:val="auto"/>
        </w:rPr>
      </w:pPr>
    </w:p>
    <w:p>
      <w:pPr>
        <w:ind w:left="20" w:right="139"/>
        <w:spacing w:after="0" w:line="263" w:lineRule="auto"/>
        <w:rPr>
          <w:sz w:val="20"/>
          <w:szCs w:val="20"/>
          <w:color w:val="auto"/>
        </w:rPr>
      </w:pPr>
      <w:r>
        <w:rPr>
          <w:rFonts w:ascii="Times New Roman" w:cs="Times New Roman" w:eastAsia="Times New Roman" w:hAnsi="Times New Roman"/>
          <w:sz w:val="13"/>
          <w:szCs w:val="13"/>
          <w:color w:val="auto"/>
        </w:rPr>
        <w:t>Avnet is a global distributor of electronic components. It markets, sells, and distributes electronic components from the world’s leading electronic component manufacturers, including semiconductors, IP&amp;E components (interconnect, passive and electromechanical), and other integrated and embedded components; and distributes a comprehensive portfolio of kits, tools, industrial automation components, and test and measurement products. It also provides embedded solutions, such as technical design, integration and assembly of embedded products, systems, and solutions; provides integrated solutions for embedded display solutions, such as touch and passive displays; and develops and produces standard board, industrial subsystems, and application-specific devices.</w:t>
      </w:r>
    </w:p>
    <w:p>
      <w:pPr>
        <w:spacing w:after="0" w:line="132" w:lineRule="exact"/>
        <w:rPr>
          <w:sz w:val="20"/>
          <w:szCs w:val="20"/>
          <w:color w:val="auto"/>
        </w:rPr>
      </w:pPr>
    </w:p>
    <w:p>
      <w:pPr>
        <w:ind w:left="20" w:right="59"/>
        <w:spacing w:after="0" w:line="259" w:lineRule="auto"/>
        <w:rPr>
          <w:sz w:val="20"/>
          <w:szCs w:val="20"/>
          <w:color w:val="auto"/>
        </w:rPr>
      </w:pPr>
      <w:r>
        <w:rPr>
          <w:rFonts w:ascii="Times New Roman" w:cs="Times New Roman" w:eastAsia="Times New Roman" w:hAnsi="Times New Roman"/>
          <w:sz w:val="13"/>
          <w:szCs w:val="13"/>
          <w:color w:val="auto"/>
        </w:rPr>
        <w:t>The Conflict Minerals Rule requires that the Company disclose information regarding any conflict minerals that are “necessary to the functionality or production” of any product that it manufactures or contracts to be manufactured. The Securities and Exchange Commission (“SEC”) defines conflict minerals as columbite-tantalite (coltan), cassiterite, gold, wolframite, or their derivatives, which are limited to tantalum, tin, and tungsten (collectively, “CMs”). CMs are used in many electronic components and computer products. The Democratic Republic of Congo and its adjoining countries have extensive reserves of CMs, some of which are illegally sourced and traded by armed groups who are responsible for significant human rights violations. The purpose of the Conflict Minerals Rule is to encourage companies whose products contain CMs to source from suppliers who do not directly or indirectly support such armed groups through their purchasing decisions. The term CM refers to the named minerals and their derivatives and does not imply that the procurement of such minerals or derivatives directly or indirectly financed or benefitted armed groups in the Democratic Republic of Congo or an adjoining country.</w:t>
      </w:r>
    </w:p>
    <w:p>
      <w:pPr>
        <w:spacing w:after="0" w:line="135" w:lineRule="exact"/>
        <w:rPr>
          <w:sz w:val="20"/>
          <w:szCs w:val="20"/>
          <w:color w:val="auto"/>
        </w:rPr>
      </w:pPr>
    </w:p>
    <w:p>
      <w:pPr>
        <w:ind w:left="20" w:right="119"/>
        <w:spacing w:after="0" w:line="261" w:lineRule="auto"/>
        <w:rPr>
          <w:sz w:val="20"/>
          <w:szCs w:val="20"/>
          <w:color w:val="auto"/>
        </w:rPr>
      </w:pPr>
      <w:r>
        <w:rPr>
          <w:rFonts w:ascii="Times New Roman" w:cs="Times New Roman" w:eastAsia="Times New Roman" w:hAnsi="Times New Roman"/>
          <w:sz w:val="13"/>
          <w:szCs w:val="13"/>
          <w:color w:val="auto"/>
        </w:rPr>
        <w:t>Avnet’s revenues for 2025 were largely from distribution and other services that were not in-scope for purposes of compliance with the Conflict Minerals Rule. However, during 2025, it manufactured or contracted to manufacture certain products that include CMs (collectively, “Covered Products”). Therefore, the Company conducted a reasonable country of origin inquiry (“RCOI”), in good faith, to determine whether any of the CMs in the Covered Products: (1) originated in the Democratic Republic of Congo or an adjoining country, including Angola, Burundi, Central African Republic, Republic of the Congo, Rwanda, South Sudan, Tanzania, Uganda and Zambia (collectively, the “Covered Countries”); or (2) are from recycled or scrap sources. Please see “Conflict Minerals Program – Reasonable Country of Origin Inquiry” for more information on the RCOI.</w:t>
      </w:r>
    </w:p>
    <w:p>
      <w:pPr>
        <w:spacing w:after="0" w:line="134" w:lineRule="exact"/>
        <w:rPr>
          <w:sz w:val="20"/>
          <w:szCs w:val="20"/>
          <w:color w:val="auto"/>
        </w:rPr>
      </w:pPr>
    </w:p>
    <w:p>
      <w:pPr>
        <w:ind w:left="20" w:right="119"/>
        <w:spacing w:after="0" w:line="272" w:lineRule="auto"/>
        <w:rPr>
          <w:sz w:val="20"/>
          <w:szCs w:val="20"/>
          <w:color w:val="auto"/>
        </w:rPr>
      </w:pPr>
      <w:r>
        <w:rPr>
          <w:rFonts w:ascii="Times New Roman" w:cs="Times New Roman" w:eastAsia="Times New Roman" w:hAnsi="Times New Roman"/>
          <w:sz w:val="13"/>
          <w:szCs w:val="13"/>
          <w:color w:val="auto"/>
        </w:rPr>
        <w:t>The Company conducted further due diligence on the source and chain of custody of such CMs that conformed, in all material respects, to an internationally recognized due diligence framework as required by the Conflict Minerals Rule. Please see “Conflict Minerals Program – Design of Conflict Minerals Program” for more information on the design of the due diligence program and “Conflict Minerals Program – Due Diligence Efforts” for more information on the due diligence conducted.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238760</wp:posOffset>
            </wp:positionV>
            <wp:extent cx="5684520" cy="19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84520" cy="19050"/>
                    </a:xfrm>
                    <a:prstGeom prst="rect">
                      <a:avLst/>
                    </a:prstGeom>
                    <a:noFill/>
                  </pic:spPr>
                </pic:pic>
              </a:graphicData>
            </a:graphic>
          </wp:anchor>
        </w:drawing>
      </w:r>
    </w:p>
    <w:p>
      <w:pPr>
        <w:sectPr>
          <w:pgSz w:w="11900" w:h="16838" w:orient="portrait"/>
          <w:cols w:equalWidth="0" w:num="1">
            <w:col w:w="9019"/>
          </w:cols>
          <w:pgMar w:left="1440" w:top="127" w:right="1440" w:bottom="1440" w:gutter="0" w:footer="0" w:header="0"/>
        </w:sectPr>
      </w:pPr>
    </w:p>
    <w:bookmarkStart w:id="4" w:name="page5"/>
    <w:bookmarkEnd w:id="4"/>
    <w:p>
      <w:pPr>
        <w:ind w:left="20" w:right="99"/>
        <w:spacing w:after="0" w:line="272" w:lineRule="auto"/>
        <w:rPr>
          <w:sz w:val="20"/>
          <w:szCs w:val="20"/>
          <w:color w:val="auto"/>
        </w:rPr>
      </w:pPr>
      <w:r>
        <w:rPr>
          <w:rFonts w:ascii="Times New Roman" w:cs="Times New Roman" w:eastAsia="Times New Roman" w:hAnsi="Times New Roman"/>
          <w:sz w:val="13"/>
          <w:szCs w:val="13"/>
          <w:color w:val="auto"/>
        </w:rPr>
        <w:t>Avnet is a downstream consumer of CMs. It does not purchase the CMs contained in its Covered Products directly from mines, smelters, or refiners and is generally many levels removed from such market participants. Through the efforts described in this Report, Avnet seeks to ensure that its sourcing practices are consistent with its Responsible Minerals Sourcing Policy and to encourage conflict-free sourcing in its supply chain.</w:t>
      </w:r>
    </w:p>
    <w:p>
      <w:pPr>
        <w:spacing w:after="0" w:line="1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Responsible Minerals Sourcing Policy</w:t>
      </w:r>
    </w:p>
    <w:p>
      <w:pPr>
        <w:spacing w:after="0" w:line="169" w:lineRule="exact"/>
        <w:rPr>
          <w:sz w:val="20"/>
          <w:szCs w:val="20"/>
          <w:color w:val="auto"/>
        </w:rPr>
      </w:pPr>
    </w:p>
    <w:p>
      <w:pPr>
        <w:ind w:left="20" w:right="159"/>
        <w:spacing w:after="0" w:line="263" w:lineRule="auto"/>
        <w:rPr>
          <w:sz w:val="20"/>
          <w:szCs w:val="20"/>
          <w:color w:val="auto"/>
        </w:rPr>
      </w:pPr>
      <w:r>
        <w:rPr>
          <w:rFonts w:ascii="Times New Roman" w:cs="Times New Roman" w:eastAsia="Times New Roman" w:hAnsi="Times New Roman"/>
          <w:sz w:val="13"/>
          <w:szCs w:val="13"/>
          <w:color w:val="auto"/>
        </w:rPr>
        <w:t>Avnet is committed to responsible sourcing of CMs and promotes traceability of CMs and transparency of its global supply chain. It supports the efforts of the Responsible Business Alliance’s (“RBA”) due diligence and reporting processes that seek to ensure supply-chain transparency, including through its engagement of Assent, a third-party service provider that is a member of RBA’s Responsible Minerals Initiative (“RMI”). In addition, the Company has actively engaged with its customers and suppliers for several years with respect to the use of CMs. It has also adopted a Responsible Minerals Sourcing Policy, which has been communicated to Avnet’s suppliers and the public. The Responsible Minerals Sourcing Policy is below:</w:t>
      </w:r>
    </w:p>
    <w:p>
      <w:pPr>
        <w:spacing w:after="0" w:line="132" w:lineRule="exact"/>
        <w:rPr>
          <w:sz w:val="20"/>
          <w:szCs w:val="20"/>
          <w:color w:val="auto"/>
        </w:rPr>
      </w:pPr>
    </w:p>
    <w:p>
      <w:pPr>
        <w:jc w:val="both"/>
        <w:ind w:left="380" w:right="219"/>
        <w:spacing w:after="0" w:line="272" w:lineRule="auto"/>
        <w:rPr>
          <w:sz w:val="20"/>
          <w:szCs w:val="20"/>
          <w:color w:val="auto"/>
        </w:rPr>
      </w:pPr>
      <w:r>
        <w:rPr>
          <w:rFonts w:ascii="Times New Roman" w:cs="Times New Roman" w:eastAsia="Times New Roman" w:hAnsi="Times New Roman"/>
          <w:sz w:val="13"/>
          <w:szCs w:val="13"/>
          <w:color w:val="auto"/>
        </w:rPr>
        <w:t>Avnet, Inc., including its subsidiaries (collectively “Avnet”), is committed to source minerals responsibly and avoid sourcing minerals that contribute to armed conflict or human rights abuses in conflict affected and high-risk areas (CAHRAs), including the Democratic Republic of Congo (DRC) or adjoining countries. Avnet’s approach is to promote the traceability and transparency of supply chains and move towards a conflict-free global supply chain.</w:t>
      </w:r>
    </w:p>
    <w:p>
      <w:pPr>
        <w:spacing w:after="0" w:line="126" w:lineRule="exact"/>
        <w:rPr>
          <w:sz w:val="20"/>
          <w:szCs w:val="20"/>
          <w:color w:val="auto"/>
        </w:rPr>
      </w:pPr>
    </w:p>
    <w:p>
      <w:pPr>
        <w:jc w:val="both"/>
        <w:ind w:left="380" w:right="319"/>
        <w:spacing w:after="0" w:line="266" w:lineRule="auto"/>
        <w:rPr>
          <w:sz w:val="20"/>
          <w:szCs w:val="20"/>
          <w:color w:val="auto"/>
        </w:rPr>
      </w:pPr>
      <w:r>
        <w:rPr>
          <w:rFonts w:ascii="Times New Roman" w:cs="Times New Roman" w:eastAsia="Times New Roman" w:hAnsi="Times New Roman"/>
          <w:sz w:val="13"/>
          <w:szCs w:val="13"/>
          <w:color w:val="auto"/>
        </w:rPr>
        <w:t>Avnet supports the aims of the Responsible Business Alliance’s Responsible Minerals Initiative (RMI) to identify, reduce and eventually eliminate the use of conflict minerals that finance or benefit conflict or human rights violations, and the Responsible Minerals Assurance Process (RMAP) to validate responsible sources. Avnet encourages its suppliers to likewise support such efforts. “Conflict minerals” include tantalum, tin, tungsten and gold, which are used in many electronic components and computer products.</w:t>
      </w:r>
    </w:p>
    <w:p>
      <w:pPr>
        <w:spacing w:after="0" w:line="130" w:lineRule="exact"/>
        <w:rPr>
          <w:sz w:val="20"/>
          <w:szCs w:val="20"/>
          <w:color w:val="auto"/>
        </w:rPr>
      </w:pPr>
    </w:p>
    <w:p>
      <w:pPr>
        <w:ind w:left="380" w:right="259"/>
        <w:spacing w:after="0" w:line="263" w:lineRule="auto"/>
        <w:rPr>
          <w:sz w:val="20"/>
          <w:szCs w:val="20"/>
          <w:color w:val="auto"/>
        </w:rPr>
      </w:pPr>
      <w:r>
        <w:rPr>
          <w:rFonts w:ascii="Times New Roman" w:cs="Times New Roman" w:eastAsia="Times New Roman" w:hAnsi="Times New Roman"/>
          <w:sz w:val="13"/>
          <w:szCs w:val="13"/>
          <w:color w:val="auto"/>
        </w:rPr>
        <w:t>Under Section 1502 of the Dodd-Frank Wall Street Reform and Consumer Protection Act and the U.S. Securities and Exchange Commission (“SEC”) rules, Avnet is required to annually report on Form SD whether products it manufactures or contracts to manufacture contain conflict minerals necessary to the functionality or production of the products, which have been sourced from mines in the DRC or adjoining countries (“covered products”). Revenue from the mining and trade of conflict minerals from the DRC or adjoining countries is believed to finance or benefit armed groups that are responsible for human rights violations.</w:t>
      </w:r>
    </w:p>
    <w:p>
      <w:pPr>
        <w:spacing w:after="0" w:line="132" w:lineRule="exact"/>
        <w:rPr>
          <w:sz w:val="20"/>
          <w:szCs w:val="20"/>
          <w:color w:val="auto"/>
        </w:rPr>
      </w:pPr>
    </w:p>
    <w:p>
      <w:pPr>
        <w:ind w:left="380" w:right="119"/>
        <w:spacing w:after="0" w:line="263" w:lineRule="auto"/>
        <w:rPr>
          <w:sz w:val="20"/>
          <w:szCs w:val="20"/>
          <w:color w:val="auto"/>
        </w:rPr>
      </w:pPr>
      <w:r>
        <w:rPr>
          <w:rFonts w:ascii="Times New Roman" w:cs="Times New Roman" w:eastAsia="Times New Roman" w:hAnsi="Times New Roman"/>
          <w:sz w:val="13"/>
          <w:szCs w:val="13"/>
          <w:color w:val="auto"/>
        </w:rPr>
        <w:t>Avnet is a global technology distributor and solutions provider. To a very limited extent Avnet manufactures or contracts to manufacture products, some of which are covered products. However, Avnet is a downstream consumer of conflict minerals. It does not purchase directly from mines, smelters or refiners and is many levels removed from such market participants. Avnet endeavors to avoid purchasing products containing conflict minerals sourced from CAHRAs that directly or indirectly finance or benefit armed groups, while minimizing unintended consequences of de facto embargoes for conflict-free mines. Avnet also expects its suppliers to source minerals only from responsible sources.</w:t>
      </w:r>
    </w:p>
    <w:p>
      <w:pPr>
        <w:spacing w:after="0" w:line="130" w:lineRule="exact"/>
        <w:rPr>
          <w:sz w:val="20"/>
          <w:szCs w:val="20"/>
          <w:color w:val="auto"/>
        </w:rPr>
      </w:pPr>
    </w:p>
    <w:p>
      <w:pPr>
        <w:ind w:left="380" w:right="139"/>
        <w:spacing w:after="0" w:line="262" w:lineRule="auto"/>
        <w:rPr>
          <w:sz w:val="20"/>
          <w:szCs w:val="20"/>
          <w:color w:val="auto"/>
        </w:rPr>
      </w:pPr>
      <w:r>
        <w:rPr>
          <w:rFonts w:ascii="Times New Roman" w:cs="Times New Roman" w:eastAsia="Times New Roman" w:hAnsi="Times New Roman"/>
          <w:sz w:val="13"/>
          <w:szCs w:val="13"/>
          <w:color w:val="auto"/>
        </w:rPr>
        <w:t xml:space="preserve">Avnet annually conducts a reasonable country of origin inquiry (RCOI) and due diligence that aligns with the </w:t>
      </w:r>
      <w:r>
        <w:rPr>
          <w:rFonts w:ascii="Times New Roman" w:cs="Times New Roman" w:eastAsia="Times New Roman" w:hAnsi="Times New Roman"/>
          <w:sz w:val="13"/>
          <w:szCs w:val="13"/>
          <w:i w:val="1"/>
          <w:iCs w:val="1"/>
          <w:color w:val="auto"/>
        </w:rPr>
        <w:t>Organisation for Economic Co-operation and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 xml:space="preserve">Development (OECD) Due Diligence Guidance for Responsible Supply Chains of Minerals from Conflict-Affected and High-Risk Areas </w:t>
      </w:r>
      <w:r>
        <w:rPr>
          <w:rFonts w:ascii="Times New Roman" w:cs="Times New Roman" w:eastAsia="Times New Roman" w:hAnsi="Times New Roman"/>
          <w:sz w:val="13"/>
          <w:szCs w:val="13"/>
          <w:color w:val="auto"/>
        </w:rPr>
        <w:t>(OECD Framework). As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a downstream consumer, Avnet expects its suppliers to provide proper verification of the country of origin and source of the conflict minerals used in the products they supply to Avnet, utilizing the most current Conflict Minerals Reporting Template (CMRT) developed by RMI. Avnet also encourages its suppliers to adopt similar policies, due diligence frameworks, and management systems with respect to responsible minerals sourcing to drive those efforts throughout their supply chain.</w:t>
      </w:r>
    </w:p>
    <w:p>
      <w:pPr>
        <w:spacing w:after="0" w:line="1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This policy is available at https://www.avnet.com/wps/portal/us/about-avnet/human-rights/conflict-minerals.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265430</wp:posOffset>
            </wp:positionV>
            <wp:extent cx="5684520" cy="19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84520" cy="19050"/>
                    </a:xfrm>
                    <a:prstGeom prst="rect">
                      <a:avLst/>
                    </a:prstGeom>
                    <a:noFill/>
                  </pic:spPr>
                </pic:pic>
              </a:graphicData>
            </a:graphic>
          </wp:anchor>
        </w:drawing>
      </w:r>
    </w:p>
    <w:p>
      <w:pPr>
        <w:sectPr>
          <w:pgSz w:w="11900" w:h="16838" w:orient="portrait"/>
          <w:cols w:equalWidth="0" w:num="1">
            <w:col w:w="9019"/>
          </w:cols>
          <w:pgMar w:left="1440" w:top="761" w:right="1440" w:bottom="1440" w:gutter="0" w:footer="0" w:header="0"/>
        </w:sectPr>
      </w:pPr>
    </w:p>
    <w:bookmarkStart w:id="5" w:name="page6"/>
    <w:bookmarkEnd w:id="5"/>
    <w:p>
      <w:pPr>
        <w:ind w:left="20"/>
        <w:spacing w:after="0"/>
        <w:rPr>
          <w:sz w:val="20"/>
          <w:szCs w:val="20"/>
          <w:color w:val="auto"/>
        </w:rPr>
      </w:pPr>
      <w:r>
        <w:rPr>
          <w:rFonts w:ascii="Times New Roman" w:cs="Times New Roman" w:eastAsia="Times New Roman" w:hAnsi="Times New Roman"/>
          <w:sz w:val="13"/>
          <w:szCs w:val="13"/>
          <w:b w:val="1"/>
          <w:bCs w:val="1"/>
          <w:color w:val="auto"/>
        </w:rPr>
        <w:t>Conflict Minerals Program</w:t>
      </w:r>
    </w:p>
    <w:p>
      <w:pPr>
        <w:spacing w:after="0" w:line="16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3"/>
          <w:szCs w:val="13"/>
          <w:b w:val="1"/>
          <w:bCs w:val="1"/>
          <w:color w:val="auto"/>
        </w:rPr>
        <w:t>Design of Conflict Minerals Program</w:t>
      </w:r>
    </w:p>
    <w:p>
      <w:pPr>
        <w:spacing w:after="0" w:line="169" w:lineRule="exact"/>
        <w:rPr>
          <w:sz w:val="20"/>
          <w:szCs w:val="20"/>
          <w:color w:val="auto"/>
        </w:rPr>
      </w:pPr>
    </w:p>
    <w:p>
      <w:pPr>
        <w:jc w:val="both"/>
        <w:ind w:left="20" w:right="219"/>
        <w:spacing w:after="0" w:line="272" w:lineRule="auto"/>
        <w:rPr>
          <w:sz w:val="20"/>
          <w:szCs w:val="20"/>
          <w:color w:val="auto"/>
        </w:rPr>
      </w:pPr>
      <w:r>
        <w:rPr>
          <w:rFonts w:ascii="Times New Roman" w:cs="Times New Roman" w:eastAsia="Times New Roman" w:hAnsi="Times New Roman"/>
          <w:sz w:val="13"/>
          <w:szCs w:val="13"/>
          <w:color w:val="auto"/>
        </w:rPr>
        <w:t xml:space="preserve">Avnet’s 2025 Conflict Minerals Program (“2025 Program”) utilized the internationally recognized framework to identify the country of origin and chain of custody of the CMs. The framework (which includes supplements for gold, tin, tantalum, and tungsten) is called </w:t>
      </w:r>
      <w:r>
        <w:rPr>
          <w:rFonts w:ascii="Times New Roman" w:cs="Times New Roman" w:eastAsia="Times New Roman" w:hAnsi="Times New Roman"/>
          <w:sz w:val="13"/>
          <w:szCs w:val="13"/>
          <w:i w:val="1"/>
          <w:iCs w:val="1"/>
          <w:color w:val="auto"/>
        </w:rPr>
        <w:t>The Organization for Economic Co-Operation and Development</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 xml:space="preserve">(“OECD”) Due Diligence Guidance for Responsible Supply Chains of Minerals from Conflict-Affected and High-Risk Areas </w:t>
      </w:r>
      <w:r>
        <w:rPr>
          <w:rFonts w:ascii="Times New Roman" w:cs="Times New Roman" w:eastAsia="Times New Roman" w:hAnsi="Times New Roman"/>
          <w:sz w:val="13"/>
          <w:szCs w:val="13"/>
          <w:color w:val="auto"/>
        </w:rPr>
        <w:t>(“OECD Framework”).</w:t>
      </w:r>
    </w:p>
    <w:p>
      <w:pPr>
        <w:spacing w:after="0" w:line="126" w:lineRule="exact"/>
        <w:rPr>
          <w:sz w:val="20"/>
          <w:szCs w:val="20"/>
          <w:color w:val="auto"/>
        </w:rPr>
      </w:pPr>
    </w:p>
    <w:p>
      <w:pPr>
        <w:ind w:left="20" w:right="119"/>
        <w:spacing w:after="0" w:line="261" w:lineRule="auto"/>
        <w:rPr>
          <w:sz w:val="20"/>
          <w:szCs w:val="20"/>
          <w:color w:val="auto"/>
        </w:rPr>
      </w:pPr>
      <w:r>
        <w:rPr>
          <w:rFonts w:ascii="Times New Roman" w:cs="Times New Roman" w:eastAsia="Times New Roman" w:hAnsi="Times New Roman"/>
          <w:sz w:val="13"/>
          <w:szCs w:val="13"/>
          <w:color w:val="auto"/>
        </w:rPr>
        <w:t>Avnet’s supply chain with respect to the CMs in our Covered Products is highly complex. We do not purchase CMs directly from any mine, refiner, or smelter and there are many parties in the supply chain between Avnet’s direct supplier and the mine from which the CM originated. Due to the Company’s “downstream” position in the supply chain, it followed the principles outlined in the OECD Framework for downstream companies with no direct relationships to smelters or refiners. Therefore, Avnet must rely, in good faith, on its direct suppliers to provide information regarding the country of origin and chain of custody of the CMs included in the Covered Products and on third-party audit programs. It is likely that years of engagement and propagation of expectations through many tiers of the supply chain will be necessary before information returned to downstream companies, such as Avnet, may be considered accurate and complete.</w:t>
      </w:r>
    </w:p>
    <w:p>
      <w:pPr>
        <w:spacing w:after="0" w:line="13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3"/>
          <w:szCs w:val="13"/>
          <w:b w:val="1"/>
          <w:bCs w:val="1"/>
          <w:color w:val="auto"/>
        </w:rPr>
        <w:t>Covered Products</w:t>
      </w:r>
    </w:p>
    <w:p>
      <w:pPr>
        <w:spacing w:after="0" w:line="169" w:lineRule="exact"/>
        <w:rPr>
          <w:sz w:val="20"/>
          <w:szCs w:val="20"/>
          <w:color w:val="auto"/>
        </w:rPr>
      </w:pPr>
    </w:p>
    <w:p>
      <w:pPr>
        <w:ind w:left="20" w:right="119"/>
        <w:spacing w:after="0" w:line="289" w:lineRule="auto"/>
        <w:rPr>
          <w:sz w:val="20"/>
          <w:szCs w:val="20"/>
          <w:color w:val="auto"/>
        </w:rPr>
      </w:pPr>
      <w:r>
        <w:rPr>
          <w:rFonts w:ascii="Times New Roman" w:cs="Times New Roman" w:eastAsia="Times New Roman" w:hAnsi="Times New Roman"/>
          <w:sz w:val="13"/>
          <w:szCs w:val="13"/>
          <w:color w:val="auto"/>
        </w:rPr>
        <w:t>Avnet determined that the following products it manufactured or contracted to manufacture in 2025 contained CMs necessary to the functionality or production of those products:</w:t>
      </w:r>
    </w:p>
    <w:p>
      <w:pPr>
        <w:spacing w:after="0" w:line="115" w:lineRule="exact"/>
        <w:rPr>
          <w:sz w:val="20"/>
          <w:szCs w:val="20"/>
          <w:color w:val="auto"/>
        </w:rPr>
      </w:pPr>
    </w:p>
    <w:p>
      <w:pPr>
        <w:ind w:left="500" w:hanging="235"/>
        <w:spacing w:after="0"/>
        <w:tabs>
          <w:tab w:leader="none" w:pos="50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Semi-conductor electronic devices designed and contracted to be manufactured by Avnet per customer specifications.</w:t>
      </w:r>
    </w:p>
    <w:p>
      <w:pPr>
        <w:spacing w:after="0" w:line="22" w:lineRule="exact"/>
        <w:rPr>
          <w:rFonts w:ascii="Times New Roman" w:cs="Times New Roman" w:eastAsia="Times New Roman" w:hAnsi="Times New Roman"/>
          <w:sz w:val="13"/>
          <w:szCs w:val="13"/>
          <w:color w:val="auto"/>
        </w:rPr>
      </w:pPr>
    </w:p>
    <w:p>
      <w:pPr>
        <w:ind w:left="500" w:right="339" w:hanging="235"/>
        <w:spacing w:after="0" w:line="254" w:lineRule="auto"/>
        <w:tabs>
          <w:tab w:leader="none" w:pos="50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Electronic boards, electronic devices, display solutions, and Human-Machine Interface (HMI) solutions manufactured or contracted to be manufactured by Avnet Embedded GmbH.</w:t>
      </w:r>
    </w:p>
    <w:p>
      <w:pPr>
        <w:ind w:left="500" w:hanging="235"/>
        <w:spacing w:after="0"/>
        <w:tabs>
          <w:tab w:leader="none" w:pos="50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Control boards and HMIs contracted to be manufactured.</w:t>
      </w:r>
    </w:p>
    <w:p>
      <w:pPr>
        <w:spacing w:after="0" w:line="8" w:lineRule="exact"/>
        <w:rPr>
          <w:rFonts w:ascii="Times New Roman" w:cs="Times New Roman" w:eastAsia="Times New Roman" w:hAnsi="Times New Roman"/>
          <w:sz w:val="13"/>
          <w:szCs w:val="13"/>
          <w:color w:val="auto"/>
        </w:rPr>
      </w:pPr>
    </w:p>
    <w:p>
      <w:pPr>
        <w:ind w:left="500" w:hanging="235"/>
        <w:spacing w:after="0"/>
        <w:tabs>
          <w:tab w:leader="none" w:pos="50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Server based products integrated from customer designed or off-the-shelf components by Avnet Integrated.</w:t>
      </w:r>
    </w:p>
    <w:p>
      <w:pPr>
        <w:spacing w:after="0" w:line="8" w:lineRule="exact"/>
        <w:rPr>
          <w:rFonts w:ascii="Times New Roman" w:cs="Times New Roman" w:eastAsia="Times New Roman" w:hAnsi="Times New Roman"/>
          <w:sz w:val="13"/>
          <w:szCs w:val="13"/>
          <w:color w:val="auto"/>
        </w:rPr>
      </w:pPr>
    </w:p>
    <w:p>
      <w:pPr>
        <w:ind w:left="500" w:hanging="235"/>
        <w:spacing w:after="0"/>
        <w:tabs>
          <w:tab w:leader="none" w:pos="50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Design kits and modules manufactured or contracted to be manufactured by Avnet.</w:t>
      </w:r>
    </w:p>
    <w:p>
      <w:pPr>
        <w:spacing w:after="0" w:line="8" w:lineRule="exact"/>
        <w:rPr>
          <w:rFonts w:ascii="Times New Roman" w:cs="Times New Roman" w:eastAsia="Times New Roman" w:hAnsi="Times New Roman"/>
          <w:sz w:val="13"/>
          <w:szCs w:val="13"/>
          <w:color w:val="auto"/>
        </w:rPr>
      </w:pPr>
    </w:p>
    <w:p>
      <w:pPr>
        <w:ind w:left="500" w:hanging="235"/>
        <w:spacing w:after="0"/>
        <w:tabs>
          <w:tab w:leader="none" w:pos="50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Development boards and accessories contracted to be manufactured by Avnet.</w:t>
      </w:r>
    </w:p>
    <w:p>
      <w:pPr>
        <w:spacing w:after="0" w:line="8" w:lineRule="exact"/>
        <w:rPr>
          <w:rFonts w:ascii="Times New Roman" w:cs="Times New Roman" w:eastAsia="Times New Roman" w:hAnsi="Times New Roman"/>
          <w:sz w:val="13"/>
          <w:szCs w:val="13"/>
          <w:color w:val="auto"/>
        </w:rPr>
      </w:pPr>
    </w:p>
    <w:p>
      <w:pPr>
        <w:ind w:left="500" w:hanging="235"/>
        <w:spacing w:after="0"/>
        <w:tabs>
          <w:tab w:leader="none" w:pos="50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Printed circuit board assembly (PCBA) designed by customer and contracted to be manufactured by Farnell.</w:t>
      </w:r>
    </w:p>
    <w:p>
      <w:pPr>
        <w:spacing w:after="0" w:line="8" w:lineRule="exact"/>
        <w:rPr>
          <w:rFonts w:ascii="Times New Roman" w:cs="Times New Roman" w:eastAsia="Times New Roman" w:hAnsi="Times New Roman"/>
          <w:sz w:val="13"/>
          <w:szCs w:val="13"/>
          <w:color w:val="auto"/>
        </w:rPr>
      </w:pPr>
    </w:p>
    <w:p>
      <w:pPr>
        <w:ind w:left="500" w:hanging="235"/>
        <w:spacing w:after="0"/>
        <w:tabs>
          <w:tab w:leader="none" w:pos="50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PCBA and high-level integration of customer products.</w:t>
      </w:r>
    </w:p>
    <w:p>
      <w:pPr>
        <w:spacing w:after="0" w:line="8" w:lineRule="exact"/>
        <w:rPr>
          <w:rFonts w:ascii="Times New Roman" w:cs="Times New Roman" w:eastAsia="Times New Roman" w:hAnsi="Times New Roman"/>
          <w:sz w:val="13"/>
          <w:szCs w:val="13"/>
          <w:color w:val="auto"/>
        </w:rPr>
      </w:pPr>
    </w:p>
    <w:p>
      <w:pPr>
        <w:ind w:left="500" w:hanging="235"/>
        <w:spacing w:after="0"/>
        <w:tabs>
          <w:tab w:leader="none" w:pos="50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Avnet Guardian products manufactured or contracted to be manufactured by Avnet.</w:t>
      </w:r>
    </w:p>
    <w:p>
      <w:pPr>
        <w:spacing w:after="0" w:line="8" w:lineRule="exact"/>
        <w:rPr>
          <w:rFonts w:ascii="Times New Roman" w:cs="Times New Roman" w:eastAsia="Times New Roman" w:hAnsi="Times New Roman"/>
          <w:sz w:val="13"/>
          <w:szCs w:val="13"/>
          <w:color w:val="auto"/>
        </w:rPr>
      </w:pPr>
    </w:p>
    <w:p>
      <w:pPr>
        <w:ind w:left="500" w:hanging="235"/>
        <w:spacing w:after="0"/>
        <w:tabs>
          <w:tab w:leader="none" w:pos="50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Cables and electromechanical assembled products manufactured or contracted to be manufactured by Avnet.</w:t>
      </w:r>
    </w:p>
    <w:p>
      <w:pPr>
        <w:spacing w:after="0" w:line="154" w:lineRule="exact"/>
        <w:rPr>
          <w:sz w:val="20"/>
          <w:szCs w:val="20"/>
          <w:color w:val="auto"/>
        </w:rPr>
      </w:pPr>
    </w:p>
    <w:p>
      <w:pPr>
        <w:ind w:left="20" w:right="419"/>
        <w:spacing w:after="0" w:line="289" w:lineRule="auto"/>
        <w:rPr>
          <w:sz w:val="20"/>
          <w:szCs w:val="20"/>
          <w:color w:val="auto"/>
        </w:rPr>
      </w:pPr>
      <w:r>
        <w:rPr>
          <w:rFonts w:ascii="Times New Roman" w:cs="Times New Roman" w:eastAsia="Times New Roman" w:hAnsi="Times New Roman"/>
          <w:sz w:val="13"/>
          <w:szCs w:val="13"/>
          <w:color w:val="auto"/>
        </w:rPr>
        <w:t>Pursuant to the Conflict Minerals Rule, Covered Products do not include products (i) that were not entered into the stream of commerce in 2025, and (ii) that were manufactured or contracted to be manufactured by entities that Avnet acquired after April 2025.</w:t>
      </w:r>
    </w:p>
    <w:p>
      <w:pPr>
        <w:spacing w:after="0" w:line="11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3"/>
          <w:szCs w:val="13"/>
          <w:b w:val="1"/>
          <w:bCs w:val="1"/>
          <w:color w:val="auto"/>
        </w:rPr>
        <w:t>Reasonable Country of Origin Inquiry</w:t>
      </w:r>
    </w:p>
    <w:p>
      <w:pPr>
        <w:spacing w:after="0" w:line="169" w:lineRule="exact"/>
        <w:rPr>
          <w:sz w:val="20"/>
          <w:szCs w:val="20"/>
          <w:color w:val="auto"/>
        </w:rPr>
      </w:pPr>
    </w:p>
    <w:p>
      <w:pPr>
        <w:ind w:left="20" w:right="99"/>
        <w:spacing w:after="0" w:line="266" w:lineRule="auto"/>
        <w:rPr>
          <w:sz w:val="20"/>
          <w:szCs w:val="20"/>
          <w:color w:val="auto"/>
        </w:rPr>
      </w:pPr>
      <w:r>
        <w:rPr>
          <w:rFonts w:ascii="Times New Roman" w:cs="Times New Roman" w:eastAsia="Times New Roman" w:hAnsi="Times New Roman"/>
          <w:sz w:val="13"/>
          <w:szCs w:val="13"/>
          <w:color w:val="auto"/>
        </w:rPr>
        <w:t>Pursuant to the Conflict Minerals Rule, Avnet conducted a RCOI on the source and chain of custody of CMs in its Covered Products to determine whether any they originated in any of the Covered Countries and may not have come from recycled or scrap sources. To the extent applicable, Avnet conducted its RCOI utilizing the same processes and procedures that it established for conducting its due diligence, in particular Steps 1 and 2 of the OECD Framework, which are described under “Due Diligence Efforts” below.</w:t>
      </w:r>
    </w:p>
    <w:p>
      <w:pPr>
        <w:spacing w:after="0" w:line="130" w:lineRule="exact"/>
        <w:rPr>
          <w:sz w:val="20"/>
          <w:szCs w:val="20"/>
          <w:color w:val="auto"/>
        </w:rPr>
      </w:pPr>
    </w:p>
    <w:p>
      <w:pPr>
        <w:ind w:left="20" w:right="119"/>
        <w:spacing w:after="0" w:line="263" w:lineRule="auto"/>
        <w:rPr>
          <w:sz w:val="20"/>
          <w:szCs w:val="20"/>
          <w:color w:val="auto"/>
        </w:rPr>
      </w:pPr>
      <w:r>
        <w:rPr>
          <w:rFonts w:ascii="Times New Roman" w:cs="Times New Roman" w:eastAsia="Times New Roman" w:hAnsi="Times New Roman"/>
          <w:sz w:val="13"/>
          <w:szCs w:val="13"/>
          <w:color w:val="auto"/>
        </w:rPr>
        <w:t xml:space="preserve">The 2025 RCOI included 505 suppliers that Avnet identified as possibly providing it with components, parts or products that contained CMs for its Covered Products. These suppliers identified smelters and refiners that may have processed the CMs contained in the Covered Products. Such smelters and refiners were compared against the Smelter Look-up tab of the Conflict Minerals Reporting Template (“CMRT”), as well as the list of “conformant” smelters and refiners and country of origin information published by the RBA’s Responsible Minerals Initiative (“RMI”), to validate the smelters and refiners (validated facilities are listed in </w:t>
      </w:r>
      <w:r>
        <w:rPr>
          <w:rFonts w:ascii="Times New Roman" w:cs="Times New Roman" w:eastAsia="Times New Roman" w:hAnsi="Times New Roman"/>
          <w:sz w:val="13"/>
          <w:szCs w:val="13"/>
          <w:u w:val="single" w:color="auto"/>
          <w:color w:val="auto"/>
        </w:rPr>
        <w:t>Appendix A</w:t>
      </w:r>
      <w:r>
        <w:rPr>
          <w:rFonts w:ascii="Times New Roman" w:cs="Times New Roman" w:eastAsia="Times New Roman" w:hAnsi="Times New Roman"/>
          <w:sz w:val="13"/>
          <w:szCs w:val="13"/>
          <w:color w:val="auto"/>
        </w:rPr>
        <w:t>) and to determine the countries from where such validated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242570</wp:posOffset>
            </wp:positionV>
            <wp:extent cx="5684520" cy="19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84520" cy="19050"/>
                    </a:xfrm>
                    <a:prstGeom prst="rect">
                      <a:avLst/>
                    </a:prstGeom>
                    <a:noFill/>
                  </pic:spPr>
                </pic:pic>
              </a:graphicData>
            </a:graphic>
          </wp:anchor>
        </w:drawing>
      </w:r>
    </w:p>
    <w:p>
      <w:pPr>
        <w:sectPr>
          <w:pgSz w:w="11900" w:h="16838" w:orient="portrait"/>
          <w:cols w:equalWidth="0" w:num="1">
            <w:col w:w="9019"/>
          </w:cols>
          <w:pgMar w:left="1440" w:top="759" w:right="1440" w:bottom="1440" w:gutter="0" w:footer="0" w:header="0"/>
        </w:sectPr>
      </w:pPr>
    </w:p>
    <w:bookmarkStart w:id="6" w:name="page7"/>
    <w:bookmarkEnd w:id="6"/>
    <w:p>
      <w:pPr>
        <w:ind w:left="20" w:right="79"/>
        <w:spacing w:after="0" w:line="266" w:lineRule="auto"/>
        <w:rPr>
          <w:sz w:val="20"/>
          <w:szCs w:val="20"/>
          <w:color w:val="auto"/>
        </w:rPr>
      </w:pPr>
      <w:r>
        <w:rPr>
          <w:rFonts w:ascii="Times New Roman" w:cs="Times New Roman" w:eastAsia="Times New Roman" w:hAnsi="Times New Roman"/>
          <w:sz w:val="13"/>
          <w:szCs w:val="13"/>
          <w:color w:val="auto"/>
        </w:rPr>
        <w:t xml:space="preserve">facilities may have obtained CMs (countries are listed in </w:t>
      </w:r>
      <w:r>
        <w:rPr>
          <w:rFonts w:ascii="Times New Roman" w:cs="Times New Roman" w:eastAsia="Times New Roman" w:hAnsi="Times New Roman"/>
          <w:sz w:val="13"/>
          <w:szCs w:val="13"/>
          <w:u w:val="single" w:color="auto"/>
          <w:color w:val="auto"/>
        </w:rPr>
        <w:t>Appendix B)</w:t>
      </w:r>
      <w:r>
        <w:rPr>
          <w:rFonts w:ascii="Times New Roman" w:cs="Times New Roman" w:eastAsia="Times New Roman" w:hAnsi="Times New Roman"/>
          <w:sz w:val="13"/>
          <w:szCs w:val="13"/>
          <w:color w:val="auto"/>
        </w:rPr>
        <w:t>. For this process, Avnet used the data its Suppliers provided on their CMRTs version 6.4 or higher along with RMI’s due diligence of smelters and refiners and audits under the Responsible Minerals Assurance Process (“RMAP”) standard. The RMAP uses an independent third-party audit of smelter and refiner management systems and sourcing practices to validate conformance with RMAP protocols and current global standards.</w:t>
      </w:r>
    </w:p>
    <w:p>
      <w:pPr>
        <w:spacing w:after="0" w:line="130" w:lineRule="exact"/>
        <w:rPr>
          <w:sz w:val="20"/>
          <w:szCs w:val="20"/>
          <w:color w:val="auto"/>
        </w:rPr>
      </w:pPr>
    </w:p>
    <w:p>
      <w:pPr>
        <w:ind w:left="20" w:right="119"/>
        <w:spacing w:after="0" w:line="261" w:lineRule="auto"/>
        <w:rPr>
          <w:sz w:val="20"/>
          <w:szCs w:val="20"/>
          <w:color w:val="auto"/>
        </w:rPr>
      </w:pPr>
      <w:r>
        <w:rPr>
          <w:rFonts w:ascii="Times New Roman" w:cs="Times New Roman" w:eastAsia="Times New Roman" w:hAnsi="Times New Roman"/>
          <w:sz w:val="13"/>
          <w:szCs w:val="13"/>
          <w:color w:val="auto"/>
        </w:rPr>
        <w:t>The Company retained Assent, a third-party service provider, to assist in the collection and review of supplier CMRTs and the identification of risks in the supply chain. During the 2025 RCOI, Avnet contacted suppliers via Assent Sustainability Manager (“ASM”), a software-as-a-service platform that enables users to manage and track supplier communications and allows suppliers to upload completed CMRTs directly to the platform. ASM’s functionality meets the OECD Framework process expectations by evaluating the quality of each supplier’s response and assigning a health score based on the supplier’s declaration of process engagement. Additionally, the results provided in this Report, as well as the step-by-step process for supplier engagement and upstream due diligence investigations performed, are managed through ASM.</w:t>
      </w:r>
    </w:p>
    <w:p>
      <w:pPr>
        <w:spacing w:after="0" w:line="134" w:lineRule="exact"/>
        <w:rPr>
          <w:sz w:val="20"/>
          <w:szCs w:val="20"/>
          <w:color w:val="auto"/>
        </w:rPr>
      </w:pPr>
    </w:p>
    <w:p>
      <w:pPr>
        <w:jc w:val="both"/>
        <w:ind w:left="20" w:right="159"/>
        <w:spacing w:after="0" w:line="272" w:lineRule="auto"/>
        <w:rPr>
          <w:sz w:val="20"/>
          <w:szCs w:val="20"/>
          <w:color w:val="auto"/>
        </w:rPr>
      </w:pPr>
      <w:r>
        <w:rPr>
          <w:rFonts w:ascii="Times New Roman" w:cs="Times New Roman" w:eastAsia="Times New Roman" w:hAnsi="Times New Roman"/>
          <w:sz w:val="13"/>
          <w:szCs w:val="13"/>
          <w:color w:val="auto"/>
        </w:rPr>
        <w:t>Avnet requested that all suppliers complete a CMRT. On Avnet’s behalf, Assent offered training and educational resources to Suppliers to guide them on best practices, completing a CMRT, and using the ASM platform. Avnet monitored and tracked all communications in ASM for future reporting and transparency. Avnet may directly follow up with a supplier that does not respond after three requests through ASM.</w:t>
      </w:r>
    </w:p>
    <w:p>
      <w:pPr>
        <w:spacing w:after="0" w:line="126" w:lineRule="exact"/>
        <w:rPr>
          <w:sz w:val="20"/>
          <w:szCs w:val="20"/>
          <w:color w:val="auto"/>
        </w:rPr>
      </w:pPr>
    </w:p>
    <w:p>
      <w:pPr>
        <w:ind w:left="20" w:right="39"/>
        <w:spacing w:after="0" w:line="266" w:lineRule="auto"/>
        <w:rPr>
          <w:sz w:val="20"/>
          <w:szCs w:val="20"/>
          <w:color w:val="auto"/>
        </w:rPr>
      </w:pPr>
      <w:r>
        <w:rPr>
          <w:rFonts w:ascii="Times New Roman" w:cs="Times New Roman" w:eastAsia="Times New Roman" w:hAnsi="Times New Roman"/>
          <w:sz w:val="13"/>
          <w:szCs w:val="13"/>
          <w:color w:val="auto"/>
        </w:rPr>
        <w:t>Supplier CMRTs undergo an automated data validation process to increase the completeness and accuracy of submissions and to identify any contradictory answers. This data validation process is based on questions within the declaration tab of the CMRT, which helps to identify areas that require further classification or risk assessment, as well as to understand the due diligence efforts of the Suppliers. Data validation contributes to the health assessment of Avnet’s Conflict Minerals Program, and the results are shared with suppliers regarding areas that require clarification or improvement.</w:t>
      </w:r>
    </w:p>
    <w:p>
      <w:pPr>
        <w:spacing w:after="0" w:line="130" w:lineRule="exact"/>
        <w:rPr>
          <w:sz w:val="20"/>
          <w:szCs w:val="20"/>
          <w:color w:val="auto"/>
        </w:rPr>
      </w:pPr>
    </w:p>
    <w:p>
      <w:pPr>
        <w:ind w:left="20" w:right="79"/>
        <w:spacing w:after="0" w:line="272" w:lineRule="auto"/>
        <w:rPr>
          <w:sz w:val="20"/>
          <w:szCs w:val="20"/>
          <w:color w:val="auto"/>
        </w:rPr>
      </w:pPr>
      <w:r>
        <w:rPr>
          <w:rFonts w:ascii="Times New Roman" w:cs="Times New Roman" w:eastAsia="Times New Roman" w:hAnsi="Times New Roman"/>
          <w:sz w:val="13"/>
          <w:szCs w:val="13"/>
          <w:color w:val="auto"/>
        </w:rPr>
        <w:t>Supplier CMRTs are accepted and classified as either valid or invalid. If a supplier’s CMRT is invalid, the supplier receives feedback and guidance on how to correct the validation errors and is asked to submit a valid CMRT. In addition, suppliers are provided with training courses and direct engagement help through Assent’s multilingual Supplier Experience team.</w:t>
      </w:r>
    </w:p>
    <w:p>
      <w:pPr>
        <w:spacing w:after="0" w:line="12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3"/>
          <w:szCs w:val="13"/>
          <w:b w:val="1"/>
          <w:bCs w:val="1"/>
          <w:color w:val="auto"/>
        </w:rPr>
        <w:t>Due Diligence Efforts</w:t>
      </w:r>
    </w:p>
    <w:p>
      <w:pPr>
        <w:spacing w:after="0" w:line="169" w:lineRule="exact"/>
        <w:rPr>
          <w:sz w:val="20"/>
          <w:szCs w:val="20"/>
          <w:color w:val="auto"/>
        </w:rPr>
      </w:pPr>
    </w:p>
    <w:p>
      <w:pPr>
        <w:jc w:val="both"/>
        <w:ind w:left="20" w:right="79"/>
        <w:spacing w:after="0" w:line="272" w:lineRule="auto"/>
        <w:rPr>
          <w:sz w:val="20"/>
          <w:szCs w:val="20"/>
          <w:color w:val="auto"/>
        </w:rPr>
      </w:pPr>
      <w:r>
        <w:rPr>
          <w:rFonts w:ascii="Times New Roman" w:cs="Times New Roman" w:eastAsia="Times New Roman" w:hAnsi="Times New Roman"/>
          <w:sz w:val="13"/>
          <w:szCs w:val="13"/>
          <w:color w:val="auto"/>
        </w:rPr>
        <w:t xml:space="preserve">Based on the findings of the 2025 RCOI, pursuant to the Conflict Minerals Rule, Avnet conducted further due diligence on the source and chain of custody of </w:t>
      </w:r>
      <w:r>
        <w:rPr>
          <w:rFonts w:ascii="Times New Roman" w:cs="Times New Roman" w:eastAsia="Times New Roman" w:hAnsi="Times New Roman"/>
          <w:sz w:val="12"/>
          <w:szCs w:val="12"/>
          <w:color w:val="auto"/>
        </w:rPr>
        <w:t>the CMs in</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2"/>
          <w:szCs w:val="12"/>
          <w:color w:val="auto"/>
        </w:rPr>
        <w:t xml:space="preserve">its Covered Products. The Company designed its due diligence measures to conform, in all material respects, with the </w:t>
      </w:r>
      <w:r>
        <w:rPr>
          <w:rFonts w:ascii="Times New Roman" w:cs="Times New Roman" w:eastAsia="Times New Roman" w:hAnsi="Times New Roman"/>
          <w:sz w:val="13"/>
          <w:szCs w:val="13"/>
          <w:color w:val="auto"/>
        </w:rPr>
        <w:t>OECD Framework, which contains a five-step structure</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3"/>
          <w:szCs w:val="13"/>
          <w:color w:val="auto"/>
        </w:rPr>
        <w:t>for due diligence.</w:t>
      </w:r>
    </w:p>
    <w:p>
      <w:pPr>
        <w:spacing w:after="0" w:line="124" w:lineRule="exact"/>
        <w:rPr>
          <w:sz w:val="20"/>
          <w:szCs w:val="20"/>
          <w:color w:val="auto"/>
        </w:rPr>
      </w:pPr>
    </w:p>
    <w:p>
      <w:pPr>
        <w:ind w:left="500" w:hanging="235"/>
        <w:spacing w:after="0"/>
        <w:tabs>
          <w:tab w:leader="none" w:pos="50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Establish strong company management systems</w:t>
      </w:r>
    </w:p>
    <w:p>
      <w:pPr>
        <w:spacing w:after="0" w:line="169" w:lineRule="exact"/>
        <w:rPr>
          <w:sz w:val="20"/>
          <w:szCs w:val="20"/>
          <w:color w:val="auto"/>
        </w:rPr>
      </w:pPr>
    </w:p>
    <w:p>
      <w:pPr>
        <w:ind w:left="500" w:right="139" w:hanging="235"/>
        <w:spacing w:after="0" w:line="259" w:lineRule="auto"/>
        <w:tabs>
          <w:tab w:leader="none" w:pos="50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Avnet has a governance team and a working team to carry out its Conflict Minerals Program. The governance team is made up of senior management and is responsible for ensuring that the program meets regulatory requirements and enterprise goals and provides direction to the working team. The working team is responsible for the day-to-day implementation of the program, diligence efforts, and risk mitigation strategy. It also informs the governance team about the results of the due diligence and risk mitigation efforts.</w:t>
      </w:r>
    </w:p>
    <w:p>
      <w:pPr>
        <w:spacing w:after="0" w:line="1" w:lineRule="exact"/>
        <w:rPr>
          <w:rFonts w:ascii="Times New Roman" w:cs="Times New Roman" w:eastAsia="Times New Roman" w:hAnsi="Times New Roman"/>
          <w:sz w:val="13"/>
          <w:szCs w:val="13"/>
          <w:color w:val="auto"/>
        </w:rPr>
      </w:pPr>
    </w:p>
    <w:p>
      <w:pPr>
        <w:jc w:val="both"/>
        <w:ind w:left="500" w:right="119" w:hanging="235"/>
        <w:spacing w:after="0" w:line="254" w:lineRule="auto"/>
        <w:tabs>
          <w:tab w:leader="none" w:pos="50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Avnet uses a third-party service provider, Assent, to assist with collecting and evaluating supply chain information, identifying potential risks, and developing additional due diligence steps. Please see “Conflict Minerals Program – Reasonable Country of Origin Inquiry” for more information on the use of Assent and its software platform ASM. Avnet also leverages Assent’s managed services to work with dedicated program specialists who support Avnet’s CM program and provide Avnet updates on program status.</w:t>
      </w:r>
    </w:p>
    <w:p>
      <w:pPr>
        <w:ind w:left="500" w:right="139" w:hanging="235"/>
        <w:spacing w:after="0" w:line="254" w:lineRule="auto"/>
        <w:tabs>
          <w:tab w:leader="none" w:pos="50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Avnet has a Responsible Minerals Sourcing Policy, as discussed earlier in this Report. Pursuant to this policy, Avnet expects its suppliers to source CMs only from responsible sources and to provide proper verification of the country of origin and source of the materials used in the products they supply to Avnet. Suppliers either receive a copy of the policy or are notified of this policy. In addition, the policy is posted on Avnet’s website. This policy is reviewed annually by the governance team.</w:t>
      </w:r>
    </w:p>
    <w:p>
      <w:pPr>
        <w:ind w:left="500" w:right="219" w:hanging="235"/>
        <w:spacing w:after="0" w:line="268" w:lineRule="auto"/>
        <w:tabs>
          <w:tab w:leader="none" w:pos="50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Avnet’s Global Supplier Quality Handbook further discloses its expectations for suppliers, including an expectation that suppliers only source materials from environmentally and socially responsible suppliers.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240665</wp:posOffset>
            </wp:positionV>
            <wp:extent cx="5684520" cy="19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84520" cy="19050"/>
                    </a:xfrm>
                    <a:prstGeom prst="rect">
                      <a:avLst/>
                    </a:prstGeom>
                    <a:noFill/>
                  </pic:spPr>
                </pic:pic>
              </a:graphicData>
            </a:graphic>
          </wp:anchor>
        </w:drawing>
      </w:r>
    </w:p>
    <w:p>
      <w:pPr>
        <w:sectPr>
          <w:pgSz w:w="11900" w:h="16838" w:orient="portrait"/>
          <w:cols w:equalWidth="0" w:num="1">
            <w:col w:w="9019"/>
          </w:cols>
          <w:pgMar w:left="1440" w:top="761" w:right="1440" w:bottom="1440" w:gutter="0" w:footer="0" w:header="0"/>
        </w:sectPr>
      </w:pPr>
    </w:p>
    <w:bookmarkStart w:id="7" w:name="page8"/>
    <w:bookmarkEnd w:id="7"/>
    <w:p>
      <w:pPr>
        <w:ind w:left="500" w:right="299" w:hanging="235"/>
        <w:spacing w:after="0" w:line="261" w:lineRule="auto"/>
        <w:tabs>
          <w:tab w:leader="none" w:pos="50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Avnet seeks to include CM related provisions in new or amended supplier agreements with respect to the Covered Products. Its current form of supplier agreement contains a CM provision that requires a supplier to warrant that any products it supplies containing CMs either does not finance or benefit armed groups in the Covered Countries or are from recycled or scrap sources.</w:t>
      </w:r>
    </w:p>
    <w:p>
      <w:pPr>
        <w:ind w:left="500" w:right="399" w:hanging="235"/>
        <w:spacing w:after="0" w:line="254" w:lineRule="auto"/>
        <w:tabs>
          <w:tab w:leader="none" w:pos="50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Avnet uses the current CMRT version developed by RMI to identify smelters and refiners in its supply chain. The CMRT requires Suppliers to provide information concerning the usage and source of CMs in their components, parts, and products, as well as information concerning their related compliance efforts, including whether they have a policy on conflict-free sourcing and require their own suppliers to source CMs from responsible sources.</w:t>
      </w:r>
    </w:p>
    <w:p>
      <w:pPr>
        <w:ind w:left="500" w:right="299" w:hanging="235"/>
        <w:spacing w:after="0" w:line="254" w:lineRule="auto"/>
        <w:tabs>
          <w:tab w:leader="none" w:pos="50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By using Assent, Avnet provides its suppliers access to a free platform to upload their CMRTs, help desk support, educational resources on how to properly complete and submit a CMRT, and other multilingual resources.</w:t>
      </w:r>
    </w:p>
    <w:p>
      <w:pPr>
        <w:ind w:left="500" w:right="59" w:hanging="235"/>
        <w:spacing w:after="0" w:line="254" w:lineRule="auto"/>
        <w:tabs>
          <w:tab w:leader="none" w:pos="50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Employees, vendors, suppliers, customers and any third-party can confidentially report concerns regarding Avnet’s business operations, including compliance with the Responsible Minerals Sourcing Policy, through the Ethics Alertline, via phone or internet. Violations or grievances at the industry level can be reported to the RMI directly at http://responsiblemineralsinitiative.org/responsible-minerals-assurance-process/grievance-mechanism/.</w:t>
      </w:r>
    </w:p>
    <w:p>
      <w:pPr>
        <w:ind w:left="500" w:right="79" w:hanging="235"/>
        <w:spacing w:after="0" w:line="268" w:lineRule="auto"/>
        <w:tabs>
          <w:tab w:leader="none" w:pos="50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Avnet has a document retention policy to retain CM related documents, including supplier responses to CMRTs and the sources identified within each reporting period, for at least five years.</w:t>
      </w:r>
    </w:p>
    <w:p>
      <w:pPr>
        <w:spacing w:after="0" w:line="126" w:lineRule="exact"/>
        <w:rPr>
          <w:sz w:val="20"/>
          <w:szCs w:val="20"/>
          <w:color w:val="auto"/>
        </w:rPr>
      </w:pPr>
    </w:p>
    <w:p>
      <w:pPr>
        <w:ind w:left="500" w:hanging="235"/>
        <w:spacing w:after="0"/>
        <w:tabs>
          <w:tab w:leader="none" w:pos="500" w:val="left"/>
        </w:tabs>
        <w:numPr>
          <w:ilvl w:val="0"/>
          <w:numId w:val="6"/>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Identify and assess risk in the supply chain</w:t>
      </w:r>
    </w:p>
    <w:p>
      <w:pPr>
        <w:spacing w:after="0" w:line="169" w:lineRule="exact"/>
        <w:rPr>
          <w:sz w:val="20"/>
          <w:szCs w:val="20"/>
          <w:color w:val="auto"/>
        </w:rPr>
      </w:pPr>
    </w:p>
    <w:p>
      <w:pPr>
        <w:ind w:left="500" w:right="99" w:hanging="235"/>
        <w:spacing w:after="0" w:line="261" w:lineRule="auto"/>
        <w:tabs>
          <w:tab w:leader="none" w:pos="50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Avnet identifies the business segments that manufacture or contract to manufacture products reasonably believed to contain CMs and determine the Covered Products subject to the Conflict Minerals Rule. As a global value-added distributor, a substantial majority of Avnet’s operations are out of scope of the Conflict Minerals Rule.</w:t>
      </w:r>
    </w:p>
    <w:p>
      <w:pPr>
        <w:ind w:left="500" w:right="519" w:hanging="235"/>
        <w:spacing w:after="0" w:line="254" w:lineRule="auto"/>
        <w:tabs>
          <w:tab w:leader="none" w:pos="50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Avnet identifies the active suppliers of materials, components, parts, and products that may contain CMs for the Covered Products, and each supplier is requested to complete the then latest revision of the CMRT. Avnet expects its direct suppliers to survey their suppliers.</w:t>
      </w:r>
    </w:p>
    <w:p>
      <w:pPr>
        <w:ind w:left="500" w:right="59" w:hanging="235"/>
        <w:spacing w:after="0" w:line="254" w:lineRule="auto"/>
        <w:tabs>
          <w:tab w:leader="none" w:pos="50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Supplier level risks include non-responsive suppliers. Avnet tracks receipt of Supplier CMRTs. Avnet may directly follow-up with Suppliers that do not respond after three requests through the ASM platform. Follow-up with non-responsive suppliers continued into 2025.</w:t>
      </w:r>
    </w:p>
    <w:p>
      <w:pPr>
        <w:ind w:left="500" w:right="59" w:hanging="235"/>
        <w:spacing w:after="0" w:line="254" w:lineRule="auto"/>
        <w:tabs>
          <w:tab w:leader="none" w:pos="50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Supplier level risks include incomplete or invalid submitted CMRTs. Submitted CMRTs go through a data validation process to evaluate responses for plausibility, completion, and consistency to lower the risks associated with supplier CMRT content. To the extent that a CMRT is incomplete or invalid, or other relevant information is not provided by a supplier, follow-up procedures are undertaken to request compliance and to offer feedback, guidance, and educational resources. Follow-up with such suppliers continued into 2025.</w:t>
      </w:r>
    </w:p>
    <w:p>
      <w:pPr>
        <w:ind w:left="500" w:right="199" w:hanging="235"/>
        <w:spacing w:after="0" w:line="254" w:lineRule="auto"/>
        <w:tabs>
          <w:tab w:leader="none" w:pos="50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Supplier level risks include weak or undeveloped Supplier CM programs. Based on a supplier’s submitted CMRT, the strength of a supplier’s related compliance efforts, including whether it has a conflict minerals sourcing policy or implements due diligence measures for conflict free sourcing, is evaluated, tracked, and rated as either weak or strong.</w:t>
      </w:r>
    </w:p>
    <w:p>
      <w:pPr>
        <w:ind w:left="500" w:right="99" w:hanging="235"/>
        <w:spacing w:after="0" w:line="254" w:lineRule="auto"/>
        <w:tabs>
          <w:tab w:leader="none" w:pos="50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Supplier level risks include supplier CMRTs that are based on company-level information versus Covered Product-level information. Suppliers may have been over-inclusive if their suppliers provide information on a company-level basis and under-inclusive if suppliers experience non-responsive suppliers or incomplete supplier CMRTs. Therefore, the Company is unable to determine if the smelters and refiners listed in </w:t>
      </w:r>
      <w:r>
        <w:rPr>
          <w:rFonts w:ascii="Times New Roman" w:cs="Times New Roman" w:eastAsia="Times New Roman" w:hAnsi="Times New Roman"/>
          <w:sz w:val="13"/>
          <w:szCs w:val="13"/>
          <w:u w:val="single" w:color="auto"/>
          <w:color w:val="auto"/>
        </w:rPr>
        <w:t>Appendix A</w:t>
      </w:r>
      <w:r>
        <w:rPr>
          <w:rFonts w:ascii="Times New Roman" w:cs="Times New Roman" w:eastAsia="Times New Roman" w:hAnsi="Times New Roman"/>
          <w:sz w:val="13"/>
          <w:szCs w:val="13"/>
          <w:color w:val="auto"/>
        </w:rPr>
        <w:t xml:space="preserve"> were all used or is a complete list of smelters and refiners utilized for CMs in the Covered Products.</w:t>
      </w:r>
    </w:p>
    <w:p>
      <w:pPr>
        <w:ind w:left="500" w:right="339" w:hanging="235"/>
        <w:spacing w:after="0" w:line="254" w:lineRule="auto"/>
        <w:tabs>
          <w:tab w:leader="none" w:pos="50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Supplier level risks include suppliers with problematic smelters and refiners in its supply chain. The CMRT data validation process evaluates responses for predetermined red flag indicators defined in the OECD Framework to identify risks in the supply chain posed by smelters and refiners.</w:t>
      </w:r>
    </w:p>
    <w:p>
      <w:pPr>
        <w:ind w:left="740" w:right="79" w:hanging="238"/>
        <w:spacing w:after="0" w:line="242" w:lineRule="auto"/>
        <w:rPr>
          <w:rFonts w:ascii="Times New Roman" w:cs="Times New Roman" w:eastAsia="Times New Roman" w:hAnsi="Times New Roman"/>
          <w:sz w:val="13"/>
          <w:szCs w:val="13"/>
          <w:color w:val="auto"/>
        </w:rPr>
      </w:pPr>
      <w:r>
        <w:rPr>
          <w:rFonts w:ascii="Courier New" w:cs="Courier New" w:eastAsia="Courier New" w:hAnsi="Courier New"/>
          <w:sz w:val="13"/>
          <w:szCs w:val="13"/>
          <w:color w:val="auto"/>
        </w:rPr>
        <w:t xml:space="preserve">o </w:t>
      </w:r>
      <w:r>
        <w:rPr>
          <w:rFonts w:ascii="Times New Roman" w:cs="Times New Roman" w:eastAsia="Times New Roman" w:hAnsi="Times New Roman"/>
          <w:sz w:val="13"/>
          <w:szCs w:val="13"/>
          <w:color w:val="auto"/>
        </w:rPr>
        <w:t>Smelters and refiners identified in the CMRTs are compared against the Smelter Look-up tab of the CMRT and the list of Conformant smelters and refiners</w:t>
      </w:r>
      <w:r>
        <w:rPr>
          <w:rFonts w:ascii="Courier New" w:cs="Courier New" w:eastAsia="Courier New" w:hAnsi="Courier New"/>
          <w:sz w:val="13"/>
          <w:szCs w:val="13"/>
          <w:color w:val="auto"/>
        </w:rPr>
        <w:t xml:space="preserve"> </w:t>
      </w:r>
      <w:r>
        <w:rPr>
          <w:rFonts w:ascii="Times New Roman" w:cs="Times New Roman" w:eastAsia="Times New Roman" w:hAnsi="Times New Roman"/>
          <w:sz w:val="13"/>
          <w:szCs w:val="13"/>
          <w:color w:val="auto"/>
        </w:rPr>
        <w:t>and country of origin information published by the RMI to determine if the smelter had been audited against a standard in conformance with the OECD Framework, such as RMAP.</w:t>
      </w:r>
    </w:p>
    <w:p>
      <w:pPr>
        <w:spacing w:after="0" w:line="1" w:lineRule="exact"/>
        <w:rPr>
          <w:rFonts w:ascii="Times New Roman" w:cs="Times New Roman" w:eastAsia="Times New Roman" w:hAnsi="Times New Roman"/>
          <w:sz w:val="13"/>
          <w:szCs w:val="13"/>
          <w:color w:val="auto"/>
        </w:rPr>
      </w:pPr>
    </w:p>
    <w:p>
      <w:pPr>
        <w:ind w:left="740" w:right="99" w:hanging="238"/>
        <w:spacing w:after="0" w:line="237" w:lineRule="auto"/>
        <w:rPr>
          <w:rFonts w:ascii="Times New Roman" w:cs="Times New Roman" w:eastAsia="Times New Roman" w:hAnsi="Times New Roman"/>
          <w:sz w:val="13"/>
          <w:szCs w:val="13"/>
          <w:color w:val="auto"/>
        </w:rPr>
      </w:pPr>
      <w:r>
        <w:rPr>
          <w:rFonts w:ascii="Courier New" w:cs="Courier New" w:eastAsia="Courier New" w:hAnsi="Courier New"/>
          <w:sz w:val="13"/>
          <w:szCs w:val="13"/>
          <w:color w:val="auto"/>
        </w:rPr>
        <w:t xml:space="preserve">o </w:t>
      </w:r>
      <w:r>
        <w:rPr>
          <w:rFonts w:ascii="Times New Roman" w:cs="Times New Roman" w:eastAsia="Times New Roman" w:hAnsi="Times New Roman"/>
          <w:sz w:val="13"/>
          <w:szCs w:val="13"/>
          <w:color w:val="auto"/>
        </w:rPr>
        <w:t>If a smelter’s due diligence practices have not been audited against the RMAP standard or the smelter is considered non-conformant by RMAP, follow-ups</w:t>
      </w:r>
      <w:r>
        <w:rPr>
          <w:rFonts w:ascii="Courier New" w:cs="Courier New" w:eastAsia="Courier New" w:hAnsi="Courier New"/>
          <w:sz w:val="13"/>
          <w:szCs w:val="13"/>
          <w:color w:val="auto"/>
        </w:rPr>
        <w:t xml:space="preserve"> </w:t>
      </w:r>
      <w:r>
        <w:rPr>
          <w:rFonts w:ascii="Times New Roman" w:cs="Times New Roman" w:eastAsia="Times New Roman" w:hAnsi="Times New Roman"/>
          <w:sz w:val="13"/>
          <w:szCs w:val="13"/>
          <w:color w:val="auto"/>
        </w:rPr>
        <w:t>may be conducted with Suppliers reporting those facilities and the facilities are assessed for potential sourcing risks.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251460</wp:posOffset>
            </wp:positionV>
            <wp:extent cx="5684520" cy="19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84520" cy="19050"/>
                    </a:xfrm>
                    <a:prstGeom prst="rect">
                      <a:avLst/>
                    </a:prstGeom>
                    <a:noFill/>
                  </pic:spPr>
                </pic:pic>
              </a:graphicData>
            </a:graphic>
          </wp:anchor>
        </w:drawing>
      </w:r>
    </w:p>
    <w:p>
      <w:pPr>
        <w:sectPr>
          <w:pgSz w:w="11900" w:h="16838" w:orient="portrait"/>
          <w:cols w:equalWidth="0" w:num="1">
            <w:col w:w="9019"/>
          </w:cols>
          <w:pgMar w:left="1440" w:top="760" w:right="1440" w:bottom="1440" w:gutter="0" w:footer="0" w:header="0"/>
        </w:sectPr>
      </w:pPr>
    </w:p>
    <w:bookmarkStart w:id="8" w:name="page9"/>
    <w:bookmarkEnd w:id="8"/>
    <w:p>
      <w:pPr>
        <w:ind w:left="740" w:right="79" w:hanging="237"/>
        <w:spacing w:after="0" w:line="262" w:lineRule="auto"/>
        <w:tabs>
          <w:tab w:leader="none" w:pos="740" w:val="left"/>
        </w:tabs>
        <w:numPr>
          <w:ilvl w:val="1"/>
          <w:numId w:val="8"/>
        </w:numPr>
        <w:rPr>
          <w:rFonts w:ascii="Courier New" w:cs="Courier New" w:eastAsia="Courier New" w:hAnsi="Courier New"/>
          <w:sz w:val="13"/>
          <w:szCs w:val="13"/>
          <w:color w:val="auto"/>
        </w:rPr>
      </w:pPr>
      <w:r>
        <w:rPr>
          <w:rFonts w:ascii="Times New Roman" w:cs="Times New Roman" w:eastAsia="Times New Roman" w:hAnsi="Times New Roman"/>
          <w:sz w:val="13"/>
          <w:szCs w:val="13"/>
          <w:color w:val="auto"/>
        </w:rPr>
        <w:t>The process uses multiple factors to determine the level of risk that each smelter and refiner poses to the supply chain. Factors include: RMAP audit status, geographic proximity to Conflict-Affected and High Risk Areas, known mineral source country of origin, credible evidence of unethical or conflict sourcing, peer assessments conducted by credible third-party sources, and sanction risks.</w:t>
      </w:r>
    </w:p>
    <w:p>
      <w:pPr>
        <w:spacing w:after="0" w:line="130" w:lineRule="exact"/>
        <w:rPr>
          <w:rFonts w:ascii="Courier New" w:cs="Courier New" w:eastAsia="Courier New" w:hAnsi="Courier New"/>
          <w:sz w:val="13"/>
          <w:szCs w:val="13"/>
          <w:color w:val="auto"/>
        </w:rPr>
      </w:pPr>
    </w:p>
    <w:p>
      <w:pPr>
        <w:ind w:left="500" w:hanging="235"/>
        <w:spacing w:after="0"/>
        <w:tabs>
          <w:tab w:leader="none" w:pos="500" w:val="left"/>
        </w:tabs>
        <w:numPr>
          <w:ilvl w:val="0"/>
          <w:numId w:val="8"/>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Design and implementation of a strategy to respond to identified risks</w:t>
      </w:r>
    </w:p>
    <w:p>
      <w:pPr>
        <w:spacing w:after="0" w:line="90" w:lineRule="exact"/>
        <w:rPr>
          <w:sz w:val="20"/>
          <w:szCs w:val="20"/>
          <w:color w:val="auto"/>
        </w:rPr>
      </w:pPr>
    </w:p>
    <w:p>
      <w:pPr>
        <w:ind w:left="500" w:right="239" w:hanging="235"/>
        <w:spacing w:after="0" w:line="259" w:lineRule="auto"/>
        <w:tabs>
          <w:tab w:leader="none" w:pos="50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Avnet has a risk management plan through which the Conflict Minerals Program is implemented, managed, and monitored. The plan includes processes to assess and respond to the risks identified in the supply chain, which are described in more detail under “Due Diligence Efforts – 2. Identify and assess risk in the supply chain.” Feedback on Supplier CMRTs is given directly to suppliers and educational resources are provided to assist suppliers in corrective action methods or to improve their internal programs.</w:t>
      </w:r>
    </w:p>
    <w:p>
      <w:pPr>
        <w:spacing w:after="0" w:line="1" w:lineRule="exact"/>
        <w:rPr>
          <w:rFonts w:ascii="Times New Roman" w:cs="Times New Roman" w:eastAsia="Times New Roman" w:hAnsi="Times New Roman"/>
          <w:sz w:val="13"/>
          <w:szCs w:val="13"/>
          <w:color w:val="auto"/>
        </w:rPr>
      </w:pPr>
    </w:p>
    <w:p>
      <w:pPr>
        <w:ind w:left="500" w:right="279" w:hanging="235"/>
        <w:spacing w:after="0" w:line="254" w:lineRule="auto"/>
        <w:tabs>
          <w:tab w:leader="none" w:pos="50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Avnet works with Suppliers on an as-needed basis to assist them with understanding the requirements of the Conflict Minerals Rule. Through Assent, Avnet also offers training and educational resources to suppliers to guide them on best practices, completing a CMRT, and using the ASM platform.</w:t>
      </w:r>
    </w:p>
    <w:p>
      <w:pPr>
        <w:ind w:left="500" w:right="39" w:hanging="235"/>
        <w:spacing w:after="0" w:line="254" w:lineRule="auto"/>
        <w:tabs>
          <w:tab w:leader="none" w:pos="50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Avnet participates in Assent’s smelter outreach initiative, where letters are sent twice a year to each smelter and refiner not conformant or not enrolled in RMAP to encourage participation in a cross-recognized industry audit program. The initiative also includes letters to smelters and refiners who are conformant to RMAP to reflect appreciation for their efforts.</w:t>
      </w:r>
    </w:p>
    <w:p>
      <w:pPr>
        <w:ind w:left="500" w:right="519" w:hanging="235"/>
        <w:spacing w:after="0" w:line="254" w:lineRule="auto"/>
        <w:tabs>
          <w:tab w:leader="none" w:pos="50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Working team leaders monitor risks and share the CM Program results, risk assessments, and draft Form SD filings with the governance team to ensure transparency within Avnet.</w:t>
      </w:r>
    </w:p>
    <w:p>
      <w:pPr>
        <w:ind w:left="500" w:right="179" w:hanging="235"/>
        <w:spacing w:after="0" w:line="254" w:lineRule="auto"/>
        <w:tabs>
          <w:tab w:leader="none" w:pos="50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Avnet’s Responsible Minerals Sourcing Policy publicly announces its expectations that suppliers participate in Avnet’s due diligence process by providing proper verification of the country of origin and source of the materials used in the Covered Products they supply to Avnet. The policy and the Global Supplier Quality Handbook also state that Suppliers are expected to source CMs only from responsible sources.</w:t>
      </w:r>
    </w:p>
    <w:p>
      <w:pPr>
        <w:ind w:left="500" w:right="499" w:hanging="235"/>
        <w:spacing w:after="0" w:line="254" w:lineRule="auto"/>
        <w:tabs>
          <w:tab w:leader="none" w:pos="50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Avnet seeks to include CM related provisions in new or amended supplier agreements with respect to the Covered Products and include CM related due diligence in acquisition activities.</w:t>
      </w:r>
    </w:p>
    <w:p>
      <w:pPr>
        <w:ind w:left="500" w:right="299" w:hanging="235"/>
        <w:spacing w:after="0" w:line="254" w:lineRule="auto"/>
        <w:tabs>
          <w:tab w:leader="none" w:pos="50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Avnet has processes in place for new product introductions and changes to the bill of materials for the Covered Products to help ensure compliance with the Conflict Minerals Program.</w:t>
      </w:r>
    </w:p>
    <w:p>
      <w:pPr>
        <w:ind w:left="500" w:right="179" w:hanging="235"/>
        <w:spacing w:after="0" w:line="268" w:lineRule="auto"/>
        <w:tabs>
          <w:tab w:leader="none" w:pos="50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Employees, vendors, suppliers, customers and any third-party can confidentially report concerns regarding Avnet’s business operations, including compliance with the Responsible Minerals Sourcing Policy, through the Ethics Alertline, via phone or internet.</w:t>
      </w:r>
    </w:p>
    <w:p>
      <w:pPr>
        <w:spacing w:after="0" w:line="126" w:lineRule="exact"/>
        <w:rPr>
          <w:sz w:val="20"/>
          <w:szCs w:val="20"/>
          <w:color w:val="auto"/>
        </w:rPr>
      </w:pPr>
    </w:p>
    <w:p>
      <w:pPr>
        <w:ind w:left="500" w:hanging="235"/>
        <w:spacing w:after="0"/>
        <w:tabs>
          <w:tab w:leader="none" w:pos="500" w:val="left"/>
        </w:tabs>
        <w:numPr>
          <w:ilvl w:val="0"/>
          <w:numId w:val="10"/>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Carry out independent third-party audit of supply chain due diligence</w:t>
      </w:r>
    </w:p>
    <w:p>
      <w:pPr>
        <w:spacing w:after="0" w:line="169" w:lineRule="exact"/>
        <w:rPr>
          <w:sz w:val="20"/>
          <w:szCs w:val="20"/>
          <w:color w:val="auto"/>
        </w:rPr>
      </w:pPr>
    </w:p>
    <w:p>
      <w:pPr>
        <w:ind w:left="500" w:right="119" w:hanging="235"/>
        <w:spacing w:after="0" w:line="272" w:lineRule="auto"/>
        <w:tabs>
          <w:tab w:leader="none" w:pos="500"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Avnet is not positioned to conduct direct audits of smelters and refiners’ due diligence practices, as it is a downstream consumer of CMs and is generally many steps removed from smelters and refiners that provide minerals and ores. Instead, it relies on initiatives such as those led by RBA, including RMI, to conduct smelter and refinery due diligence audits.</w:t>
      </w:r>
    </w:p>
    <w:p>
      <w:pPr>
        <w:spacing w:after="0" w:line="124" w:lineRule="exact"/>
        <w:rPr>
          <w:sz w:val="20"/>
          <w:szCs w:val="20"/>
          <w:color w:val="auto"/>
        </w:rPr>
      </w:pPr>
    </w:p>
    <w:p>
      <w:pPr>
        <w:ind w:left="500" w:hanging="235"/>
        <w:spacing w:after="0"/>
        <w:tabs>
          <w:tab w:leader="none" w:pos="500" w:val="left"/>
        </w:tabs>
        <w:numPr>
          <w:ilvl w:val="0"/>
          <w:numId w:val="12"/>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Report annually on supply chain due diligence</w:t>
      </w:r>
    </w:p>
    <w:p>
      <w:pPr>
        <w:spacing w:after="0" w:line="169" w:lineRule="exact"/>
        <w:rPr>
          <w:sz w:val="20"/>
          <w:szCs w:val="20"/>
          <w:color w:val="auto"/>
        </w:rPr>
      </w:pPr>
    </w:p>
    <w:p>
      <w:pPr>
        <w:ind w:left="500" w:right="1459" w:hanging="235"/>
        <w:spacing w:after="0" w:line="289" w:lineRule="auto"/>
        <w:tabs>
          <w:tab w:leader="none" w:pos="500"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Avnet annually files a Form SD and a Conflict Minerals Report with the SEC and makes them available to the public on its website at https://www.avnet.com/wps/portal/us/about-avnet/human-rights/conflict-minerals.</w:t>
      </w:r>
    </w:p>
    <w:p>
      <w:pPr>
        <w:spacing w:after="0" w:line="1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Results of 2025 Conflict Minerals Program</w:t>
      </w:r>
    </w:p>
    <w:p>
      <w:pPr>
        <w:spacing w:after="0" w:line="169" w:lineRule="exact"/>
        <w:rPr>
          <w:sz w:val="20"/>
          <w:szCs w:val="20"/>
          <w:color w:val="auto"/>
        </w:rPr>
      </w:pPr>
    </w:p>
    <w:p>
      <w:pPr>
        <w:ind w:left="20" w:right="219"/>
        <w:spacing w:after="0" w:line="289" w:lineRule="auto"/>
        <w:rPr>
          <w:sz w:val="20"/>
          <w:szCs w:val="20"/>
          <w:color w:val="auto"/>
        </w:rPr>
      </w:pPr>
      <w:r>
        <w:rPr>
          <w:rFonts w:ascii="Times New Roman" w:cs="Times New Roman" w:eastAsia="Times New Roman" w:hAnsi="Times New Roman"/>
          <w:sz w:val="13"/>
          <w:szCs w:val="13"/>
          <w:color w:val="auto"/>
        </w:rPr>
        <w:t>As a downstream purchaser of components, parts and products that may contain CMs, Avnet’s 2025 Program can provide only reasonable, but not absolute, assurance regarding the country of origin and chain of custody of the necessary CMs in its Covered Products.</w:t>
      </w:r>
    </w:p>
    <w:p>
      <w:pPr>
        <w:spacing w:after="0" w:line="115" w:lineRule="exact"/>
        <w:rPr>
          <w:sz w:val="20"/>
          <w:szCs w:val="20"/>
          <w:color w:val="auto"/>
        </w:rPr>
      </w:pPr>
    </w:p>
    <w:p>
      <w:pPr>
        <w:ind w:left="20" w:right="59"/>
        <w:spacing w:after="0" w:line="263" w:lineRule="auto"/>
        <w:rPr>
          <w:sz w:val="20"/>
          <w:szCs w:val="20"/>
          <w:color w:val="auto"/>
        </w:rPr>
      </w:pPr>
      <w:r>
        <w:rPr>
          <w:rFonts w:ascii="Times New Roman" w:cs="Times New Roman" w:eastAsia="Times New Roman" w:hAnsi="Times New Roman"/>
          <w:sz w:val="13"/>
          <w:szCs w:val="13"/>
          <w:color w:val="auto"/>
        </w:rPr>
        <w:t>The due diligence process includes Avnet requesting information from its direct suppliers, with those suppliers requesting similar information from their suppliers and so on, up the supply chain, to eventually identify the original sources of the necessary CMs. However, those who purchase CMs directly from smelters or refiners may not be able to discern which of its product lines include specific CMs from each smelter or refiner, and so it is common practice for such purchasers to list all smelters and refiners they may purchase from within the reporting period. Likewise, suppliers’ CMRTs primarily provided information at the company level, with few at the product level, and suppliers may have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242570</wp:posOffset>
            </wp:positionV>
            <wp:extent cx="5684520" cy="19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84520" cy="19050"/>
                    </a:xfrm>
                    <a:prstGeom prst="rect">
                      <a:avLst/>
                    </a:prstGeom>
                    <a:noFill/>
                  </pic:spPr>
                </pic:pic>
              </a:graphicData>
            </a:graphic>
          </wp:anchor>
        </w:drawing>
      </w:r>
    </w:p>
    <w:p>
      <w:pPr>
        <w:sectPr>
          <w:pgSz w:w="11900" w:h="16838" w:orient="portrait"/>
          <w:cols w:equalWidth="0" w:num="1">
            <w:col w:w="9019"/>
          </w:cols>
          <w:pgMar w:left="1440" w:top="761" w:right="1440" w:bottom="1440" w:gutter="0" w:footer="0" w:header="0"/>
        </w:sectPr>
      </w:pPr>
    </w:p>
    <w:bookmarkStart w:id="9" w:name="page10"/>
    <w:bookmarkEnd w:id="9"/>
    <w:p>
      <w:pPr>
        <w:ind w:left="20"/>
        <w:spacing w:after="0"/>
        <w:rPr>
          <w:sz w:val="20"/>
          <w:szCs w:val="20"/>
          <w:color w:val="auto"/>
        </w:rPr>
      </w:pPr>
      <w:r>
        <w:rPr>
          <w:rFonts w:ascii="Times New Roman" w:cs="Times New Roman" w:eastAsia="Times New Roman" w:hAnsi="Times New Roman"/>
          <w:sz w:val="13"/>
          <w:szCs w:val="13"/>
          <w:color w:val="auto"/>
        </w:rPr>
        <w:t>received similar information from their suppliers and so on. Finally, not all suppliers completed CMRTs or completed CMRTs in full for the 2025 Program.</w:t>
      </w:r>
    </w:p>
    <w:p>
      <w:pPr>
        <w:spacing w:after="0" w:line="1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For the 2025 Program, 505 Suppliers were identified, of which 356 (or 70.5%) submitted a completed CMRT.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114300</wp:posOffset>
            </wp:positionV>
            <wp:extent cx="5678805" cy="9937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78805" cy="993775"/>
                    </a:xfrm>
                    <a:prstGeom prst="rect">
                      <a:avLst/>
                    </a:prstGeom>
                    <a:noFill/>
                  </pic:spPr>
                </pic:pic>
              </a:graphicData>
            </a:graphic>
          </wp:anchor>
        </w:drawing>
      </w: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Supplier CMRT Results</w:t>
      </w:r>
    </w:p>
    <w:p>
      <w:pPr>
        <w:spacing w:after="0" w:line="83" w:lineRule="exact"/>
        <w:rPr>
          <w:sz w:val="20"/>
          <w:szCs w:val="20"/>
          <w:color w:val="auto"/>
        </w:rPr>
      </w:pPr>
    </w:p>
    <w:tbl>
      <w:tblPr>
        <w:tblLayout w:type="fixed"/>
        <w:tblInd w:w="30" w:type="dxa"/>
        <w:tblCellMar>
          <w:top w:w="0" w:type="dxa"/>
          <w:left w:w="0" w:type="dxa"/>
          <w:bottom w:w="0" w:type="dxa"/>
          <w:right w:w="0" w:type="dxa"/>
        </w:tblCellMar>
      </w:tblPr>
      <w:tr>
        <w:trPr>
          <w:trHeight w:val="233"/>
        </w:trPr>
        <w:tc>
          <w:tcPr>
            <w:tcW w:w="1020" w:type="dxa"/>
            <w:vAlign w:val="bottom"/>
            <w:tcBorders>
              <w:top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Year of</w:t>
            </w:r>
          </w:p>
        </w:tc>
        <w:tc>
          <w:tcPr>
            <w:tcW w:w="1480" w:type="dxa"/>
            <w:vAlign w:val="bottom"/>
            <w:tcBorders>
              <w:top w:val="single" w:sz="8" w:color="auto"/>
            </w:tcBorders>
            <w:gridSpan w:val="2"/>
          </w:tcPr>
          <w:p>
            <w:pPr>
              <w:jc w:val="center"/>
              <w:ind w:left="74"/>
              <w:spacing w:after="0"/>
              <w:rPr>
                <w:sz w:val="20"/>
                <w:szCs w:val="20"/>
                <w:color w:val="auto"/>
              </w:rPr>
            </w:pPr>
            <w:r>
              <w:rPr>
                <w:rFonts w:ascii="Times New Roman" w:cs="Times New Roman" w:eastAsia="Times New Roman" w:hAnsi="Times New Roman"/>
                <w:sz w:val="13"/>
                <w:szCs w:val="13"/>
                <w:b w:val="1"/>
                <w:bCs w:val="1"/>
                <w:color w:val="auto"/>
              </w:rPr>
              <w:t># Suppliers in Scope</w:t>
            </w:r>
          </w:p>
        </w:tc>
        <w:tc>
          <w:tcPr>
            <w:tcW w:w="180" w:type="dxa"/>
            <w:vAlign w:val="bottom"/>
            <w:tcBorders>
              <w:top w:val="single" w:sz="8" w:color="auto"/>
              <w:right w:val="single" w:sz="8" w:color="auto"/>
            </w:tcBorders>
          </w:tcPr>
          <w:p>
            <w:pPr>
              <w:spacing w:after="0"/>
              <w:rPr>
                <w:sz w:val="20"/>
                <w:szCs w:val="20"/>
                <w:color w:val="auto"/>
              </w:rPr>
            </w:pPr>
          </w:p>
        </w:tc>
        <w:tc>
          <w:tcPr>
            <w:tcW w:w="1440" w:type="dxa"/>
            <w:vAlign w:val="bottom"/>
            <w:tcBorders>
              <w:top w:val="single" w:sz="8" w:color="auto"/>
            </w:tcBorders>
            <w:gridSpan w:val="2"/>
          </w:tcPr>
          <w:p>
            <w:pPr>
              <w:jc w:val="center"/>
              <w:ind w:left="114"/>
              <w:spacing w:after="0"/>
              <w:rPr>
                <w:sz w:val="20"/>
                <w:szCs w:val="20"/>
                <w:color w:val="auto"/>
              </w:rPr>
            </w:pPr>
            <w:r>
              <w:rPr>
                <w:rFonts w:ascii="Times New Roman" w:cs="Times New Roman" w:eastAsia="Times New Roman" w:hAnsi="Times New Roman"/>
                <w:sz w:val="13"/>
                <w:szCs w:val="13"/>
                <w:b w:val="1"/>
                <w:bCs w:val="1"/>
                <w:color w:val="auto"/>
                <w:w w:val="99"/>
              </w:rPr>
              <w:t># Completed CMRTs</w:t>
            </w:r>
          </w:p>
        </w:tc>
        <w:tc>
          <w:tcPr>
            <w:tcW w:w="220" w:type="dxa"/>
            <w:vAlign w:val="bottom"/>
            <w:tcBorders>
              <w:top w:val="single" w:sz="8" w:color="auto"/>
              <w:right w:val="single" w:sz="8" w:color="auto"/>
            </w:tcBorders>
          </w:tcPr>
          <w:p>
            <w:pPr>
              <w:spacing w:after="0"/>
              <w:rPr>
                <w:sz w:val="20"/>
                <w:szCs w:val="20"/>
                <w:color w:val="auto"/>
              </w:rPr>
            </w:pPr>
          </w:p>
        </w:tc>
        <w:tc>
          <w:tcPr>
            <w:tcW w:w="1660" w:type="dxa"/>
            <w:vAlign w:val="bottom"/>
            <w:tcBorders>
              <w:top w:val="single" w:sz="8" w:color="auto"/>
              <w:right w:val="single" w:sz="8" w:color="auto"/>
            </w:tcBorders>
            <w:gridSpan w:val="3"/>
            <w:shd w:val="clear" w:color="auto" w:fill="D9D9D9"/>
          </w:tcPr>
          <w:p>
            <w:pPr>
              <w:jc w:val="center"/>
              <w:spacing w:after="0"/>
              <w:rPr>
                <w:sz w:val="20"/>
                <w:szCs w:val="20"/>
                <w:color w:val="auto"/>
              </w:rPr>
            </w:pPr>
            <w:r>
              <w:rPr>
                <w:rFonts w:ascii="Times New Roman" w:cs="Times New Roman" w:eastAsia="Times New Roman" w:hAnsi="Times New Roman"/>
                <w:sz w:val="13"/>
                <w:szCs w:val="13"/>
                <w:b w:val="1"/>
                <w:bCs w:val="1"/>
                <w:color w:val="auto"/>
              </w:rPr>
              <w:t>% Completed CMRTs</w:t>
            </w:r>
          </w:p>
        </w:tc>
        <w:tc>
          <w:tcPr>
            <w:tcW w:w="1440" w:type="dxa"/>
            <w:vAlign w:val="bottom"/>
            <w:tcBorders>
              <w:top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 Valid CMRTs</w:t>
            </w:r>
          </w:p>
        </w:tc>
        <w:tc>
          <w:tcPr>
            <w:tcW w:w="260" w:type="dxa"/>
            <w:vAlign w:val="bottom"/>
            <w:tcBorders>
              <w:top w:val="single" w:sz="8" w:color="auto"/>
              <w:right w:val="single" w:sz="8" w:color="D9D9D9"/>
            </w:tcBorders>
            <w:shd w:val="clear" w:color="auto" w:fill="D9D9D9"/>
          </w:tcPr>
          <w:p>
            <w:pPr>
              <w:spacing w:after="0"/>
              <w:rPr>
                <w:sz w:val="20"/>
                <w:szCs w:val="20"/>
                <w:color w:val="auto"/>
              </w:rPr>
            </w:pPr>
          </w:p>
        </w:tc>
        <w:tc>
          <w:tcPr>
            <w:tcW w:w="1240" w:type="dxa"/>
            <w:vAlign w:val="bottom"/>
            <w:tcBorders>
              <w:top w:val="single" w:sz="8" w:color="auto"/>
            </w:tcBorders>
            <w:shd w:val="clear" w:color="auto" w:fill="D9D9D9"/>
          </w:tcPr>
          <w:p>
            <w:pPr>
              <w:ind w:left="20"/>
              <w:spacing w:after="0"/>
              <w:rPr>
                <w:sz w:val="20"/>
                <w:szCs w:val="20"/>
                <w:color w:val="auto"/>
              </w:rPr>
            </w:pPr>
            <w:r>
              <w:rPr>
                <w:rFonts w:ascii="Times New Roman" w:cs="Times New Roman" w:eastAsia="Times New Roman" w:hAnsi="Times New Roman"/>
                <w:sz w:val="13"/>
                <w:szCs w:val="13"/>
                <w:b w:val="1"/>
                <w:bCs w:val="1"/>
                <w:color w:val="auto"/>
              </w:rPr>
              <w:t>% Valid CMRTs</w:t>
            </w:r>
          </w:p>
        </w:tc>
        <w:tc>
          <w:tcPr>
            <w:tcW w:w="20" w:type="dxa"/>
            <w:vAlign w:val="bottom"/>
            <w:tcBorders>
              <w:top w:val="single" w:sz="8" w:color="auto"/>
            </w:tcBorders>
          </w:tcPr>
          <w:p>
            <w:pPr>
              <w:spacing w:after="0"/>
              <w:rPr>
                <w:sz w:val="20"/>
                <w:szCs w:val="20"/>
                <w:color w:val="auto"/>
              </w:rPr>
            </w:pPr>
          </w:p>
        </w:tc>
      </w:tr>
      <w:tr>
        <w:trPr>
          <w:trHeight w:val="174"/>
        </w:trPr>
        <w:tc>
          <w:tcPr>
            <w:tcW w:w="102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Program</w:t>
            </w:r>
          </w:p>
        </w:tc>
        <w:tc>
          <w:tcPr>
            <w:tcW w:w="1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c>
          <w:tcPr>
            <w:tcW w:w="1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1220" w:type="dxa"/>
            <w:vAlign w:val="bottom"/>
            <w:tcBorders>
              <w:right w:val="single" w:sz="8" w:color="D9D9D9"/>
            </w:tcBorders>
            <w:shd w:val="clear" w:color="auto" w:fill="D9D9D9"/>
          </w:tcPr>
          <w:p>
            <w:pPr>
              <w:spacing w:after="0"/>
              <w:rPr>
                <w:sz w:val="15"/>
                <w:szCs w:val="15"/>
                <w:color w:val="auto"/>
              </w:rPr>
            </w:pPr>
          </w:p>
        </w:tc>
        <w:tc>
          <w:tcPr>
            <w:tcW w:w="140" w:type="dxa"/>
            <w:vAlign w:val="bottom"/>
            <w:shd w:val="clear" w:color="auto" w:fill="D9D9D9"/>
          </w:tcPr>
          <w:p>
            <w:pPr>
              <w:spacing w:after="0"/>
              <w:rPr>
                <w:sz w:val="15"/>
                <w:szCs w:val="15"/>
                <w:color w:val="auto"/>
              </w:rPr>
            </w:pPr>
          </w:p>
        </w:tc>
        <w:tc>
          <w:tcPr>
            <w:tcW w:w="300" w:type="dxa"/>
            <w:vAlign w:val="bottom"/>
            <w:tcBorders>
              <w:right w:val="single" w:sz="8" w:color="auto"/>
            </w:tcBorders>
            <w:shd w:val="clear" w:color="auto" w:fill="D9D9D9"/>
          </w:tcPr>
          <w:p>
            <w:pPr>
              <w:spacing w:after="0"/>
              <w:rPr>
                <w:sz w:val="15"/>
                <w:szCs w:val="15"/>
                <w:color w:val="auto"/>
              </w:rPr>
            </w:pPr>
          </w:p>
        </w:tc>
        <w:tc>
          <w:tcPr>
            <w:tcW w:w="1440" w:type="dxa"/>
            <w:vAlign w:val="bottom"/>
            <w:tcBorders>
              <w:right w:val="single" w:sz="8" w:color="auto"/>
            </w:tcBorders>
            <w:shd w:val="clear" w:color="auto" w:fill="D9D9D9"/>
          </w:tcPr>
          <w:p>
            <w:pPr>
              <w:spacing w:after="0"/>
              <w:rPr>
                <w:sz w:val="15"/>
                <w:szCs w:val="15"/>
                <w:color w:val="auto"/>
              </w:rPr>
            </w:pPr>
          </w:p>
        </w:tc>
        <w:tc>
          <w:tcPr>
            <w:tcW w:w="260" w:type="dxa"/>
            <w:vAlign w:val="bottom"/>
            <w:tcBorders>
              <w:right w:val="single" w:sz="8" w:color="D9D9D9"/>
            </w:tcBorders>
            <w:shd w:val="clear" w:color="auto" w:fill="D9D9D9"/>
          </w:tcPr>
          <w:p>
            <w:pPr>
              <w:spacing w:after="0"/>
              <w:rPr>
                <w:sz w:val="15"/>
                <w:szCs w:val="15"/>
                <w:color w:val="auto"/>
              </w:rPr>
            </w:pPr>
          </w:p>
        </w:tc>
        <w:tc>
          <w:tcPr>
            <w:tcW w:w="1240" w:type="dxa"/>
            <w:vAlign w:val="bottom"/>
            <w:shd w:val="clear" w:color="auto" w:fill="D9D9D9"/>
          </w:tcPr>
          <w:p>
            <w:pPr>
              <w:spacing w:after="0"/>
              <w:rPr>
                <w:sz w:val="15"/>
                <w:szCs w:val="15"/>
                <w:color w:val="auto"/>
              </w:rPr>
            </w:pPr>
          </w:p>
        </w:tc>
        <w:tc>
          <w:tcPr>
            <w:tcW w:w="20" w:type="dxa"/>
            <w:vAlign w:val="bottom"/>
          </w:tcPr>
          <w:p>
            <w:pPr>
              <w:spacing w:after="0"/>
              <w:rPr>
                <w:sz w:val="15"/>
                <w:szCs w:val="15"/>
                <w:color w:val="auto"/>
              </w:rPr>
            </w:pPr>
          </w:p>
        </w:tc>
      </w:tr>
      <w:tr>
        <w:trPr>
          <w:trHeight w:val="79"/>
        </w:trPr>
        <w:tc>
          <w:tcPr>
            <w:tcW w:w="920" w:type="dxa"/>
            <w:vAlign w:val="bottom"/>
            <w:tcBorders>
              <w:bottom w:val="single" w:sz="8" w:color="auto"/>
            </w:tcBorders>
          </w:tcPr>
          <w:p>
            <w:pPr>
              <w:spacing w:after="0"/>
              <w:rPr>
                <w:sz w:val="6"/>
                <w:szCs w:val="6"/>
                <w:color w:val="auto"/>
              </w:rPr>
            </w:pPr>
          </w:p>
        </w:tc>
        <w:tc>
          <w:tcPr>
            <w:tcW w:w="100" w:type="dxa"/>
            <w:vAlign w:val="bottom"/>
            <w:tcBorders>
              <w:bottom w:val="single" w:sz="8" w:color="auto"/>
              <w:right w:val="single" w:sz="8" w:color="auto"/>
            </w:tcBorders>
          </w:tcPr>
          <w:p>
            <w:pPr>
              <w:spacing w:after="0"/>
              <w:rPr>
                <w:sz w:val="6"/>
                <w:szCs w:val="6"/>
                <w:color w:val="auto"/>
              </w:rPr>
            </w:pPr>
          </w:p>
        </w:tc>
        <w:tc>
          <w:tcPr>
            <w:tcW w:w="134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80" w:type="dxa"/>
            <w:vAlign w:val="bottom"/>
            <w:tcBorders>
              <w:bottom w:val="single" w:sz="8" w:color="auto"/>
              <w:right w:val="single" w:sz="8" w:color="auto"/>
            </w:tcBorders>
          </w:tcPr>
          <w:p>
            <w:pPr>
              <w:spacing w:after="0"/>
              <w:rPr>
                <w:sz w:val="6"/>
                <w:szCs w:val="6"/>
                <w:color w:val="auto"/>
              </w:rPr>
            </w:pPr>
          </w:p>
        </w:tc>
        <w:tc>
          <w:tcPr>
            <w:tcW w:w="13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220" w:type="dxa"/>
            <w:vAlign w:val="bottom"/>
            <w:tcBorders>
              <w:bottom w:val="single" w:sz="8" w:color="auto"/>
              <w:right w:val="single" w:sz="8" w:color="auto"/>
            </w:tcBorders>
          </w:tcPr>
          <w:p>
            <w:pPr>
              <w:spacing w:after="0"/>
              <w:rPr>
                <w:sz w:val="6"/>
                <w:szCs w:val="6"/>
                <w:color w:val="auto"/>
              </w:rPr>
            </w:pPr>
          </w:p>
        </w:tc>
        <w:tc>
          <w:tcPr>
            <w:tcW w:w="1220" w:type="dxa"/>
            <w:vAlign w:val="bottom"/>
            <w:tcBorders>
              <w:bottom w:val="single" w:sz="8" w:color="auto"/>
              <w:right w:val="single" w:sz="8" w:color="D9D9D9"/>
            </w:tcBorders>
            <w:shd w:val="clear" w:color="auto" w:fill="D9D9D9"/>
          </w:tcPr>
          <w:p>
            <w:pPr>
              <w:spacing w:after="0"/>
              <w:rPr>
                <w:sz w:val="6"/>
                <w:szCs w:val="6"/>
                <w:color w:val="auto"/>
              </w:rPr>
            </w:pPr>
          </w:p>
        </w:tc>
        <w:tc>
          <w:tcPr>
            <w:tcW w:w="140" w:type="dxa"/>
            <w:vAlign w:val="bottom"/>
            <w:tcBorders>
              <w:bottom w:val="single" w:sz="8" w:color="auto"/>
            </w:tcBorders>
            <w:shd w:val="clear" w:color="auto" w:fill="D9D9D9"/>
          </w:tcPr>
          <w:p>
            <w:pPr>
              <w:spacing w:after="0"/>
              <w:rPr>
                <w:sz w:val="6"/>
                <w:szCs w:val="6"/>
                <w:color w:val="auto"/>
              </w:rPr>
            </w:pPr>
          </w:p>
        </w:tc>
        <w:tc>
          <w:tcPr>
            <w:tcW w:w="300" w:type="dxa"/>
            <w:vAlign w:val="bottom"/>
            <w:tcBorders>
              <w:bottom w:val="single" w:sz="8" w:color="auto"/>
              <w:right w:val="single" w:sz="8" w:color="auto"/>
            </w:tcBorders>
            <w:shd w:val="clear" w:color="auto" w:fill="D9D9D9"/>
          </w:tcPr>
          <w:p>
            <w:pPr>
              <w:spacing w:after="0"/>
              <w:rPr>
                <w:sz w:val="6"/>
                <w:szCs w:val="6"/>
                <w:color w:val="auto"/>
              </w:rPr>
            </w:pPr>
          </w:p>
        </w:tc>
        <w:tc>
          <w:tcPr>
            <w:tcW w:w="1440" w:type="dxa"/>
            <w:vAlign w:val="bottom"/>
            <w:tcBorders>
              <w:bottom w:val="single" w:sz="8" w:color="auto"/>
              <w:right w:val="single" w:sz="8" w:color="auto"/>
            </w:tcBorders>
            <w:shd w:val="clear" w:color="auto" w:fill="D9D9D9"/>
          </w:tcPr>
          <w:p>
            <w:pPr>
              <w:spacing w:after="0"/>
              <w:rPr>
                <w:sz w:val="6"/>
                <w:szCs w:val="6"/>
                <w:color w:val="auto"/>
              </w:rPr>
            </w:pPr>
          </w:p>
        </w:tc>
        <w:tc>
          <w:tcPr>
            <w:tcW w:w="260" w:type="dxa"/>
            <w:vAlign w:val="bottom"/>
            <w:tcBorders>
              <w:bottom w:val="single" w:sz="8" w:color="auto"/>
              <w:right w:val="single" w:sz="8" w:color="D9D9D9"/>
            </w:tcBorders>
            <w:shd w:val="clear" w:color="auto" w:fill="D9D9D9"/>
          </w:tcPr>
          <w:p>
            <w:pPr>
              <w:spacing w:after="0"/>
              <w:rPr>
                <w:sz w:val="6"/>
                <w:szCs w:val="6"/>
                <w:color w:val="auto"/>
              </w:rPr>
            </w:pPr>
          </w:p>
        </w:tc>
        <w:tc>
          <w:tcPr>
            <w:tcW w:w="1240" w:type="dxa"/>
            <w:vAlign w:val="bottom"/>
            <w:tcBorders>
              <w:bottom w:val="single" w:sz="8" w:color="auto"/>
            </w:tcBorders>
            <w:shd w:val="clear" w:color="auto" w:fill="D9D9D9"/>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r>
      <w:tr>
        <w:trPr>
          <w:trHeight w:val="188"/>
        </w:trPr>
        <w:tc>
          <w:tcPr>
            <w:tcW w:w="920" w:type="dxa"/>
            <w:vAlign w:val="bottom"/>
          </w:tcPr>
          <w:p>
            <w:pPr>
              <w:jc w:val="center"/>
              <w:ind w:left="34"/>
              <w:spacing w:after="0"/>
              <w:rPr>
                <w:sz w:val="20"/>
                <w:szCs w:val="20"/>
                <w:color w:val="auto"/>
              </w:rPr>
            </w:pPr>
            <w:r>
              <w:rPr>
                <w:rFonts w:ascii="Times New Roman" w:cs="Times New Roman" w:eastAsia="Times New Roman" w:hAnsi="Times New Roman"/>
                <w:sz w:val="13"/>
                <w:szCs w:val="13"/>
                <w:color w:val="auto"/>
                <w:w w:val="99"/>
              </w:rPr>
              <w:t>2025</w:t>
            </w:r>
          </w:p>
        </w:tc>
        <w:tc>
          <w:tcPr>
            <w:tcW w:w="100" w:type="dxa"/>
            <w:vAlign w:val="bottom"/>
            <w:tcBorders>
              <w:right w:val="single" w:sz="8" w:color="auto"/>
            </w:tcBorders>
          </w:tcPr>
          <w:p>
            <w:pPr>
              <w:spacing w:after="0"/>
              <w:rPr>
                <w:sz w:val="16"/>
                <w:szCs w:val="16"/>
                <w:color w:val="auto"/>
              </w:rPr>
            </w:pPr>
          </w:p>
        </w:tc>
        <w:tc>
          <w:tcPr>
            <w:tcW w:w="1340" w:type="dxa"/>
            <w:vAlign w:val="bottom"/>
          </w:tcPr>
          <w:p>
            <w:pPr>
              <w:jc w:val="center"/>
              <w:ind w:left="234"/>
              <w:spacing w:after="0"/>
              <w:rPr>
                <w:sz w:val="20"/>
                <w:szCs w:val="20"/>
                <w:color w:val="auto"/>
              </w:rPr>
            </w:pPr>
            <w:r>
              <w:rPr>
                <w:rFonts w:ascii="Times New Roman" w:cs="Times New Roman" w:eastAsia="Times New Roman" w:hAnsi="Times New Roman"/>
                <w:sz w:val="13"/>
                <w:szCs w:val="13"/>
                <w:color w:val="auto"/>
              </w:rPr>
              <w:t>505</w:t>
            </w:r>
          </w:p>
        </w:tc>
        <w:tc>
          <w:tcPr>
            <w:tcW w:w="140" w:type="dxa"/>
            <w:vAlign w:val="bottom"/>
          </w:tcPr>
          <w:p>
            <w:pPr>
              <w:spacing w:after="0"/>
              <w:rPr>
                <w:sz w:val="16"/>
                <w:szCs w:val="16"/>
                <w:color w:val="auto"/>
              </w:rPr>
            </w:pPr>
          </w:p>
        </w:tc>
        <w:tc>
          <w:tcPr>
            <w:tcW w:w="180" w:type="dxa"/>
            <w:vAlign w:val="bottom"/>
            <w:tcBorders>
              <w:right w:val="single" w:sz="8" w:color="auto"/>
            </w:tcBorders>
          </w:tcPr>
          <w:p>
            <w:pPr>
              <w:spacing w:after="0"/>
              <w:rPr>
                <w:sz w:val="16"/>
                <w:szCs w:val="16"/>
                <w:color w:val="auto"/>
              </w:rPr>
            </w:pPr>
          </w:p>
        </w:tc>
        <w:tc>
          <w:tcPr>
            <w:tcW w:w="1380" w:type="dxa"/>
            <w:vAlign w:val="bottom"/>
          </w:tcPr>
          <w:p>
            <w:pPr>
              <w:jc w:val="center"/>
              <w:ind w:left="174"/>
              <w:spacing w:after="0"/>
              <w:rPr>
                <w:sz w:val="20"/>
                <w:szCs w:val="20"/>
                <w:color w:val="auto"/>
              </w:rPr>
            </w:pPr>
            <w:r>
              <w:rPr>
                <w:rFonts w:ascii="Times New Roman" w:cs="Times New Roman" w:eastAsia="Times New Roman" w:hAnsi="Times New Roman"/>
                <w:sz w:val="13"/>
                <w:szCs w:val="13"/>
                <w:color w:val="auto"/>
                <w:w w:val="92"/>
              </w:rPr>
              <w:t>356</w:t>
            </w:r>
          </w:p>
        </w:tc>
        <w:tc>
          <w:tcPr>
            <w:tcW w:w="60" w:type="dxa"/>
            <w:vAlign w:val="bottom"/>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1220" w:type="dxa"/>
            <w:vAlign w:val="bottom"/>
          </w:tcPr>
          <w:p>
            <w:pPr>
              <w:jc w:val="center"/>
              <w:ind w:left="334"/>
              <w:spacing w:after="0"/>
              <w:rPr>
                <w:sz w:val="20"/>
                <w:szCs w:val="20"/>
                <w:color w:val="auto"/>
              </w:rPr>
            </w:pPr>
            <w:r>
              <w:rPr>
                <w:rFonts w:ascii="Times New Roman" w:cs="Times New Roman" w:eastAsia="Times New Roman" w:hAnsi="Times New Roman"/>
                <w:sz w:val="13"/>
                <w:szCs w:val="13"/>
                <w:color w:val="auto"/>
              </w:rPr>
              <w:t>70.5%</w:t>
            </w:r>
          </w:p>
        </w:tc>
        <w:tc>
          <w:tcPr>
            <w:tcW w:w="140" w:type="dxa"/>
            <w:vAlign w:val="bottom"/>
          </w:tcPr>
          <w:p>
            <w:pPr>
              <w:spacing w:after="0"/>
              <w:rPr>
                <w:sz w:val="16"/>
                <w:szCs w:val="16"/>
                <w:color w:val="auto"/>
              </w:rPr>
            </w:pPr>
          </w:p>
        </w:tc>
        <w:tc>
          <w:tcPr>
            <w:tcW w:w="300" w:type="dxa"/>
            <w:vAlign w:val="bottom"/>
            <w:tcBorders>
              <w:right w:val="single" w:sz="8" w:color="auto"/>
            </w:tcBorders>
          </w:tcPr>
          <w:p>
            <w:pPr>
              <w:spacing w:after="0"/>
              <w:rPr>
                <w:sz w:val="16"/>
                <w:szCs w:val="16"/>
                <w:color w:val="auto"/>
              </w:rPr>
            </w:pP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346</w:t>
            </w:r>
          </w:p>
        </w:tc>
        <w:tc>
          <w:tcPr>
            <w:tcW w:w="260" w:type="dxa"/>
            <w:vAlign w:val="bottom"/>
          </w:tcPr>
          <w:p>
            <w:pPr>
              <w:spacing w:after="0"/>
              <w:rPr>
                <w:sz w:val="16"/>
                <w:szCs w:val="16"/>
                <w:color w:val="auto"/>
              </w:rPr>
            </w:pPr>
          </w:p>
        </w:tc>
        <w:tc>
          <w:tcPr>
            <w:tcW w:w="124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68.5%</w:t>
            </w:r>
          </w:p>
        </w:tc>
        <w:tc>
          <w:tcPr>
            <w:tcW w:w="20" w:type="dxa"/>
            <w:vAlign w:val="bottom"/>
          </w:tcPr>
          <w:p>
            <w:pPr>
              <w:spacing w:after="0"/>
              <w:rPr>
                <w:sz w:val="16"/>
                <w:szCs w:val="16"/>
                <w:color w:val="auto"/>
              </w:rPr>
            </w:pPr>
          </w:p>
        </w:tc>
      </w:tr>
      <w:tr>
        <w:trPr>
          <w:trHeight w:val="39"/>
        </w:trPr>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auto"/>
              <w:right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80" w:type="dxa"/>
            <w:vAlign w:val="bottom"/>
            <w:tcBorders>
              <w:bottom w:val="single" w:sz="8" w:color="auto"/>
              <w:right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20" w:type="dxa"/>
            <w:vAlign w:val="bottom"/>
            <w:tcBorders>
              <w:bottom w:val="single" w:sz="8" w:color="auto"/>
              <w:right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00" w:type="dxa"/>
            <w:vAlign w:val="bottom"/>
            <w:tcBorders>
              <w:bottom w:val="single" w:sz="8" w:color="auto"/>
              <w:right w:val="single" w:sz="8" w:color="auto"/>
            </w:tcBorders>
          </w:tcPr>
          <w:p>
            <w:pPr>
              <w:spacing w:after="0"/>
              <w:rPr>
                <w:sz w:val="3"/>
                <w:szCs w:val="3"/>
                <w:color w:val="auto"/>
              </w:rPr>
            </w:pPr>
          </w:p>
        </w:tc>
        <w:tc>
          <w:tcPr>
            <w:tcW w:w="1440" w:type="dxa"/>
            <w:vAlign w:val="bottom"/>
            <w:tcBorders>
              <w:bottom w:val="single" w:sz="8" w:color="auto"/>
              <w:right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188"/>
        </w:trPr>
        <w:tc>
          <w:tcPr>
            <w:tcW w:w="920" w:type="dxa"/>
            <w:vAlign w:val="bottom"/>
          </w:tcPr>
          <w:p>
            <w:pPr>
              <w:jc w:val="center"/>
              <w:ind w:left="34"/>
              <w:spacing w:after="0"/>
              <w:rPr>
                <w:sz w:val="20"/>
                <w:szCs w:val="20"/>
                <w:color w:val="auto"/>
              </w:rPr>
            </w:pPr>
            <w:r>
              <w:rPr>
                <w:rFonts w:ascii="Times New Roman" w:cs="Times New Roman" w:eastAsia="Times New Roman" w:hAnsi="Times New Roman"/>
                <w:sz w:val="13"/>
                <w:szCs w:val="13"/>
                <w:color w:val="auto"/>
                <w:w w:val="99"/>
              </w:rPr>
              <w:t>2024</w:t>
            </w:r>
          </w:p>
        </w:tc>
        <w:tc>
          <w:tcPr>
            <w:tcW w:w="100" w:type="dxa"/>
            <w:vAlign w:val="bottom"/>
            <w:tcBorders>
              <w:right w:val="single" w:sz="8" w:color="auto"/>
            </w:tcBorders>
          </w:tcPr>
          <w:p>
            <w:pPr>
              <w:spacing w:after="0"/>
              <w:rPr>
                <w:sz w:val="16"/>
                <w:szCs w:val="16"/>
                <w:color w:val="auto"/>
              </w:rPr>
            </w:pPr>
          </w:p>
        </w:tc>
        <w:tc>
          <w:tcPr>
            <w:tcW w:w="1340" w:type="dxa"/>
            <w:vAlign w:val="bottom"/>
          </w:tcPr>
          <w:p>
            <w:pPr>
              <w:jc w:val="center"/>
              <w:ind w:left="234"/>
              <w:spacing w:after="0"/>
              <w:rPr>
                <w:sz w:val="20"/>
                <w:szCs w:val="20"/>
                <w:color w:val="auto"/>
              </w:rPr>
            </w:pPr>
            <w:r>
              <w:rPr>
                <w:rFonts w:ascii="Times New Roman" w:cs="Times New Roman" w:eastAsia="Times New Roman" w:hAnsi="Times New Roman"/>
                <w:sz w:val="13"/>
                <w:szCs w:val="13"/>
                <w:color w:val="auto"/>
              </w:rPr>
              <w:t>447</w:t>
            </w:r>
          </w:p>
        </w:tc>
        <w:tc>
          <w:tcPr>
            <w:tcW w:w="140" w:type="dxa"/>
            <w:vAlign w:val="bottom"/>
          </w:tcPr>
          <w:p>
            <w:pPr>
              <w:spacing w:after="0"/>
              <w:rPr>
                <w:sz w:val="16"/>
                <w:szCs w:val="16"/>
                <w:color w:val="auto"/>
              </w:rPr>
            </w:pPr>
          </w:p>
        </w:tc>
        <w:tc>
          <w:tcPr>
            <w:tcW w:w="180" w:type="dxa"/>
            <w:vAlign w:val="bottom"/>
            <w:tcBorders>
              <w:right w:val="single" w:sz="8" w:color="auto"/>
            </w:tcBorders>
          </w:tcPr>
          <w:p>
            <w:pPr>
              <w:spacing w:after="0"/>
              <w:rPr>
                <w:sz w:val="16"/>
                <w:szCs w:val="16"/>
                <w:color w:val="auto"/>
              </w:rPr>
            </w:pPr>
          </w:p>
        </w:tc>
        <w:tc>
          <w:tcPr>
            <w:tcW w:w="1380" w:type="dxa"/>
            <w:vAlign w:val="bottom"/>
          </w:tcPr>
          <w:p>
            <w:pPr>
              <w:jc w:val="center"/>
              <w:ind w:left="174"/>
              <w:spacing w:after="0"/>
              <w:rPr>
                <w:sz w:val="20"/>
                <w:szCs w:val="20"/>
                <w:color w:val="auto"/>
              </w:rPr>
            </w:pPr>
            <w:r>
              <w:rPr>
                <w:rFonts w:ascii="Times New Roman" w:cs="Times New Roman" w:eastAsia="Times New Roman" w:hAnsi="Times New Roman"/>
                <w:sz w:val="13"/>
                <w:szCs w:val="13"/>
                <w:color w:val="auto"/>
                <w:w w:val="92"/>
              </w:rPr>
              <w:t>346</w:t>
            </w:r>
          </w:p>
        </w:tc>
        <w:tc>
          <w:tcPr>
            <w:tcW w:w="60" w:type="dxa"/>
            <w:vAlign w:val="bottom"/>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1220" w:type="dxa"/>
            <w:vAlign w:val="bottom"/>
          </w:tcPr>
          <w:p>
            <w:pPr>
              <w:jc w:val="center"/>
              <w:ind w:left="334"/>
              <w:spacing w:after="0"/>
              <w:rPr>
                <w:sz w:val="20"/>
                <w:szCs w:val="20"/>
                <w:color w:val="auto"/>
              </w:rPr>
            </w:pPr>
            <w:r>
              <w:rPr>
                <w:rFonts w:ascii="Times New Roman" w:cs="Times New Roman" w:eastAsia="Times New Roman" w:hAnsi="Times New Roman"/>
                <w:sz w:val="13"/>
                <w:szCs w:val="13"/>
                <w:color w:val="auto"/>
              </w:rPr>
              <w:t>77.4%</w:t>
            </w:r>
          </w:p>
        </w:tc>
        <w:tc>
          <w:tcPr>
            <w:tcW w:w="140" w:type="dxa"/>
            <w:vAlign w:val="bottom"/>
          </w:tcPr>
          <w:p>
            <w:pPr>
              <w:spacing w:after="0"/>
              <w:rPr>
                <w:sz w:val="16"/>
                <w:szCs w:val="16"/>
                <w:color w:val="auto"/>
              </w:rPr>
            </w:pPr>
          </w:p>
        </w:tc>
        <w:tc>
          <w:tcPr>
            <w:tcW w:w="300" w:type="dxa"/>
            <w:vAlign w:val="bottom"/>
            <w:tcBorders>
              <w:right w:val="single" w:sz="8" w:color="auto"/>
            </w:tcBorders>
          </w:tcPr>
          <w:p>
            <w:pPr>
              <w:spacing w:after="0"/>
              <w:rPr>
                <w:sz w:val="16"/>
                <w:szCs w:val="16"/>
                <w:color w:val="auto"/>
              </w:rPr>
            </w:pP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340</w:t>
            </w:r>
          </w:p>
        </w:tc>
        <w:tc>
          <w:tcPr>
            <w:tcW w:w="260" w:type="dxa"/>
            <w:vAlign w:val="bottom"/>
          </w:tcPr>
          <w:p>
            <w:pPr>
              <w:spacing w:after="0"/>
              <w:rPr>
                <w:sz w:val="16"/>
                <w:szCs w:val="16"/>
                <w:color w:val="auto"/>
              </w:rPr>
            </w:pPr>
          </w:p>
        </w:tc>
        <w:tc>
          <w:tcPr>
            <w:tcW w:w="124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76.1%</w:t>
            </w:r>
          </w:p>
        </w:tc>
        <w:tc>
          <w:tcPr>
            <w:tcW w:w="20" w:type="dxa"/>
            <w:vAlign w:val="bottom"/>
          </w:tcPr>
          <w:p>
            <w:pPr>
              <w:spacing w:after="0"/>
              <w:rPr>
                <w:sz w:val="16"/>
                <w:szCs w:val="16"/>
                <w:color w:val="auto"/>
              </w:rPr>
            </w:pPr>
          </w:p>
        </w:tc>
      </w:tr>
      <w:tr>
        <w:trPr>
          <w:trHeight w:val="39"/>
        </w:trPr>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auto"/>
              <w:right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80" w:type="dxa"/>
            <w:vAlign w:val="bottom"/>
            <w:tcBorders>
              <w:bottom w:val="single" w:sz="8" w:color="auto"/>
              <w:right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20" w:type="dxa"/>
            <w:vAlign w:val="bottom"/>
            <w:tcBorders>
              <w:bottom w:val="single" w:sz="8" w:color="auto"/>
              <w:right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00" w:type="dxa"/>
            <w:vAlign w:val="bottom"/>
            <w:tcBorders>
              <w:bottom w:val="single" w:sz="8" w:color="auto"/>
              <w:right w:val="single" w:sz="8" w:color="auto"/>
            </w:tcBorders>
          </w:tcPr>
          <w:p>
            <w:pPr>
              <w:spacing w:after="0"/>
              <w:rPr>
                <w:sz w:val="3"/>
                <w:szCs w:val="3"/>
                <w:color w:val="auto"/>
              </w:rPr>
            </w:pPr>
          </w:p>
        </w:tc>
        <w:tc>
          <w:tcPr>
            <w:tcW w:w="1440" w:type="dxa"/>
            <w:vAlign w:val="bottom"/>
            <w:tcBorders>
              <w:bottom w:val="single" w:sz="8" w:color="auto"/>
              <w:right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188"/>
        </w:trPr>
        <w:tc>
          <w:tcPr>
            <w:tcW w:w="920" w:type="dxa"/>
            <w:vAlign w:val="bottom"/>
          </w:tcPr>
          <w:p>
            <w:pPr>
              <w:jc w:val="center"/>
              <w:ind w:left="34"/>
              <w:spacing w:after="0"/>
              <w:rPr>
                <w:sz w:val="20"/>
                <w:szCs w:val="20"/>
                <w:color w:val="auto"/>
              </w:rPr>
            </w:pPr>
            <w:r>
              <w:rPr>
                <w:rFonts w:ascii="Times New Roman" w:cs="Times New Roman" w:eastAsia="Times New Roman" w:hAnsi="Times New Roman"/>
                <w:sz w:val="13"/>
                <w:szCs w:val="13"/>
                <w:color w:val="auto"/>
                <w:w w:val="99"/>
              </w:rPr>
              <w:t>2023</w:t>
            </w:r>
          </w:p>
        </w:tc>
        <w:tc>
          <w:tcPr>
            <w:tcW w:w="100" w:type="dxa"/>
            <w:vAlign w:val="bottom"/>
            <w:tcBorders>
              <w:right w:val="single" w:sz="8" w:color="auto"/>
            </w:tcBorders>
          </w:tcPr>
          <w:p>
            <w:pPr>
              <w:spacing w:after="0"/>
              <w:rPr>
                <w:sz w:val="16"/>
                <w:szCs w:val="16"/>
                <w:color w:val="auto"/>
              </w:rPr>
            </w:pPr>
          </w:p>
        </w:tc>
        <w:tc>
          <w:tcPr>
            <w:tcW w:w="1340" w:type="dxa"/>
            <w:vAlign w:val="bottom"/>
          </w:tcPr>
          <w:p>
            <w:pPr>
              <w:jc w:val="center"/>
              <w:ind w:left="234"/>
              <w:spacing w:after="0"/>
              <w:rPr>
                <w:sz w:val="20"/>
                <w:szCs w:val="20"/>
                <w:color w:val="auto"/>
              </w:rPr>
            </w:pPr>
            <w:r>
              <w:rPr>
                <w:rFonts w:ascii="Times New Roman" w:cs="Times New Roman" w:eastAsia="Times New Roman" w:hAnsi="Times New Roman"/>
                <w:sz w:val="13"/>
                <w:szCs w:val="13"/>
                <w:color w:val="auto"/>
              </w:rPr>
              <w:t>484</w:t>
            </w:r>
          </w:p>
        </w:tc>
        <w:tc>
          <w:tcPr>
            <w:tcW w:w="140" w:type="dxa"/>
            <w:vAlign w:val="bottom"/>
          </w:tcPr>
          <w:p>
            <w:pPr>
              <w:spacing w:after="0"/>
              <w:rPr>
                <w:sz w:val="16"/>
                <w:szCs w:val="16"/>
                <w:color w:val="auto"/>
              </w:rPr>
            </w:pPr>
          </w:p>
        </w:tc>
        <w:tc>
          <w:tcPr>
            <w:tcW w:w="180" w:type="dxa"/>
            <w:vAlign w:val="bottom"/>
            <w:tcBorders>
              <w:right w:val="single" w:sz="8" w:color="auto"/>
            </w:tcBorders>
          </w:tcPr>
          <w:p>
            <w:pPr>
              <w:spacing w:after="0"/>
              <w:rPr>
                <w:sz w:val="16"/>
                <w:szCs w:val="16"/>
                <w:color w:val="auto"/>
              </w:rPr>
            </w:pPr>
          </w:p>
        </w:tc>
        <w:tc>
          <w:tcPr>
            <w:tcW w:w="1380" w:type="dxa"/>
            <w:vAlign w:val="bottom"/>
          </w:tcPr>
          <w:p>
            <w:pPr>
              <w:jc w:val="center"/>
              <w:ind w:left="174"/>
              <w:spacing w:after="0"/>
              <w:rPr>
                <w:sz w:val="20"/>
                <w:szCs w:val="20"/>
                <w:color w:val="auto"/>
              </w:rPr>
            </w:pPr>
            <w:r>
              <w:rPr>
                <w:rFonts w:ascii="Times New Roman" w:cs="Times New Roman" w:eastAsia="Times New Roman" w:hAnsi="Times New Roman"/>
                <w:sz w:val="13"/>
                <w:szCs w:val="13"/>
                <w:color w:val="auto"/>
                <w:w w:val="92"/>
              </w:rPr>
              <w:t>333</w:t>
            </w:r>
          </w:p>
        </w:tc>
        <w:tc>
          <w:tcPr>
            <w:tcW w:w="60" w:type="dxa"/>
            <w:vAlign w:val="bottom"/>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1220" w:type="dxa"/>
            <w:vAlign w:val="bottom"/>
          </w:tcPr>
          <w:p>
            <w:pPr>
              <w:jc w:val="center"/>
              <w:ind w:left="334"/>
              <w:spacing w:after="0"/>
              <w:rPr>
                <w:sz w:val="20"/>
                <w:szCs w:val="20"/>
                <w:color w:val="auto"/>
              </w:rPr>
            </w:pPr>
            <w:r>
              <w:rPr>
                <w:rFonts w:ascii="Times New Roman" w:cs="Times New Roman" w:eastAsia="Times New Roman" w:hAnsi="Times New Roman"/>
                <w:sz w:val="13"/>
                <w:szCs w:val="13"/>
                <w:color w:val="auto"/>
              </w:rPr>
              <w:t>68.8%</w:t>
            </w:r>
          </w:p>
        </w:tc>
        <w:tc>
          <w:tcPr>
            <w:tcW w:w="140" w:type="dxa"/>
            <w:vAlign w:val="bottom"/>
          </w:tcPr>
          <w:p>
            <w:pPr>
              <w:spacing w:after="0"/>
              <w:rPr>
                <w:sz w:val="16"/>
                <w:szCs w:val="16"/>
                <w:color w:val="auto"/>
              </w:rPr>
            </w:pPr>
          </w:p>
        </w:tc>
        <w:tc>
          <w:tcPr>
            <w:tcW w:w="300" w:type="dxa"/>
            <w:vAlign w:val="bottom"/>
            <w:tcBorders>
              <w:right w:val="single" w:sz="8" w:color="auto"/>
            </w:tcBorders>
          </w:tcPr>
          <w:p>
            <w:pPr>
              <w:spacing w:after="0"/>
              <w:rPr>
                <w:sz w:val="16"/>
                <w:szCs w:val="16"/>
                <w:color w:val="auto"/>
              </w:rPr>
            </w:pP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329</w:t>
            </w:r>
          </w:p>
        </w:tc>
        <w:tc>
          <w:tcPr>
            <w:tcW w:w="260" w:type="dxa"/>
            <w:vAlign w:val="bottom"/>
          </w:tcPr>
          <w:p>
            <w:pPr>
              <w:spacing w:after="0"/>
              <w:rPr>
                <w:sz w:val="16"/>
                <w:szCs w:val="16"/>
                <w:color w:val="auto"/>
              </w:rPr>
            </w:pPr>
          </w:p>
        </w:tc>
        <w:tc>
          <w:tcPr>
            <w:tcW w:w="124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68.0%</w:t>
            </w:r>
          </w:p>
        </w:tc>
        <w:tc>
          <w:tcPr>
            <w:tcW w:w="20" w:type="dxa"/>
            <w:vAlign w:val="bottom"/>
          </w:tcPr>
          <w:p>
            <w:pPr>
              <w:spacing w:after="0"/>
              <w:rPr>
                <w:sz w:val="16"/>
                <w:szCs w:val="16"/>
                <w:color w:val="auto"/>
              </w:rPr>
            </w:pPr>
          </w:p>
        </w:tc>
      </w:tr>
      <w:tr>
        <w:trPr>
          <w:trHeight w:val="39"/>
        </w:trPr>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auto"/>
              <w:right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80" w:type="dxa"/>
            <w:vAlign w:val="bottom"/>
            <w:tcBorders>
              <w:bottom w:val="single" w:sz="8" w:color="auto"/>
              <w:right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280" w:type="dxa"/>
            <w:vAlign w:val="bottom"/>
            <w:tcBorders>
              <w:bottom w:val="single" w:sz="8" w:color="auto"/>
              <w:right w:val="single" w:sz="8" w:color="auto"/>
            </w:tcBorders>
            <w:gridSpan w:val="2"/>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00" w:type="dxa"/>
            <w:vAlign w:val="bottom"/>
            <w:tcBorders>
              <w:bottom w:val="single" w:sz="8" w:color="auto"/>
              <w:right w:val="single" w:sz="8" w:color="auto"/>
            </w:tcBorders>
          </w:tcPr>
          <w:p>
            <w:pPr>
              <w:spacing w:after="0"/>
              <w:rPr>
                <w:sz w:val="3"/>
                <w:szCs w:val="3"/>
                <w:color w:val="auto"/>
              </w:rPr>
            </w:pPr>
          </w:p>
        </w:tc>
        <w:tc>
          <w:tcPr>
            <w:tcW w:w="1440" w:type="dxa"/>
            <w:vAlign w:val="bottom"/>
            <w:tcBorders>
              <w:bottom w:val="single" w:sz="8" w:color="auto"/>
              <w:right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148"/>
        </w:trPr>
        <w:tc>
          <w:tcPr>
            <w:tcW w:w="9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gridSpan w:val="3"/>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r>
      <w:tr>
        <w:trPr>
          <w:trHeight w:val="228"/>
        </w:trPr>
        <w:tc>
          <w:tcPr>
            <w:tcW w:w="920" w:type="dxa"/>
            <w:vAlign w:val="bottom"/>
            <w:tcBorders>
              <w:left w:val="single" w:sz="8" w:color="auto"/>
              <w:right w:val="single" w:sz="8" w:color="A6A6A6"/>
            </w:tcBorders>
            <w:shd w:val="clear" w:color="auto" w:fill="A6A6A6"/>
          </w:tcPr>
          <w:p>
            <w:pPr>
              <w:spacing w:after="0"/>
              <w:rPr>
                <w:sz w:val="19"/>
                <w:szCs w:val="19"/>
                <w:color w:val="auto"/>
              </w:rPr>
            </w:pPr>
          </w:p>
        </w:tc>
        <w:tc>
          <w:tcPr>
            <w:tcW w:w="100" w:type="dxa"/>
            <w:vAlign w:val="bottom"/>
            <w:tcBorders>
              <w:right w:val="single" w:sz="8" w:color="A6A6A6"/>
            </w:tcBorders>
            <w:shd w:val="clear" w:color="auto" w:fill="A6A6A6"/>
          </w:tcPr>
          <w:p>
            <w:pPr>
              <w:spacing w:after="0"/>
              <w:rPr>
                <w:sz w:val="19"/>
                <w:szCs w:val="19"/>
                <w:color w:val="auto"/>
              </w:rPr>
            </w:pPr>
          </w:p>
        </w:tc>
        <w:tc>
          <w:tcPr>
            <w:tcW w:w="1340" w:type="dxa"/>
            <w:vAlign w:val="bottom"/>
            <w:tcBorders>
              <w:right w:val="single" w:sz="8" w:color="A6A6A6"/>
            </w:tcBorders>
            <w:shd w:val="clear" w:color="auto" w:fill="A6A6A6"/>
          </w:tcPr>
          <w:p>
            <w:pPr>
              <w:spacing w:after="0"/>
              <w:rPr>
                <w:sz w:val="19"/>
                <w:szCs w:val="19"/>
                <w:color w:val="auto"/>
              </w:rPr>
            </w:pPr>
          </w:p>
        </w:tc>
        <w:tc>
          <w:tcPr>
            <w:tcW w:w="140" w:type="dxa"/>
            <w:vAlign w:val="bottom"/>
            <w:shd w:val="clear" w:color="auto" w:fill="A6A6A6"/>
          </w:tcPr>
          <w:p>
            <w:pPr>
              <w:spacing w:after="0"/>
              <w:rPr>
                <w:sz w:val="19"/>
                <w:szCs w:val="19"/>
                <w:color w:val="auto"/>
              </w:rPr>
            </w:pPr>
          </w:p>
        </w:tc>
        <w:tc>
          <w:tcPr>
            <w:tcW w:w="180" w:type="dxa"/>
            <w:vAlign w:val="bottom"/>
            <w:tcBorders>
              <w:right w:val="single" w:sz="8" w:color="A6A6A6"/>
            </w:tcBorders>
            <w:shd w:val="clear" w:color="auto" w:fill="A6A6A6"/>
          </w:tcPr>
          <w:p>
            <w:pPr>
              <w:spacing w:after="0"/>
              <w:rPr>
                <w:sz w:val="19"/>
                <w:szCs w:val="19"/>
                <w:color w:val="auto"/>
              </w:rPr>
            </w:pPr>
          </w:p>
        </w:tc>
        <w:tc>
          <w:tcPr>
            <w:tcW w:w="3020" w:type="dxa"/>
            <w:vAlign w:val="bottom"/>
            <w:gridSpan w:val="5"/>
            <w:shd w:val="clear" w:color="auto" w:fill="A6A6A6"/>
          </w:tcPr>
          <w:p>
            <w:pPr>
              <w:ind w:left="600"/>
              <w:spacing w:after="0"/>
              <w:rPr>
                <w:sz w:val="20"/>
                <w:szCs w:val="20"/>
                <w:color w:val="auto"/>
              </w:rPr>
            </w:pPr>
            <w:r>
              <w:rPr>
                <w:rFonts w:ascii="Times New Roman" w:cs="Times New Roman" w:eastAsia="Times New Roman" w:hAnsi="Times New Roman"/>
                <w:sz w:val="13"/>
                <w:szCs w:val="13"/>
                <w:b w:val="1"/>
                <w:bCs w:val="1"/>
                <w:color w:val="auto"/>
              </w:rPr>
              <w:t>Strength of Supplier CM Program Results</w:t>
            </w:r>
          </w:p>
        </w:tc>
        <w:tc>
          <w:tcPr>
            <w:tcW w:w="300" w:type="dxa"/>
            <w:vAlign w:val="bottom"/>
            <w:tcBorders>
              <w:right w:val="single" w:sz="8" w:color="A6A6A6"/>
            </w:tcBorders>
            <w:shd w:val="clear" w:color="auto" w:fill="A6A6A6"/>
          </w:tcPr>
          <w:p>
            <w:pPr>
              <w:spacing w:after="0"/>
              <w:rPr>
                <w:sz w:val="19"/>
                <w:szCs w:val="19"/>
                <w:color w:val="auto"/>
              </w:rPr>
            </w:pPr>
          </w:p>
        </w:tc>
        <w:tc>
          <w:tcPr>
            <w:tcW w:w="1440" w:type="dxa"/>
            <w:vAlign w:val="bottom"/>
            <w:tcBorders>
              <w:right w:val="single" w:sz="8" w:color="A6A6A6"/>
            </w:tcBorders>
            <w:shd w:val="clear" w:color="auto" w:fill="A6A6A6"/>
          </w:tcPr>
          <w:p>
            <w:pPr>
              <w:spacing w:after="0"/>
              <w:rPr>
                <w:sz w:val="19"/>
                <w:szCs w:val="19"/>
                <w:color w:val="auto"/>
              </w:rPr>
            </w:pPr>
          </w:p>
        </w:tc>
        <w:tc>
          <w:tcPr>
            <w:tcW w:w="260" w:type="dxa"/>
            <w:vAlign w:val="bottom"/>
            <w:tcBorders>
              <w:right w:val="single" w:sz="8" w:color="A6A6A6"/>
            </w:tcBorders>
            <w:shd w:val="clear" w:color="auto" w:fill="A6A6A6"/>
          </w:tcPr>
          <w:p>
            <w:pPr>
              <w:spacing w:after="0"/>
              <w:rPr>
                <w:sz w:val="19"/>
                <w:szCs w:val="19"/>
                <w:color w:val="auto"/>
              </w:rPr>
            </w:pPr>
          </w:p>
        </w:tc>
        <w:tc>
          <w:tcPr>
            <w:tcW w:w="1240" w:type="dxa"/>
            <w:vAlign w:val="bottom"/>
            <w:shd w:val="clear" w:color="auto" w:fill="A6A6A6"/>
          </w:tcPr>
          <w:p>
            <w:pPr>
              <w:spacing w:after="0"/>
              <w:rPr>
                <w:sz w:val="19"/>
                <w:szCs w:val="19"/>
                <w:color w:val="auto"/>
              </w:rPr>
            </w:pPr>
          </w:p>
        </w:tc>
        <w:tc>
          <w:tcPr>
            <w:tcW w:w="20" w:type="dxa"/>
            <w:vAlign w:val="bottom"/>
            <w:shd w:val="clear" w:color="auto" w:fill="000000"/>
          </w:tcPr>
          <w:p>
            <w:pPr>
              <w:spacing w:after="0"/>
              <w:rPr>
                <w:sz w:val="19"/>
                <w:szCs w:val="19"/>
                <w:color w:val="auto"/>
              </w:rPr>
            </w:pPr>
          </w:p>
        </w:tc>
      </w:tr>
      <w:tr>
        <w:trPr>
          <w:trHeight w:val="99"/>
        </w:trPr>
        <w:tc>
          <w:tcPr>
            <w:tcW w:w="920" w:type="dxa"/>
            <w:vAlign w:val="bottom"/>
            <w:tcBorders>
              <w:left w:val="single" w:sz="8" w:color="auto"/>
              <w:bottom w:val="single" w:sz="8" w:color="auto"/>
              <w:right w:val="single" w:sz="8" w:color="A6A6A6"/>
            </w:tcBorders>
            <w:shd w:val="clear" w:color="auto" w:fill="A6A6A6"/>
          </w:tcPr>
          <w:p>
            <w:pPr>
              <w:spacing w:after="0"/>
              <w:rPr>
                <w:sz w:val="8"/>
                <w:szCs w:val="8"/>
                <w:color w:val="auto"/>
              </w:rPr>
            </w:pPr>
          </w:p>
        </w:tc>
        <w:tc>
          <w:tcPr>
            <w:tcW w:w="100" w:type="dxa"/>
            <w:vAlign w:val="bottom"/>
            <w:tcBorders>
              <w:bottom w:val="single" w:sz="8" w:color="auto"/>
              <w:right w:val="single" w:sz="8" w:color="A6A6A6"/>
            </w:tcBorders>
            <w:shd w:val="clear" w:color="auto" w:fill="A6A6A6"/>
          </w:tcPr>
          <w:p>
            <w:pPr>
              <w:spacing w:after="0"/>
              <w:rPr>
                <w:sz w:val="8"/>
                <w:szCs w:val="8"/>
                <w:color w:val="auto"/>
              </w:rPr>
            </w:pPr>
          </w:p>
        </w:tc>
        <w:tc>
          <w:tcPr>
            <w:tcW w:w="1340" w:type="dxa"/>
            <w:vAlign w:val="bottom"/>
            <w:tcBorders>
              <w:bottom w:val="single" w:sz="8" w:color="auto"/>
              <w:right w:val="single" w:sz="8" w:color="A6A6A6"/>
            </w:tcBorders>
            <w:shd w:val="clear" w:color="auto" w:fill="A6A6A6"/>
          </w:tcPr>
          <w:p>
            <w:pPr>
              <w:spacing w:after="0"/>
              <w:rPr>
                <w:sz w:val="8"/>
                <w:szCs w:val="8"/>
                <w:color w:val="auto"/>
              </w:rPr>
            </w:pPr>
          </w:p>
        </w:tc>
        <w:tc>
          <w:tcPr>
            <w:tcW w:w="140" w:type="dxa"/>
            <w:vAlign w:val="bottom"/>
            <w:tcBorders>
              <w:bottom w:val="single" w:sz="8" w:color="auto"/>
            </w:tcBorders>
            <w:shd w:val="clear" w:color="auto" w:fill="A6A6A6"/>
          </w:tcPr>
          <w:p>
            <w:pPr>
              <w:spacing w:after="0"/>
              <w:rPr>
                <w:sz w:val="8"/>
                <w:szCs w:val="8"/>
                <w:color w:val="auto"/>
              </w:rPr>
            </w:pPr>
          </w:p>
        </w:tc>
        <w:tc>
          <w:tcPr>
            <w:tcW w:w="1560" w:type="dxa"/>
            <w:vAlign w:val="bottom"/>
            <w:tcBorders>
              <w:bottom w:val="single" w:sz="8" w:color="auto"/>
              <w:right w:val="single" w:sz="8" w:color="A6A6A6"/>
            </w:tcBorders>
            <w:gridSpan w:val="2"/>
            <w:shd w:val="clear" w:color="auto" w:fill="A6A6A6"/>
          </w:tcPr>
          <w:p>
            <w:pPr>
              <w:spacing w:after="0"/>
              <w:rPr>
                <w:sz w:val="8"/>
                <w:szCs w:val="8"/>
                <w:color w:val="auto"/>
              </w:rPr>
            </w:pPr>
          </w:p>
        </w:tc>
        <w:tc>
          <w:tcPr>
            <w:tcW w:w="60" w:type="dxa"/>
            <w:vAlign w:val="bottom"/>
            <w:tcBorders>
              <w:bottom w:val="single" w:sz="8" w:color="auto"/>
            </w:tcBorders>
            <w:shd w:val="clear" w:color="auto" w:fill="A6A6A6"/>
          </w:tcPr>
          <w:p>
            <w:pPr>
              <w:spacing w:after="0"/>
              <w:rPr>
                <w:sz w:val="8"/>
                <w:szCs w:val="8"/>
                <w:color w:val="auto"/>
              </w:rPr>
            </w:pPr>
          </w:p>
        </w:tc>
        <w:tc>
          <w:tcPr>
            <w:tcW w:w="1440" w:type="dxa"/>
            <w:vAlign w:val="bottom"/>
            <w:tcBorders>
              <w:bottom w:val="single" w:sz="8" w:color="auto"/>
              <w:right w:val="single" w:sz="8" w:color="A6A6A6"/>
            </w:tcBorders>
            <w:gridSpan w:val="2"/>
            <w:shd w:val="clear" w:color="auto" w:fill="A6A6A6"/>
          </w:tcPr>
          <w:p>
            <w:pPr>
              <w:spacing w:after="0"/>
              <w:rPr>
                <w:sz w:val="8"/>
                <w:szCs w:val="8"/>
                <w:color w:val="auto"/>
              </w:rPr>
            </w:pPr>
          </w:p>
        </w:tc>
        <w:tc>
          <w:tcPr>
            <w:tcW w:w="140" w:type="dxa"/>
            <w:vAlign w:val="bottom"/>
            <w:tcBorders>
              <w:bottom w:val="single" w:sz="8" w:color="auto"/>
            </w:tcBorders>
            <w:shd w:val="clear" w:color="auto" w:fill="A6A6A6"/>
          </w:tcPr>
          <w:p>
            <w:pPr>
              <w:spacing w:after="0"/>
              <w:rPr>
                <w:sz w:val="8"/>
                <w:szCs w:val="8"/>
                <w:color w:val="auto"/>
              </w:rPr>
            </w:pPr>
          </w:p>
        </w:tc>
        <w:tc>
          <w:tcPr>
            <w:tcW w:w="2000" w:type="dxa"/>
            <w:vAlign w:val="bottom"/>
            <w:tcBorders>
              <w:bottom w:val="single" w:sz="8" w:color="auto"/>
              <w:right w:val="single" w:sz="8" w:color="A6A6A6"/>
            </w:tcBorders>
            <w:gridSpan w:val="3"/>
            <w:shd w:val="clear" w:color="auto" w:fill="A6A6A6"/>
          </w:tcPr>
          <w:p>
            <w:pPr>
              <w:spacing w:after="0"/>
              <w:rPr>
                <w:sz w:val="8"/>
                <w:szCs w:val="8"/>
                <w:color w:val="auto"/>
              </w:rPr>
            </w:pPr>
          </w:p>
        </w:tc>
        <w:tc>
          <w:tcPr>
            <w:tcW w:w="1240" w:type="dxa"/>
            <w:vAlign w:val="bottom"/>
            <w:tcBorders>
              <w:bottom w:val="single" w:sz="8" w:color="auto"/>
            </w:tcBorders>
            <w:shd w:val="clear" w:color="auto" w:fill="A6A6A6"/>
          </w:tcPr>
          <w:p>
            <w:pPr>
              <w:spacing w:after="0"/>
              <w:rPr>
                <w:sz w:val="8"/>
                <w:szCs w:val="8"/>
                <w:color w:val="auto"/>
              </w:rPr>
            </w:pPr>
          </w:p>
        </w:tc>
        <w:tc>
          <w:tcPr>
            <w:tcW w:w="20" w:type="dxa"/>
            <w:vAlign w:val="bottom"/>
            <w:tcBorders>
              <w:bottom w:val="single" w:sz="8" w:color="auto"/>
            </w:tcBorders>
            <w:shd w:val="clear" w:color="auto" w:fill="000000"/>
          </w:tcPr>
          <w:p>
            <w:pPr>
              <w:spacing w:after="0"/>
              <w:rPr>
                <w:sz w:val="8"/>
                <w:szCs w:val="8"/>
                <w:color w:val="auto"/>
              </w:rPr>
            </w:pPr>
          </w:p>
        </w:tc>
      </w:tr>
      <w:tr>
        <w:trPr>
          <w:trHeight w:val="213"/>
        </w:trPr>
        <w:tc>
          <w:tcPr>
            <w:tcW w:w="920" w:type="dxa"/>
            <w:vAlign w:val="bottom"/>
            <w:tcBorders>
              <w:left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Year of</w:t>
            </w:r>
          </w:p>
        </w:tc>
        <w:tc>
          <w:tcPr>
            <w:tcW w:w="100" w:type="dxa"/>
            <w:vAlign w:val="bottom"/>
            <w:tcBorders>
              <w:right w:val="single" w:sz="8" w:color="D9D9D9"/>
            </w:tcBorders>
            <w:shd w:val="clear" w:color="auto" w:fill="D9D9D9"/>
          </w:tcPr>
          <w:p>
            <w:pPr>
              <w:spacing w:after="0"/>
              <w:rPr>
                <w:sz w:val="18"/>
                <w:szCs w:val="18"/>
                <w:color w:val="auto"/>
              </w:rPr>
            </w:pPr>
          </w:p>
        </w:tc>
        <w:tc>
          <w:tcPr>
            <w:tcW w:w="1340" w:type="dxa"/>
            <w:vAlign w:val="bottom"/>
            <w:tcBorders>
              <w:right w:val="single" w:sz="8" w:color="auto"/>
            </w:tcBorders>
            <w:shd w:val="clear" w:color="auto" w:fill="D9D9D9"/>
          </w:tcPr>
          <w:p>
            <w:pPr>
              <w:jc w:val="center"/>
              <w:ind w:right="54"/>
              <w:spacing w:after="0"/>
              <w:rPr>
                <w:sz w:val="20"/>
                <w:szCs w:val="20"/>
                <w:color w:val="auto"/>
              </w:rPr>
            </w:pPr>
            <w:r>
              <w:rPr>
                <w:rFonts w:ascii="Times New Roman" w:cs="Times New Roman" w:eastAsia="Times New Roman" w:hAnsi="Times New Roman"/>
                <w:sz w:val="13"/>
                <w:szCs w:val="13"/>
                <w:b w:val="1"/>
                <w:bCs w:val="1"/>
                <w:color w:val="auto"/>
              </w:rPr>
              <w:t># Completed CMRTS</w:t>
            </w:r>
          </w:p>
        </w:tc>
        <w:tc>
          <w:tcPr>
            <w:tcW w:w="140" w:type="dxa"/>
            <w:vAlign w:val="bottom"/>
            <w:shd w:val="clear" w:color="auto" w:fill="D9D9D9"/>
          </w:tcPr>
          <w:p>
            <w:pPr>
              <w:spacing w:after="0"/>
              <w:rPr>
                <w:sz w:val="18"/>
                <w:szCs w:val="18"/>
                <w:color w:val="auto"/>
              </w:rPr>
            </w:pPr>
          </w:p>
        </w:tc>
        <w:tc>
          <w:tcPr>
            <w:tcW w:w="1560" w:type="dxa"/>
            <w:vAlign w:val="bottom"/>
            <w:tcBorders>
              <w:right w:val="single" w:sz="8" w:color="auto"/>
            </w:tcBorders>
            <w:gridSpan w:val="2"/>
            <w:shd w:val="clear" w:color="auto" w:fill="D9D9D9"/>
          </w:tcPr>
          <w:p>
            <w:pPr>
              <w:jc w:val="center"/>
              <w:ind w:right="94"/>
              <w:spacing w:after="0"/>
              <w:rPr>
                <w:sz w:val="20"/>
                <w:szCs w:val="20"/>
                <w:color w:val="auto"/>
              </w:rPr>
            </w:pPr>
            <w:r>
              <w:rPr>
                <w:rFonts w:ascii="Times New Roman" w:cs="Times New Roman" w:eastAsia="Times New Roman" w:hAnsi="Times New Roman"/>
                <w:sz w:val="13"/>
                <w:szCs w:val="13"/>
                <w:b w:val="1"/>
                <w:bCs w:val="1"/>
                <w:color w:val="auto"/>
              </w:rPr>
              <w:t># Suppliers with CM</w:t>
            </w:r>
          </w:p>
        </w:tc>
        <w:tc>
          <w:tcPr>
            <w:tcW w:w="60" w:type="dxa"/>
            <w:vAlign w:val="bottom"/>
            <w:shd w:val="clear" w:color="auto" w:fill="D9D9D9"/>
          </w:tcPr>
          <w:p>
            <w:pPr>
              <w:spacing w:after="0"/>
              <w:rPr>
                <w:sz w:val="18"/>
                <w:szCs w:val="18"/>
                <w:color w:val="auto"/>
              </w:rPr>
            </w:pPr>
          </w:p>
        </w:tc>
        <w:tc>
          <w:tcPr>
            <w:tcW w:w="1440" w:type="dxa"/>
            <w:vAlign w:val="bottom"/>
            <w:tcBorders>
              <w:right w:val="single" w:sz="8" w:color="auto"/>
            </w:tcBorders>
            <w:gridSpan w:val="2"/>
            <w:shd w:val="clear" w:color="auto" w:fill="D9D9D9"/>
          </w:tcPr>
          <w:p>
            <w:pPr>
              <w:jc w:val="center"/>
              <w:ind w:right="14"/>
              <w:spacing w:after="0"/>
              <w:rPr>
                <w:sz w:val="20"/>
                <w:szCs w:val="20"/>
                <w:color w:val="auto"/>
              </w:rPr>
            </w:pPr>
            <w:r>
              <w:rPr>
                <w:rFonts w:ascii="Times New Roman" w:cs="Times New Roman" w:eastAsia="Times New Roman" w:hAnsi="Times New Roman"/>
                <w:sz w:val="13"/>
                <w:szCs w:val="13"/>
                <w:b w:val="1"/>
                <w:bCs w:val="1"/>
                <w:color w:val="auto"/>
              </w:rPr>
              <w:t># Suppliers with no</w:t>
            </w:r>
          </w:p>
        </w:tc>
        <w:tc>
          <w:tcPr>
            <w:tcW w:w="140" w:type="dxa"/>
            <w:vAlign w:val="bottom"/>
            <w:shd w:val="clear" w:color="auto" w:fill="D9D9D9"/>
          </w:tcPr>
          <w:p>
            <w:pPr>
              <w:spacing w:after="0"/>
              <w:rPr>
                <w:sz w:val="18"/>
                <w:szCs w:val="18"/>
                <w:color w:val="auto"/>
              </w:rPr>
            </w:pPr>
          </w:p>
        </w:tc>
        <w:tc>
          <w:tcPr>
            <w:tcW w:w="2000" w:type="dxa"/>
            <w:vAlign w:val="bottom"/>
            <w:tcBorders>
              <w:right w:val="single" w:sz="8" w:color="auto"/>
            </w:tcBorders>
            <w:gridSpan w:val="3"/>
            <w:shd w:val="clear" w:color="auto" w:fill="D9D9D9"/>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Total Suppliers with strong CM</w:t>
            </w:r>
          </w:p>
        </w:tc>
        <w:tc>
          <w:tcPr>
            <w:tcW w:w="1240" w:type="dxa"/>
            <w:vAlign w:val="bottom"/>
            <w:shd w:val="clear" w:color="auto" w:fill="D9D9D9"/>
          </w:tcPr>
          <w:p>
            <w:pPr>
              <w:ind w:left="320"/>
              <w:spacing w:after="0"/>
              <w:rPr>
                <w:sz w:val="20"/>
                <w:szCs w:val="20"/>
                <w:color w:val="auto"/>
              </w:rPr>
            </w:pPr>
            <w:r>
              <w:rPr>
                <w:rFonts w:ascii="Times New Roman" w:cs="Times New Roman" w:eastAsia="Times New Roman" w:hAnsi="Times New Roman"/>
                <w:sz w:val="13"/>
                <w:szCs w:val="13"/>
                <w:b w:val="1"/>
                <w:bCs w:val="1"/>
                <w:color w:val="auto"/>
              </w:rPr>
              <w:t>% of such</w:t>
            </w:r>
          </w:p>
        </w:tc>
        <w:tc>
          <w:tcPr>
            <w:tcW w:w="20" w:type="dxa"/>
            <w:vAlign w:val="bottom"/>
            <w:shd w:val="clear" w:color="auto" w:fill="000000"/>
          </w:tcPr>
          <w:p>
            <w:pPr>
              <w:spacing w:after="0"/>
              <w:rPr>
                <w:sz w:val="18"/>
                <w:szCs w:val="18"/>
                <w:color w:val="auto"/>
              </w:rPr>
            </w:pPr>
          </w:p>
        </w:tc>
      </w:tr>
      <w:tr>
        <w:trPr>
          <w:trHeight w:val="158"/>
        </w:trPr>
        <w:tc>
          <w:tcPr>
            <w:tcW w:w="920" w:type="dxa"/>
            <w:vAlign w:val="bottom"/>
            <w:tcBorders>
              <w:left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3"/>
                <w:szCs w:val="13"/>
                <w:b w:val="1"/>
                <w:bCs w:val="1"/>
                <w:color w:val="auto"/>
              </w:rPr>
              <w:t>Program</w:t>
            </w:r>
          </w:p>
        </w:tc>
        <w:tc>
          <w:tcPr>
            <w:tcW w:w="100" w:type="dxa"/>
            <w:vAlign w:val="bottom"/>
            <w:tcBorders>
              <w:right w:val="single" w:sz="8" w:color="D9D9D9"/>
            </w:tcBorders>
            <w:shd w:val="clear" w:color="auto" w:fill="D9D9D9"/>
          </w:tcPr>
          <w:p>
            <w:pPr>
              <w:spacing w:after="0"/>
              <w:rPr>
                <w:sz w:val="13"/>
                <w:szCs w:val="13"/>
                <w:color w:val="auto"/>
              </w:rPr>
            </w:pPr>
          </w:p>
        </w:tc>
        <w:tc>
          <w:tcPr>
            <w:tcW w:w="1340" w:type="dxa"/>
            <w:vAlign w:val="bottom"/>
            <w:tcBorders>
              <w:right w:val="single" w:sz="8" w:color="auto"/>
            </w:tcBorders>
            <w:shd w:val="clear" w:color="auto" w:fill="D9D9D9"/>
          </w:tcPr>
          <w:p>
            <w:pPr>
              <w:spacing w:after="0"/>
              <w:rPr>
                <w:sz w:val="13"/>
                <w:szCs w:val="13"/>
                <w:color w:val="auto"/>
              </w:rPr>
            </w:pPr>
          </w:p>
        </w:tc>
        <w:tc>
          <w:tcPr>
            <w:tcW w:w="140" w:type="dxa"/>
            <w:vAlign w:val="bottom"/>
            <w:shd w:val="clear" w:color="auto" w:fill="D9D9D9"/>
          </w:tcPr>
          <w:p>
            <w:pPr>
              <w:spacing w:after="0"/>
              <w:rPr>
                <w:sz w:val="13"/>
                <w:szCs w:val="13"/>
                <w:color w:val="auto"/>
              </w:rPr>
            </w:pPr>
          </w:p>
        </w:tc>
        <w:tc>
          <w:tcPr>
            <w:tcW w:w="1560" w:type="dxa"/>
            <w:vAlign w:val="bottom"/>
            <w:tcBorders>
              <w:right w:val="single" w:sz="8" w:color="auto"/>
            </w:tcBorders>
            <w:gridSpan w:val="2"/>
            <w:shd w:val="clear" w:color="auto" w:fill="D9D9D9"/>
          </w:tcPr>
          <w:p>
            <w:pPr>
              <w:jc w:val="center"/>
              <w:ind w:right="94"/>
              <w:spacing w:after="0"/>
              <w:rPr>
                <w:sz w:val="20"/>
                <w:szCs w:val="20"/>
                <w:color w:val="auto"/>
              </w:rPr>
            </w:pPr>
            <w:r>
              <w:rPr>
                <w:rFonts w:ascii="Times New Roman" w:cs="Times New Roman" w:eastAsia="Times New Roman" w:hAnsi="Times New Roman"/>
                <w:sz w:val="13"/>
                <w:szCs w:val="13"/>
                <w:b w:val="1"/>
                <w:bCs w:val="1"/>
                <w:color w:val="auto"/>
              </w:rPr>
              <w:t>programs and policies</w:t>
            </w:r>
          </w:p>
        </w:tc>
        <w:tc>
          <w:tcPr>
            <w:tcW w:w="60" w:type="dxa"/>
            <w:vAlign w:val="bottom"/>
            <w:shd w:val="clear" w:color="auto" w:fill="D9D9D9"/>
          </w:tcPr>
          <w:p>
            <w:pPr>
              <w:spacing w:after="0"/>
              <w:rPr>
                <w:sz w:val="13"/>
                <w:szCs w:val="13"/>
                <w:color w:val="auto"/>
              </w:rPr>
            </w:pPr>
          </w:p>
        </w:tc>
        <w:tc>
          <w:tcPr>
            <w:tcW w:w="1440" w:type="dxa"/>
            <w:vAlign w:val="bottom"/>
            <w:tcBorders>
              <w:right w:val="single" w:sz="8" w:color="auto"/>
            </w:tcBorders>
            <w:gridSpan w:val="2"/>
            <w:shd w:val="clear" w:color="auto" w:fill="D9D9D9"/>
          </w:tcPr>
          <w:p>
            <w:pPr>
              <w:jc w:val="center"/>
              <w:ind w:right="14"/>
              <w:spacing w:after="0"/>
              <w:rPr>
                <w:sz w:val="20"/>
                <w:szCs w:val="20"/>
                <w:color w:val="auto"/>
              </w:rPr>
            </w:pPr>
            <w:r>
              <w:rPr>
                <w:rFonts w:ascii="Times New Roman" w:cs="Times New Roman" w:eastAsia="Times New Roman" w:hAnsi="Times New Roman"/>
                <w:sz w:val="13"/>
                <w:szCs w:val="13"/>
                <w:b w:val="1"/>
                <w:bCs w:val="1"/>
                <w:color w:val="auto"/>
              </w:rPr>
              <w:t>CMs in their products</w:t>
            </w:r>
          </w:p>
        </w:tc>
        <w:tc>
          <w:tcPr>
            <w:tcW w:w="140" w:type="dxa"/>
            <w:vAlign w:val="bottom"/>
            <w:shd w:val="clear" w:color="auto" w:fill="D9D9D9"/>
          </w:tcPr>
          <w:p>
            <w:pPr>
              <w:spacing w:after="0"/>
              <w:rPr>
                <w:sz w:val="13"/>
                <w:szCs w:val="13"/>
                <w:color w:val="auto"/>
              </w:rPr>
            </w:pPr>
          </w:p>
        </w:tc>
        <w:tc>
          <w:tcPr>
            <w:tcW w:w="2000" w:type="dxa"/>
            <w:vAlign w:val="bottom"/>
            <w:tcBorders>
              <w:right w:val="single" w:sz="8" w:color="auto"/>
            </w:tcBorders>
            <w:gridSpan w:val="3"/>
            <w:shd w:val="clear" w:color="auto" w:fill="D9D9D9"/>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programs/policies or no CMs in</w:t>
            </w:r>
          </w:p>
        </w:tc>
        <w:tc>
          <w:tcPr>
            <w:tcW w:w="1240" w:type="dxa"/>
            <w:vAlign w:val="bottom"/>
            <w:shd w:val="clear" w:color="auto" w:fill="D9D9D9"/>
          </w:tcPr>
          <w:p>
            <w:pPr>
              <w:ind w:left="340"/>
              <w:spacing w:after="0"/>
              <w:rPr>
                <w:sz w:val="20"/>
                <w:szCs w:val="20"/>
                <w:color w:val="auto"/>
              </w:rPr>
            </w:pPr>
            <w:r>
              <w:rPr>
                <w:rFonts w:ascii="Times New Roman" w:cs="Times New Roman" w:eastAsia="Times New Roman" w:hAnsi="Times New Roman"/>
                <w:sz w:val="13"/>
                <w:szCs w:val="13"/>
                <w:b w:val="1"/>
                <w:bCs w:val="1"/>
                <w:color w:val="auto"/>
              </w:rPr>
              <w:t>Suppliers</w:t>
            </w:r>
          </w:p>
        </w:tc>
        <w:tc>
          <w:tcPr>
            <w:tcW w:w="20" w:type="dxa"/>
            <w:vAlign w:val="bottom"/>
            <w:shd w:val="clear" w:color="auto" w:fill="000000"/>
          </w:tcPr>
          <w:p>
            <w:pPr>
              <w:spacing w:after="0"/>
              <w:rPr>
                <w:sz w:val="13"/>
                <w:szCs w:val="13"/>
                <w:color w:val="auto"/>
              </w:rPr>
            </w:pPr>
          </w:p>
        </w:tc>
      </w:tr>
      <w:tr>
        <w:trPr>
          <w:trHeight w:val="174"/>
        </w:trPr>
        <w:tc>
          <w:tcPr>
            <w:tcW w:w="920" w:type="dxa"/>
            <w:vAlign w:val="bottom"/>
            <w:tcBorders>
              <w:left w:val="single" w:sz="8" w:color="auto"/>
              <w:right w:val="single" w:sz="8" w:color="auto"/>
            </w:tcBorders>
            <w:shd w:val="clear" w:color="auto" w:fill="D9D9D9"/>
          </w:tcPr>
          <w:p>
            <w:pPr>
              <w:spacing w:after="0"/>
              <w:rPr>
                <w:sz w:val="15"/>
                <w:szCs w:val="15"/>
                <w:color w:val="auto"/>
              </w:rPr>
            </w:pPr>
          </w:p>
        </w:tc>
        <w:tc>
          <w:tcPr>
            <w:tcW w:w="100" w:type="dxa"/>
            <w:vAlign w:val="bottom"/>
            <w:tcBorders>
              <w:right w:val="single" w:sz="8" w:color="D9D9D9"/>
            </w:tcBorders>
            <w:shd w:val="clear" w:color="auto" w:fill="D9D9D9"/>
          </w:tcPr>
          <w:p>
            <w:pPr>
              <w:spacing w:after="0"/>
              <w:rPr>
                <w:sz w:val="15"/>
                <w:szCs w:val="15"/>
                <w:color w:val="auto"/>
              </w:rPr>
            </w:pPr>
          </w:p>
        </w:tc>
        <w:tc>
          <w:tcPr>
            <w:tcW w:w="1340" w:type="dxa"/>
            <w:vAlign w:val="bottom"/>
            <w:tcBorders>
              <w:right w:val="single" w:sz="8" w:color="auto"/>
            </w:tcBorders>
            <w:shd w:val="clear" w:color="auto" w:fill="D9D9D9"/>
          </w:tcPr>
          <w:p>
            <w:pPr>
              <w:spacing w:after="0"/>
              <w:rPr>
                <w:sz w:val="15"/>
                <w:szCs w:val="15"/>
                <w:color w:val="auto"/>
              </w:rPr>
            </w:pPr>
          </w:p>
        </w:tc>
        <w:tc>
          <w:tcPr>
            <w:tcW w:w="140" w:type="dxa"/>
            <w:vAlign w:val="bottom"/>
            <w:shd w:val="clear" w:color="auto" w:fill="D9D9D9"/>
          </w:tcPr>
          <w:p>
            <w:pPr>
              <w:spacing w:after="0"/>
              <w:rPr>
                <w:sz w:val="15"/>
                <w:szCs w:val="15"/>
                <w:color w:val="auto"/>
              </w:rPr>
            </w:pPr>
          </w:p>
        </w:tc>
        <w:tc>
          <w:tcPr>
            <w:tcW w:w="180" w:type="dxa"/>
            <w:vAlign w:val="bottom"/>
            <w:tcBorders>
              <w:right w:val="single" w:sz="8" w:color="D9D9D9"/>
            </w:tcBorders>
            <w:shd w:val="clear" w:color="auto" w:fill="D9D9D9"/>
          </w:tcPr>
          <w:p>
            <w:pPr>
              <w:spacing w:after="0"/>
              <w:rPr>
                <w:sz w:val="15"/>
                <w:szCs w:val="15"/>
                <w:color w:val="auto"/>
              </w:rPr>
            </w:pPr>
          </w:p>
        </w:tc>
        <w:tc>
          <w:tcPr>
            <w:tcW w:w="1380" w:type="dxa"/>
            <w:vAlign w:val="bottom"/>
            <w:tcBorders>
              <w:right w:val="single" w:sz="8" w:color="auto"/>
            </w:tcBorders>
            <w:shd w:val="clear" w:color="auto" w:fill="D9D9D9"/>
          </w:tcPr>
          <w:p>
            <w:pPr>
              <w:jc w:val="center"/>
              <w:ind w:right="274"/>
              <w:spacing w:after="0"/>
              <w:rPr>
                <w:sz w:val="20"/>
                <w:szCs w:val="20"/>
                <w:color w:val="auto"/>
              </w:rPr>
            </w:pPr>
            <w:r>
              <w:rPr>
                <w:rFonts w:ascii="Times New Roman" w:cs="Times New Roman" w:eastAsia="Times New Roman" w:hAnsi="Times New Roman"/>
                <w:sz w:val="13"/>
                <w:szCs w:val="13"/>
                <w:b w:val="1"/>
                <w:bCs w:val="1"/>
                <w:color w:val="auto"/>
              </w:rPr>
              <w:t>rated as strong</w:t>
            </w:r>
          </w:p>
        </w:tc>
        <w:tc>
          <w:tcPr>
            <w:tcW w:w="60" w:type="dxa"/>
            <w:vAlign w:val="bottom"/>
            <w:shd w:val="clear" w:color="auto" w:fill="D9D9D9"/>
          </w:tcPr>
          <w:p>
            <w:pPr>
              <w:spacing w:after="0"/>
              <w:rPr>
                <w:sz w:val="15"/>
                <w:szCs w:val="15"/>
                <w:color w:val="auto"/>
              </w:rPr>
            </w:pPr>
          </w:p>
        </w:tc>
        <w:tc>
          <w:tcPr>
            <w:tcW w:w="220" w:type="dxa"/>
            <w:vAlign w:val="bottom"/>
            <w:tcBorders>
              <w:right w:val="single" w:sz="8" w:color="D9D9D9"/>
            </w:tcBorders>
            <w:shd w:val="clear" w:color="auto" w:fill="D9D9D9"/>
          </w:tcPr>
          <w:p>
            <w:pPr>
              <w:spacing w:after="0"/>
              <w:rPr>
                <w:sz w:val="15"/>
                <w:szCs w:val="15"/>
                <w:color w:val="auto"/>
              </w:rPr>
            </w:pPr>
          </w:p>
        </w:tc>
        <w:tc>
          <w:tcPr>
            <w:tcW w:w="1220" w:type="dxa"/>
            <w:vAlign w:val="bottom"/>
            <w:tcBorders>
              <w:right w:val="single" w:sz="8" w:color="auto"/>
            </w:tcBorders>
            <w:shd w:val="clear" w:color="auto" w:fill="D9D9D9"/>
          </w:tcPr>
          <w:p>
            <w:pPr>
              <w:spacing w:after="0"/>
              <w:rPr>
                <w:sz w:val="15"/>
                <w:szCs w:val="15"/>
                <w:color w:val="auto"/>
              </w:rPr>
            </w:pPr>
          </w:p>
        </w:tc>
        <w:tc>
          <w:tcPr>
            <w:tcW w:w="140" w:type="dxa"/>
            <w:vAlign w:val="bottom"/>
            <w:shd w:val="clear" w:color="auto" w:fill="D9D9D9"/>
          </w:tcPr>
          <w:p>
            <w:pPr>
              <w:spacing w:after="0"/>
              <w:rPr>
                <w:sz w:val="15"/>
                <w:szCs w:val="15"/>
                <w:color w:val="auto"/>
              </w:rPr>
            </w:pPr>
          </w:p>
        </w:tc>
        <w:tc>
          <w:tcPr>
            <w:tcW w:w="300" w:type="dxa"/>
            <w:vAlign w:val="bottom"/>
            <w:tcBorders>
              <w:right w:val="single" w:sz="8" w:color="D9D9D9"/>
            </w:tcBorders>
            <w:shd w:val="clear" w:color="auto" w:fill="D9D9D9"/>
          </w:tcPr>
          <w:p>
            <w:pPr>
              <w:spacing w:after="0"/>
              <w:rPr>
                <w:sz w:val="15"/>
                <w:szCs w:val="15"/>
                <w:color w:val="auto"/>
              </w:rPr>
            </w:pPr>
          </w:p>
        </w:tc>
        <w:tc>
          <w:tcPr>
            <w:tcW w:w="1700" w:type="dxa"/>
            <w:vAlign w:val="bottom"/>
            <w:tcBorders>
              <w:right w:val="single" w:sz="8" w:color="auto"/>
            </w:tcBorders>
            <w:gridSpan w:val="2"/>
            <w:shd w:val="clear" w:color="auto" w:fill="D9D9D9"/>
          </w:tcPr>
          <w:p>
            <w:pPr>
              <w:jc w:val="center"/>
              <w:ind w:right="480"/>
              <w:spacing w:after="0"/>
              <w:rPr>
                <w:sz w:val="20"/>
                <w:szCs w:val="20"/>
                <w:color w:val="auto"/>
              </w:rPr>
            </w:pPr>
            <w:r>
              <w:rPr>
                <w:rFonts w:ascii="Times New Roman" w:cs="Times New Roman" w:eastAsia="Times New Roman" w:hAnsi="Times New Roman"/>
                <w:sz w:val="13"/>
                <w:szCs w:val="13"/>
                <w:b w:val="1"/>
                <w:bCs w:val="1"/>
                <w:color w:val="auto"/>
              </w:rPr>
              <w:t>products</w:t>
            </w:r>
          </w:p>
        </w:tc>
        <w:tc>
          <w:tcPr>
            <w:tcW w:w="1240" w:type="dxa"/>
            <w:vAlign w:val="bottom"/>
            <w:shd w:val="clear" w:color="auto" w:fill="D9D9D9"/>
          </w:tcPr>
          <w:p>
            <w:pPr>
              <w:spacing w:after="0"/>
              <w:rPr>
                <w:sz w:val="15"/>
                <w:szCs w:val="15"/>
                <w:color w:val="auto"/>
              </w:rPr>
            </w:pPr>
          </w:p>
        </w:tc>
        <w:tc>
          <w:tcPr>
            <w:tcW w:w="20" w:type="dxa"/>
            <w:vAlign w:val="bottom"/>
            <w:shd w:val="clear" w:color="auto" w:fill="000000"/>
          </w:tcPr>
          <w:p>
            <w:pPr>
              <w:spacing w:after="0"/>
              <w:rPr>
                <w:sz w:val="15"/>
                <w:szCs w:val="15"/>
                <w:color w:val="auto"/>
              </w:rPr>
            </w:pPr>
          </w:p>
        </w:tc>
      </w:tr>
      <w:tr>
        <w:trPr>
          <w:trHeight w:val="79"/>
        </w:trPr>
        <w:tc>
          <w:tcPr>
            <w:tcW w:w="920" w:type="dxa"/>
            <w:vAlign w:val="bottom"/>
            <w:tcBorders>
              <w:left w:val="single" w:sz="8" w:color="auto"/>
              <w:bottom w:val="single" w:sz="8" w:color="auto"/>
              <w:right w:val="single" w:sz="8" w:color="auto"/>
            </w:tcBorders>
            <w:shd w:val="clear" w:color="auto" w:fill="D9D9D9"/>
          </w:tcPr>
          <w:p>
            <w:pPr>
              <w:spacing w:after="0"/>
              <w:rPr>
                <w:sz w:val="6"/>
                <w:szCs w:val="6"/>
                <w:color w:val="auto"/>
              </w:rPr>
            </w:pPr>
          </w:p>
        </w:tc>
        <w:tc>
          <w:tcPr>
            <w:tcW w:w="100" w:type="dxa"/>
            <w:vAlign w:val="bottom"/>
            <w:tcBorders>
              <w:bottom w:val="single" w:sz="8" w:color="auto"/>
              <w:right w:val="single" w:sz="8" w:color="D9D9D9"/>
            </w:tcBorders>
            <w:shd w:val="clear" w:color="auto" w:fill="D9D9D9"/>
          </w:tcPr>
          <w:p>
            <w:pPr>
              <w:spacing w:after="0"/>
              <w:rPr>
                <w:sz w:val="6"/>
                <w:szCs w:val="6"/>
                <w:color w:val="auto"/>
              </w:rPr>
            </w:pPr>
          </w:p>
        </w:tc>
        <w:tc>
          <w:tcPr>
            <w:tcW w:w="1340" w:type="dxa"/>
            <w:vAlign w:val="bottom"/>
            <w:tcBorders>
              <w:bottom w:val="single" w:sz="8" w:color="auto"/>
              <w:right w:val="single" w:sz="8" w:color="auto"/>
            </w:tcBorders>
            <w:shd w:val="clear" w:color="auto" w:fill="D9D9D9"/>
          </w:tcPr>
          <w:p>
            <w:pPr>
              <w:spacing w:after="0"/>
              <w:rPr>
                <w:sz w:val="6"/>
                <w:szCs w:val="6"/>
                <w:color w:val="auto"/>
              </w:rPr>
            </w:pPr>
          </w:p>
        </w:tc>
        <w:tc>
          <w:tcPr>
            <w:tcW w:w="140" w:type="dxa"/>
            <w:vAlign w:val="bottom"/>
            <w:tcBorders>
              <w:bottom w:val="single" w:sz="8" w:color="auto"/>
            </w:tcBorders>
            <w:shd w:val="clear" w:color="auto" w:fill="D9D9D9"/>
          </w:tcPr>
          <w:p>
            <w:pPr>
              <w:spacing w:after="0"/>
              <w:rPr>
                <w:sz w:val="6"/>
                <w:szCs w:val="6"/>
                <w:color w:val="auto"/>
              </w:rPr>
            </w:pPr>
          </w:p>
        </w:tc>
        <w:tc>
          <w:tcPr>
            <w:tcW w:w="1560" w:type="dxa"/>
            <w:vAlign w:val="bottom"/>
            <w:tcBorders>
              <w:bottom w:val="single" w:sz="8" w:color="auto"/>
              <w:right w:val="single" w:sz="8" w:color="auto"/>
            </w:tcBorders>
            <w:gridSpan w:val="2"/>
            <w:shd w:val="clear" w:color="auto" w:fill="D9D9D9"/>
          </w:tcPr>
          <w:p>
            <w:pPr>
              <w:spacing w:after="0"/>
              <w:rPr>
                <w:sz w:val="6"/>
                <w:szCs w:val="6"/>
                <w:color w:val="auto"/>
              </w:rPr>
            </w:pPr>
          </w:p>
        </w:tc>
        <w:tc>
          <w:tcPr>
            <w:tcW w:w="60" w:type="dxa"/>
            <w:vAlign w:val="bottom"/>
            <w:tcBorders>
              <w:bottom w:val="single" w:sz="8" w:color="auto"/>
            </w:tcBorders>
            <w:shd w:val="clear" w:color="auto" w:fill="D9D9D9"/>
          </w:tcPr>
          <w:p>
            <w:pPr>
              <w:spacing w:after="0"/>
              <w:rPr>
                <w:sz w:val="6"/>
                <w:szCs w:val="6"/>
                <w:color w:val="auto"/>
              </w:rPr>
            </w:pPr>
          </w:p>
        </w:tc>
        <w:tc>
          <w:tcPr>
            <w:tcW w:w="1440" w:type="dxa"/>
            <w:vAlign w:val="bottom"/>
            <w:tcBorders>
              <w:bottom w:val="single" w:sz="8" w:color="auto"/>
              <w:right w:val="single" w:sz="8" w:color="auto"/>
            </w:tcBorders>
            <w:gridSpan w:val="2"/>
            <w:shd w:val="clear" w:color="auto" w:fill="D9D9D9"/>
          </w:tcPr>
          <w:p>
            <w:pPr>
              <w:spacing w:after="0"/>
              <w:rPr>
                <w:sz w:val="6"/>
                <w:szCs w:val="6"/>
                <w:color w:val="auto"/>
              </w:rPr>
            </w:pPr>
          </w:p>
        </w:tc>
        <w:tc>
          <w:tcPr>
            <w:tcW w:w="140" w:type="dxa"/>
            <w:vAlign w:val="bottom"/>
            <w:tcBorders>
              <w:bottom w:val="single" w:sz="8" w:color="auto"/>
            </w:tcBorders>
            <w:shd w:val="clear" w:color="auto" w:fill="D9D9D9"/>
          </w:tcPr>
          <w:p>
            <w:pPr>
              <w:spacing w:after="0"/>
              <w:rPr>
                <w:sz w:val="6"/>
                <w:szCs w:val="6"/>
                <w:color w:val="auto"/>
              </w:rPr>
            </w:pPr>
          </w:p>
        </w:tc>
        <w:tc>
          <w:tcPr>
            <w:tcW w:w="300" w:type="dxa"/>
            <w:vAlign w:val="bottom"/>
            <w:tcBorders>
              <w:bottom w:val="single" w:sz="8" w:color="auto"/>
              <w:right w:val="single" w:sz="8" w:color="D9D9D9"/>
            </w:tcBorders>
            <w:shd w:val="clear" w:color="auto" w:fill="D9D9D9"/>
          </w:tcPr>
          <w:p>
            <w:pPr>
              <w:spacing w:after="0"/>
              <w:rPr>
                <w:sz w:val="6"/>
                <w:szCs w:val="6"/>
                <w:color w:val="auto"/>
              </w:rPr>
            </w:pPr>
          </w:p>
        </w:tc>
        <w:tc>
          <w:tcPr>
            <w:tcW w:w="1440" w:type="dxa"/>
            <w:vAlign w:val="bottom"/>
            <w:tcBorders>
              <w:bottom w:val="single" w:sz="8" w:color="auto"/>
              <w:right w:val="single" w:sz="8" w:color="D9D9D9"/>
            </w:tcBorders>
            <w:shd w:val="clear" w:color="auto" w:fill="D9D9D9"/>
          </w:tcPr>
          <w:p>
            <w:pPr>
              <w:spacing w:after="0"/>
              <w:rPr>
                <w:sz w:val="6"/>
                <w:szCs w:val="6"/>
                <w:color w:val="auto"/>
              </w:rPr>
            </w:pPr>
          </w:p>
        </w:tc>
        <w:tc>
          <w:tcPr>
            <w:tcW w:w="260" w:type="dxa"/>
            <w:vAlign w:val="bottom"/>
            <w:tcBorders>
              <w:bottom w:val="single" w:sz="8" w:color="auto"/>
              <w:right w:val="single" w:sz="8" w:color="auto"/>
            </w:tcBorders>
            <w:shd w:val="clear" w:color="auto" w:fill="D9D9D9"/>
          </w:tcPr>
          <w:p>
            <w:pPr>
              <w:spacing w:after="0"/>
              <w:rPr>
                <w:sz w:val="6"/>
                <w:szCs w:val="6"/>
                <w:color w:val="auto"/>
              </w:rPr>
            </w:pPr>
          </w:p>
        </w:tc>
        <w:tc>
          <w:tcPr>
            <w:tcW w:w="1240" w:type="dxa"/>
            <w:vAlign w:val="bottom"/>
            <w:tcBorders>
              <w:bottom w:val="single" w:sz="8" w:color="auto"/>
            </w:tcBorders>
            <w:shd w:val="clear" w:color="auto" w:fill="D9D9D9"/>
          </w:tcPr>
          <w:p>
            <w:pPr>
              <w:spacing w:after="0"/>
              <w:rPr>
                <w:sz w:val="6"/>
                <w:szCs w:val="6"/>
                <w:color w:val="auto"/>
              </w:rPr>
            </w:pPr>
          </w:p>
        </w:tc>
        <w:tc>
          <w:tcPr>
            <w:tcW w:w="20" w:type="dxa"/>
            <w:vAlign w:val="bottom"/>
            <w:tcBorders>
              <w:bottom w:val="single" w:sz="8" w:color="auto"/>
            </w:tcBorders>
            <w:shd w:val="clear" w:color="auto" w:fill="000000"/>
          </w:tcPr>
          <w:p>
            <w:pPr>
              <w:spacing w:after="0"/>
              <w:rPr>
                <w:sz w:val="6"/>
                <w:szCs w:val="6"/>
                <w:color w:val="auto"/>
              </w:rPr>
            </w:pPr>
          </w:p>
        </w:tc>
      </w:tr>
      <w:tr>
        <w:trPr>
          <w:trHeight w:val="228"/>
        </w:trPr>
        <w:tc>
          <w:tcPr>
            <w:tcW w:w="9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2025</w:t>
            </w:r>
          </w:p>
        </w:tc>
        <w:tc>
          <w:tcPr>
            <w:tcW w:w="100" w:type="dxa"/>
            <w:vAlign w:val="bottom"/>
          </w:tcPr>
          <w:p>
            <w:pPr>
              <w:spacing w:after="0"/>
              <w:rPr>
                <w:sz w:val="19"/>
                <w:szCs w:val="19"/>
                <w:color w:val="auto"/>
              </w:rPr>
            </w:pPr>
          </w:p>
        </w:tc>
        <w:tc>
          <w:tcPr>
            <w:tcW w:w="1340" w:type="dxa"/>
            <w:vAlign w:val="bottom"/>
            <w:tcBorders>
              <w:right w:val="single" w:sz="8" w:color="auto"/>
            </w:tcBorders>
          </w:tcPr>
          <w:p>
            <w:pPr>
              <w:jc w:val="center"/>
              <w:ind w:right="74"/>
              <w:spacing w:after="0"/>
              <w:rPr>
                <w:sz w:val="20"/>
                <w:szCs w:val="20"/>
                <w:color w:val="auto"/>
              </w:rPr>
            </w:pPr>
            <w:r>
              <w:rPr>
                <w:rFonts w:ascii="Times New Roman" w:cs="Times New Roman" w:eastAsia="Times New Roman" w:hAnsi="Times New Roman"/>
                <w:sz w:val="13"/>
                <w:szCs w:val="13"/>
                <w:color w:val="auto"/>
              </w:rPr>
              <w:t>356</w:t>
            </w:r>
          </w:p>
        </w:tc>
        <w:tc>
          <w:tcPr>
            <w:tcW w:w="140" w:type="dxa"/>
            <w:vAlign w:val="bottom"/>
          </w:tcPr>
          <w:p>
            <w:pPr>
              <w:spacing w:after="0"/>
              <w:rPr>
                <w:sz w:val="19"/>
                <w:szCs w:val="19"/>
                <w:color w:val="auto"/>
              </w:rPr>
            </w:pPr>
          </w:p>
        </w:tc>
        <w:tc>
          <w:tcPr>
            <w:tcW w:w="1560" w:type="dxa"/>
            <w:vAlign w:val="bottom"/>
            <w:tcBorders>
              <w:right w:val="single" w:sz="8" w:color="auto"/>
            </w:tcBorders>
            <w:gridSpan w:val="2"/>
          </w:tcPr>
          <w:p>
            <w:pPr>
              <w:jc w:val="center"/>
              <w:ind w:right="94"/>
              <w:spacing w:after="0"/>
              <w:rPr>
                <w:sz w:val="20"/>
                <w:szCs w:val="20"/>
                <w:color w:val="auto"/>
              </w:rPr>
            </w:pPr>
            <w:r>
              <w:rPr>
                <w:rFonts w:ascii="Times New Roman" w:cs="Times New Roman" w:eastAsia="Times New Roman" w:hAnsi="Times New Roman"/>
                <w:sz w:val="13"/>
                <w:szCs w:val="13"/>
                <w:color w:val="auto"/>
              </w:rPr>
              <w:t>216</w:t>
            </w:r>
          </w:p>
        </w:tc>
        <w:tc>
          <w:tcPr>
            <w:tcW w:w="60" w:type="dxa"/>
            <w:vAlign w:val="bottom"/>
          </w:tcPr>
          <w:p>
            <w:pPr>
              <w:spacing w:after="0"/>
              <w:rPr>
                <w:sz w:val="19"/>
                <w:szCs w:val="19"/>
                <w:color w:val="auto"/>
              </w:rPr>
            </w:pPr>
          </w:p>
        </w:tc>
        <w:tc>
          <w:tcPr>
            <w:tcW w:w="1440" w:type="dxa"/>
            <w:vAlign w:val="bottom"/>
            <w:tcBorders>
              <w:right w:val="single" w:sz="8" w:color="auto"/>
            </w:tcBorders>
            <w:gridSpan w:val="2"/>
          </w:tcPr>
          <w:p>
            <w:pPr>
              <w:jc w:val="center"/>
              <w:ind w:right="14"/>
              <w:spacing w:after="0"/>
              <w:rPr>
                <w:sz w:val="20"/>
                <w:szCs w:val="20"/>
                <w:color w:val="auto"/>
              </w:rPr>
            </w:pPr>
            <w:r>
              <w:rPr>
                <w:rFonts w:ascii="Times New Roman" w:cs="Times New Roman" w:eastAsia="Times New Roman" w:hAnsi="Times New Roman"/>
                <w:sz w:val="13"/>
                <w:szCs w:val="13"/>
                <w:color w:val="auto"/>
                <w:w w:val="91"/>
              </w:rPr>
              <w:t>53</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tcPr>
          <w:p>
            <w:pPr>
              <w:jc w:val="center"/>
              <w:ind w:right="154"/>
              <w:spacing w:after="0"/>
              <w:rPr>
                <w:sz w:val="20"/>
                <w:szCs w:val="20"/>
                <w:color w:val="auto"/>
              </w:rPr>
            </w:pPr>
            <w:r>
              <w:rPr>
                <w:rFonts w:ascii="Times New Roman" w:cs="Times New Roman" w:eastAsia="Times New Roman" w:hAnsi="Times New Roman"/>
                <w:sz w:val="13"/>
                <w:szCs w:val="13"/>
                <w:color w:val="auto"/>
                <w:w w:val="92"/>
              </w:rPr>
              <w:t>269</w:t>
            </w:r>
          </w:p>
        </w:tc>
        <w:tc>
          <w:tcPr>
            <w:tcW w:w="260" w:type="dxa"/>
            <w:vAlign w:val="bottom"/>
            <w:tcBorders>
              <w:right w:val="single" w:sz="8" w:color="auto"/>
            </w:tcBorders>
          </w:tcPr>
          <w:p>
            <w:pPr>
              <w:spacing w:after="0"/>
              <w:rPr>
                <w:sz w:val="19"/>
                <w:szCs w:val="19"/>
                <w:color w:val="auto"/>
              </w:rPr>
            </w:pPr>
          </w:p>
        </w:tc>
        <w:tc>
          <w:tcPr>
            <w:tcW w:w="1240" w:type="dxa"/>
            <w:vAlign w:val="bottom"/>
          </w:tcPr>
          <w:p>
            <w:pPr>
              <w:ind w:left="440"/>
              <w:spacing w:after="0"/>
              <w:rPr>
                <w:sz w:val="20"/>
                <w:szCs w:val="20"/>
                <w:color w:val="auto"/>
              </w:rPr>
            </w:pPr>
            <w:r>
              <w:rPr>
                <w:rFonts w:ascii="Times New Roman" w:cs="Times New Roman" w:eastAsia="Times New Roman" w:hAnsi="Times New Roman"/>
                <w:sz w:val="13"/>
                <w:szCs w:val="13"/>
                <w:color w:val="auto"/>
              </w:rPr>
              <w:t>75.6%</w:t>
            </w:r>
          </w:p>
        </w:tc>
        <w:tc>
          <w:tcPr>
            <w:tcW w:w="20" w:type="dxa"/>
            <w:vAlign w:val="bottom"/>
            <w:shd w:val="clear" w:color="auto" w:fill="000000"/>
          </w:tcPr>
          <w:p>
            <w:pPr>
              <w:spacing w:after="0"/>
              <w:rPr>
                <w:sz w:val="19"/>
                <w:szCs w:val="19"/>
                <w:color w:val="auto"/>
              </w:rPr>
            </w:pPr>
          </w:p>
        </w:tc>
      </w:tr>
      <w:tr>
        <w:trPr>
          <w:trHeight w:val="99"/>
        </w:trPr>
        <w:tc>
          <w:tcPr>
            <w:tcW w:w="920" w:type="dxa"/>
            <w:vAlign w:val="bottom"/>
            <w:tcBorders>
              <w:left w:val="single" w:sz="8" w:color="auto"/>
              <w:bottom w:val="single" w:sz="8" w:color="auto"/>
              <w:right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340" w:type="dxa"/>
            <w:vAlign w:val="bottom"/>
            <w:tcBorders>
              <w:bottom w:val="single" w:sz="8" w:color="auto"/>
              <w:right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560" w:type="dxa"/>
            <w:vAlign w:val="bottom"/>
            <w:tcBorders>
              <w:bottom w:val="single" w:sz="8" w:color="auto"/>
              <w:right w:val="single" w:sz="8" w:color="auto"/>
            </w:tcBorders>
            <w:gridSpan w:val="2"/>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440" w:type="dxa"/>
            <w:vAlign w:val="bottom"/>
            <w:tcBorders>
              <w:bottom w:val="single" w:sz="8" w:color="auto"/>
              <w:right w:val="single" w:sz="8" w:color="auto"/>
            </w:tcBorders>
            <w:gridSpan w:val="2"/>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440" w:type="dxa"/>
            <w:vAlign w:val="bottom"/>
            <w:tcBorders>
              <w:bottom w:val="single" w:sz="8" w:color="auto"/>
            </w:tcBorders>
          </w:tcPr>
          <w:p>
            <w:pPr>
              <w:spacing w:after="0"/>
              <w:rPr>
                <w:sz w:val="8"/>
                <w:szCs w:val="8"/>
                <w:color w:val="auto"/>
              </w:rPr>
            </w:pPr>
          </w:p>
        </w:tc>
        <w:tc>
          <w:tcPr>
            <w:tcW w:w="260" w:type="dxa"/>
            <w:vAlign w:val="bottom"/>
            <w:tcBorders>
              <w:bottom w:val="single" w:sz="8" w:color="auto"/>
              <w:right w:val="single" w:sz="8" w:color="auto"/>
            </w:tcBorders>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shd w:val="clear" w:color="auto" w:fill="000000"/>
          </w:tcPr>
          <w:p>
            <w:pPr>
              <w:spacing w:after="0"/>
              <w:rPr>
                <w:sz w:val="8"/>
                <w:szCs w:val="8"/>
                <w:color w:val="auto"/>
              </w:rPr>
            </w:pPr>
          </w:p>
        </w:tc>
      </w:tr>
      <w:tr>
        <w:trPr>
          <w:trHeight w:val="228"/>
        </w:trPr>
        <w:tc>
          <w:tcPr>
            <w:tcW w:w="9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2024</w:t>
            </w:r>
          </w:p>
        </w:tc>
        <w:tc>
          <w:tcPr>
            <w:tcW w:w="100" w:type="dxa"/>
            <w:vAlign w:val="bottom"/>
          </w:tcPr>
          <w:p>
            <w:pPr>
              <w:spacing w:after="0"/>
              <w:rPr>
                <w:sz w:val="19"/>
                <w:szCs w:val="19"/>
                <w:color w:val="auto"/>
              </w:rPr>
            </w:pPr>
          </w:p>
        </w:tc>
        <w:tc>
          <w:tcPr>
            <w:tcW w:w="1340" w:type="dxa"/>
            <w:vAlign w:val="bottom"/>
            <w:tcBorders>
              <w:right w:val="single" w:sz="8" w:color="auto"/>
            </w:tcBorders>
          </w:tcPr>
          <w:p>
            <w:pPr>
              <w:jc w:val="center"/>
              <w:ind w:right="74"/>
              <w:spacing w:after="0"/>
              <w:rPr>
                <w:sz w:val="20"/>
                <w:szCs w:val="20"/>
                <w:color w:val="auto"/>
              </w:rPr>
            </w:pPr>
            <w:r>
              <w:rPr>
                <w:rFonts w:ascii="Times New Roman" w:cs="Times New Roman" w:eastAsia="Times New Roman" w:hAnsi="Times New Roman"/>
                <w:sz w:val="13"/>
                <w:szCs w:val="13"/>
                <w:color w:val="auto"/>
              </w:rPr>
              <w:t>346</w:t>
            </w:r>
          </w:p>
        </w:tc>
        <w:tc>
          <w:tcPr>
            <w:tcW w:w="140" w:type="dxa"/>
            <w:vAlign w:val="bottom"/>
          </w:tcPr>
          <w:p>
            <w:pPr>
              <w:spacing w:after="0"/>
              <w:rPr>
                <w:sz w:val="19"/>
                <w:szCs w:val="19"/>
                <w:color w:val="auto"/>
              </w:rPr>
            </w:pPr>
          </w:p>
        </w:tc>
        <w:tc>
          <w:tcPr>
            <w:tcW w:w="1560" w:type="dxa"/>
            <w:vAlign w:val="bottom"/>
            <w:tcBorders>
              <w:right w:val="single" w:sz="8" w:color="auto"/>
            </w:tcBorders>
            <w:gridSpan w:val="2"/>
          </w:tcPr>
          <w:p>
            <w:pPr>
              <w:jc w:val="center"/>
              <w:ind w:right="94"/>
              <w:spacing w:after="0"/>
              <w:rPr>
                <w:sz w:val="20"/>
                <w:szCs w:val="20"/>
                <w:color w:val="auto"/>
              </w:rPr>
            </w:pPr>
            <w:r>
              <w:rPr>
                <w:rFonts w:ascii="Times New Roman" w:cs="Times New Roman" w:eastAsia="Times New Roman" w:hAnsi="Times New Roman"/>
                <w:sz w:val="13"/>
                <w:szCs w:val="13"/>
                <w:color w:val="auto"/>
              </w:rPr>
              <w:t>261</w:t>
            </w:r>
          </w:p>
        </w:tc>
        <w:tc>
          <w:tcPr>
            <w:tcW w:w="60" w:type="dxa"/>
            <w:vAlign w:val="bottom"/>
          </w:tcPr>
          <w:p>
            <w:pPr>
              <w:spacing w:after="0"/>
              <w:rPr>
                <w:sz w:val="19"/>
                <w:szCs w:val="19"/>
                <w:color w:val="auto"/>
              </w:rPr>
            </w:pPr>
          </w:p>
        </w:tc>
        <w:tc>
          <w:tcPr>
            <w:tcW w:w="1440" w:type="dxa"/>
            <w:vAlign w:val="bottom"/>
            <w:tcBorders>
              <w:right w:val="single" w:sz="8" w:color="auto"/>
            </w:tcBorders>
            <w:gridSpan w:val="2"/>
          </w:tcPr>
          <w:p>
            <w:pPr>
              <w:jc w:val="center"/>
              <w:ind w:right="14"/>
              <w:spacing w:after="0"/>
              <w:rPr>
                <w:sz w:val="20"/>
                <w:szCs w:val="20"/>
                <w:color w:val="auto"/>
              </w:rPr>
            </w:pPr>
            <w:r>
              <w:rPr>
                <w:rFonts w:ascii="Times New Roman" w:cs="Times New Roman" w:eastAsia="Times New Roman" w:hAnsi="Times New Roman"/>
                <w:sz w:val="13"/>
                <w:szCs w:val="13"/>
                <w:color w:val="auto"/>
                <w:w w:val="91"/>
              </w:rPr>
              <w:t>51</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tcPr>
          <w:p>
            <w:pPr>
              <w:jc w:val="center"/>
              <w:ind w:right="154"/>
              <w:spacing w:after="0"/>
              <w:rPr>
                <w:sz w:val="20"/>
                <w:szCs w:val="20"/>
                <w:color w:val="auto"/>
              </w:rPr>
            </w:pPr>
            <w:r>
              <w:rPr>
                <w:rFonts w:ascii="Times New Roman" w:cs="Times New Roman" w:eastAsia="Times New Roman" w:hAnsi="Times New Roman"/>
                <w:sz w:val="13"/>
                <w:szCs w:val="13"/>
                <w:color w:val="auto"/>
                <w:w w:val="92"/>
              </w:rPr>
              <w:t>312</w:t>
            </w:r>
          </w:p>
        </w:tc>
        <w:tc>
          <w:tcPr>
            <w:tcW w:w="260" w:type="dxa"/>
            <w:vAlign w:val="bottom"/>
            <w:tcBorders>
              <w:right w:val="single" w:sz="8" w:color="auto"/>
            </w:tcBorders>
          </w:tcPr>
          <w:p>
            <w:pPr>
              <w:spacing w:after="0"/>
              <w:rPr>
                <w:sz w:val="19"/>
                <w:szCs w:val="19"/>
                <w:color w:val="auto"/>
              </w:rPr>
            </w:pPr>
          </w:p>
        </w:tc>
        <w:tc>
          <w:tcPr>
            <w:tcW w:w="1240" w:type="dxa"/>
            <w:vAlign w:val="bottom"/>
          </w:tcPr>
          <w:p>
            <w:pPr>
              <w:ind w:left="440"/>
              <w:spacing w:after="0"/>
              <w:rPr>
                <w:sz w:val="20"/>
                <w:szCs w:val="20"/>
                <w:color w:val="auto"/>
              </w:rPr>
            </w:pPr>
            <w:r>
              <w:rPr>
                <w:rFonts w:ascii="Times New Roman" w:cs="Times New Roman" w:eastAsia="Times New Roman" w:hAnsi="Times New Roman"/>
                <w:sz w:val="13"/>
                <w:szCs w:val="13"/>
                <w:color w:val="auto"/>
              </w:rPr>
              <w:t>90.2%</w:t>
            </w:r>
          </w:p>
        </w:tc>
        <w:tc>
          <w:tcPr>
            <w:tcW w:w="20" w:type="dxa"/>
            <w:vAlign w:val="bottom"/>
            <w:shd w:val="clear" w:color="auto" w:fill="000000"/>
          </w:tcPr>
          <w:p>
            <w:pPr>
              <w:spacing w:after="0"/>
              <w:rPr>
                <w:sz w:val="19"/>
                <w:szCs w:val="19"/>
                <w:color w:val="auto"/>
              </w:rPr>
            </w:pPr>
          </w:p>
        </w:tc>
      </w:tr>
      <w:tr>
        <w:trPr>
          <w:trHeight w:val="99"/>
        </w:trPr>
        <w:tc>
          <w:tcPr>
            <w:tcW w:w="920" w:type="dxa"/>
            <w:vAlign w:val="bottom"/>
            <w:tcBorders>
              <w:left w:val="single" w:sz="8" w:color="auto"/>
              <w:bottom w:val="single" w:sz="8" w:color="auto"/>
              <w:right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340" w:type="dxa"/>
            <w:vAlign w:val="bottom"/>
            <w:tcBorders>
              <w:bottom w:val="single" w:sz="8" w:color="auto"/>
              <w:right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560" w:type="dxa"/>
            <w:vAlign w:val="bottom"/>
            <w:tcBorders>
              <w:bottom w:val="single" w:sz="8" w:color="auto"/>
              <w:right w:val="single" w:sz="8" w:color="auto"/>
            </w:tcBorders>
            <w:gridSpan w:val="2"/>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440" w:type="dxa"/>
            <w:vAlign w:val="bottom"/>
            <w:tcBorders>
              <w:bottom w:val="single" w:sz="8" w:color="auto"/>
              <w:right w:val="single" w:sz="8" w:color="auto"/>
            </w:tcBorders>
            <w:gridSpan w:val="2"/>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440" w:type="dxa"/>
            <w:vAlign w:val="bottom"/>
            <w:tcBorders>
              <w:bottom w:val="single" w:sz="8" w:color="auto"/>
            </w:tcBorders>
          </w:tcPr>
          <w:p>
            <w:pPr>
              <w:spacing w:after="0"/>
              <w:rPr>
                <w:sz w:val="8"/>
                <w:szCs w:val="8"/>
                <w:color w:val="auto"/>
              </w:rPr>
            </w:pPr>
          </w:p>
        </w:tc>
        <w:tc>
          <w:tcPr>
            <w:tcW w:w="260" w:type="dxa"/>
            <w:vAlign w:val="bottom"/>
            <w:tcBorders>
              <w:bottom w:val="single" w:sz="8" w:color="auto"/>
              <w:right w:val="single" w:sz="8" w:color="auto"/>
            </w:tcBorders>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shd w:val="clear" w:color="auto" w:fill="000000"/>
          </w:tcPr>
          <w:p>
            <w:pPr>
              <w:spacing w:after="0"/>
              <w:rPr>
                <w:sz w:val="8"/>
                <w:szCs w:val="8"/>
                <w:color w:val="auto"/>
              </w:rPr>
            </w:pPr>
          </w:p>
        </w:tc>
      </w:tr>
      <w:tr>
        <w:trPr>
          <w:trHeight w:val="228"/>
        </w:trPr>
        <w:tc>
          <w:tcPr>
            <w:tcW w:w="9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2023</w:t>
            </w:r>
          </w:p>
        </w:tc>
        <w:tc>
          <w:tcPr>
            <w:tcW w:w="100" w:type="dxa"/>
            <w:vAlign w:val="bottom"/>
          </w:tcPr>
          <w:p>
            <w:pPr>
              <w:spacing w:after="0"/>
              <w:rPr>
                <w:sz w:val="19"/>
                <w:szCs w:val="19"/>
                <w:color w:val="auto"/>
              </w:rPr>
            </w:pPr>
          </w:p>
        </w:tc>
        <w:tc>
          <w:tcPr>
            <w:tcW w:w="1340" w:type="dxa"/>
            <w:vAlign w:val="bottom"/>
            <w:tcBorders>
              <w:right w:val="single" w:sz="8" w:color="auto"/>
            </w:tcBorders>
          </w:tcPr>
          <w:p>
            <w:pPr>
              <w:jc w:val="center"/>
              <w:ind w:right="74"/>
              <w:spacing w:after="0"/>
              <w:rPr>
                <w:sz w:val="20"/>
                <w:szCs w:val="20"/>
                <w:color w:val="auto"/>
              </w:rPr>
            </w:pPr>
            <w:r>
              <w:rPr>
                <w:rFonts w:ascii="Times New Roman" w:cs="Times New Roman" w:eastAsia="Times New Roman" w:hAnsi="Times New Roman"/>
                <w:sz w:val="13"/>
                <w:szCs w:val="13"/>
                <w:color w:val="auto"/>
              </w:rPr>
              <w:t>333</w:t>
            </w:r>
          </w:p>
        </w:tc>
        <w:tc>
          <w:tcPr>
            <w:tcW w:w="140" w:type="dxa"/>
            <w:vAlign w:val="bottom"/>
          </w:tcPr>
          <w:p>
            <w:pPr>
              <w:spacing w:after="0"/>
              <w:rPr>
                <w:sz w:val="19"/>
                <w:szCs w:val="19"/>
                <w:color w:val="auto"/>
              </w:rPr>
            </w:pPr>
          </w:p>
        </w:tc>
        <w:tc>
          <w:tcPr>
            <w:tcW w:w="1560" w:type="dxa"/>
            <w:vAlign w:val="bottom"/>
            <w:tcBorders>
              <w:right w:val="single" w:sz="8" w:color="auto"/>
            </w:tcBorders>
            <w:gridSpan w:val="2"/>
          </w:tcPr>
          <w:p>
            <w:pPr>
              <w:jc w:val="center"/>
              <w:ind w:right="94"/>
              <w:spacing w:after="0"/>
              <w:rPr>
                <w:sz w:val="20"/>
                <w:szCs w:val="20"/>
                <w:color w:val="auto"/>
              </w:rPr>
            </w:pPr>
            <w:r>
              <w:rPr>
                <w:rFonts w:ascii="Times New Roman" w:cs="Times New Roman" w:eastAsia="Times New Roman" w:hAnsi="Times New Roman"/>
                <w:sz w:val="13"/>
                <w:szCs w:val="13"/>
                <w:color w:val="auto"/>
              </w:rPr>
              <w:t>267</w:t>
            </w:r>
          </w:p>
        </w:tc>
        <w:tc>
          <w:tcPr>
            <w:tcW w:w="60" w:type="dxa"/>
            <w:vAlign w:val="bottom"/>
          </w:tcPr>
          <w:p>
            <w:pPr>
              <w:spacing w:after="0"/>
              <w:rPr>
                <w:sz w:val="19"/>
                <w:szCs w:val="19"/>
                <w:color w:val="auto"/>
              </w:rPr>
            </w:pPr>
          </w:p>
        </w:tc>
        <w:tc>
          <w:tcPr>
            <w:tcW w:w="1440" w:type="dxa"/>
            <w:vAlign w:val="bottom"/>
            <w:tcBorders>
              <w:right w:val="single" w:sz="8" w:color="auto"/>
            </w:tcBorders>
            <w:gridSpan w:val="2"/>
          </w:tcPr>
          <w:p>
            <w:pPr>
              <w:jc w:val="center"/>
              <w:ind w:right="14"/>
              <w:spacing w:after="0"/>
              <w:rPr>
                <w:sz w:val="20"/>
                <w:szCs w:val="20"/>
                <w:color w:val="auto"/>
              </w:rPr>
            </w:pPr>
            <w:r>
              <w:rPr>
                <w:rFonts w:ascii="Times New Roman" w:cs="Times New Roman" w:eastAsia="Times New Roman" w:hAnsi="Times New Roman"/>
                <w:sz w:val="13"/>
                <w:szCs w:val="13"/>
                <w:color w:val="auto"/>
                <w:w w:val="91"/>
              </w:rPr>
              <w:t>39</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tcPr>
          <w:p>
            <w:pPr>
              <w:jc w:val="center"/>
              <w:ind w:right="154"/>
              <w:spacing w:after="0"/>
              <w:rPr>
                <w:sz w:val="20"/>
                <w:szCs w:val="20"/>
                <w:color w:val="auto"/>
              </w:rPr>
            </w:pPr>
            <w:r>
              <w:rPr>
                <w:rFonts w:ascii="Times New Roman" w:cs="Times New Roman" w:eastAsia="Times New Roman" w:hAnsi="Times New Roman"/>
                <w:sz w:val="13"/>
                <w:szCs w:val="13"/>
                <w:color w:val="auto"/>
                <w:w w:val="92"/>
              </w:rPr>
              <w:t>306</w:t>
            </w:r>
          </w:p>
        </w:tc>
        <w:tc>
          <w:tcPr>
            <w:tcW w:w="260" w:type="dxa"/>
            <w:vAlign w:val="bottom"/>
            <w:tcBorders>
              <w:right w:val="single" w:sz="8" w:color="auto"/>
            </w:tcBorders>
          </w:tcPr>
          <w:p>
            <w:pPr>
              <w:spacing w:after="0"/>
              <w:rPr>
                <w:sz w:val="19"/>
                <w:szCs w:val="19"/>
                <w:color w:val="auto"/>
              </w:rPr>
            </w:pPr>
          </w:p>
        </w:tc>
        <w:tc>
          <w:tcPr>
            <w:tcW w:w="1240" w:type="dxa"/>
            <w:vAlign w:val="bottom"/>
          </w:tcPr>
          <w:p>
            <w:pPr>
              <w:ind w:left="440"/>
              <w:spacing w:after="0"/>
              <w:rPr>
                <w:sz w:val="20"/>
                <w:szCs w:val="20"/>
                <w:color w:val="auto"/>
              </w:rPr>
            </w:pPr>
            <w:r>
              <w:rPr>
                <w:rFonts w:ascii="Times New Roman" w:cs="Times New Roman" w:eastAsia="Times New Roman" w:hAnsi="Times New Roman"/>
                <w:sz w:val="13"/>
                <w:szCs w:val="13"/>
                <w:color w:val="auto"/>
              </w:rPr>
              <w:t>91.9%</w:t>
            </w:r>
          </w:p>
        </w:tc>
        <w:tc>
          <w:tcPr>
            <w:tcW w:w="20" w:type="dxa"/>
            <w:vAlign w:val="bottom"/>
            <w:shd w:val="clear" w:color="auto" w:fill="000000"/>
          </w:tcPr>
          <w:p>
            <w:pPr>
              <w:spacing w:after="0"/>
              <w:rPr>
                <w:sz w:val="19"/>
                <w:szCs w:val="19"/>
                <w:color w:val="auto"/>
              </w:rPr>
            </w:pPr>
          </w:p>
        </w:tc>
      </w:tr>
      <w:tr>
        <w:trPr>
          <w:trHeight w:val="99"/>
        </w:trPr>
        <w:tc>
          <w:tcPr>
            <w:tcW w:w="920" w:type="dxa"/>
            <w:vAlign w:val="bottom"/>
            <w:tcBorders>
              <w:left w:val="single" w:sz="8" w:color="auto"/>
              <w:bottom w:val="single" w:sz="8" w:color="auto"/>
              <w:right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340" w:type="dxa"/>
            <w:vAlign w:val="bottom"/>
            <w:tcBorders>
              <w:bottom w:val="single" w:sz="8" w:color="auto"/>
              <w:right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380" w:type="dxa"/>
            <w:vAlign w:val="bottom"/>
            <w:tcBorders>
              <w:bottom w:val="single" w:sz="8" w:color="auto"/>
              <w:right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220" w:type="dxa"/>
            <w:vAlign w:val="bottom"/>
            <w:tcBorders>
              <w:bottom w:val="single" w:sz="8" w:color="auto"/>
              <w:right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440" w:type="dxa"/>
            <w:vAlign w:val="bottom"/>
            <w:tcBorders>
              <w:bottom w:val="single" w:sz="8" w:color="auto"/>
            </w:tcBorders>
          </w:tcPr>
          <w:p>
            <w:pPr>
              <w:spacing w:after="0"/>
              <w:rPr>
                <w:sz w:val="8"/>
                <w:szCs w:val="8"/>
                <w:color w:val="auto"/>
              </w:rPr>
            </w:pPr>
          </w:p>
        </w:tc>
        <w:tc>
          <w:tcPr>
            <w:tcW w:w="260" w:type="dxa"/>
            <w:vAlign w:val="bottom"/>
            <w:tcBorders>
              <w:bottom w:val="single" w:sz="8" w:color="auto"/>
              <w:right w:val="single" w:sz="8" w:color="auto"/>
            </w:tcBorders>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shd w:val="clear" w:color="auto" w:fill="000000"/>
          </w:tcPr>
          <w:p>
            <w:pPr>
              <w:spacing w:after="0"/>
              <w:rPr>
                <w:sz w:val="8"/>
                <w:szCs w:val="8"/>
                <w:color w:val="auto"/>
              </w:rPr>
            </w:pPr>
          </w:p>
        </w:tc>
      </w:tr>
    </w:tbl>
    <w:p>
      <w:pPr>
        <w:spacing w:after="0" w:line="146" w:lineRule="exact"/>
        <w:rPr>
          <w:sz w:val="20"/>
          <w:szCs w:val="20"/>
          <w:color w:val="auto"/>
        </w:rPr>
      </w:pPr>
    </w:p>
    <w:p>
      <w:pPr>
        <w:ind w:left="20" w:right="59"/>
        <w:spacing w:after="0" w:line="266" w:lineRule="auto"/>
        <w:rPr>
          <w:sz w:val="20"/>
          <w:szCs w:val="20"/>
          <w:color w:val="auto"/>
        </w:rPr>
      </w:pPr>
      <w:r>
        <w:rPr>
          <w:rFonts w:ascii="Times New Roman" w:cs="Times New Roman" w:eastAsia="Times New Roman" w:hAnsi="Times New Roman"/>
          <w:sz w:val="13"/>
          <w:szCs w:val="13"/>
          <w:color w:val="auto"/>
        </w:rPr>
        <w:t xml:space="preserve">The 341 legitimate smelters and refiners identified by Suppliers in completed CMRTs, which appear on the RMI-maintained smelters list, are listed in </w:t>
      </w:r>
      <w:r>
        <w:rPr>
          <w:rFonts w:ascii="Times New Roman" w:cs="Times New Roman" w:eastAsia="Times New Roman" w:hAnsi="Times New Roman"/>
          <w:sz w:val="13"/>
          <w:szCs w:val="13"/>
          <w:u w:val="single" w:color="auto"/>
          <w:color w:val="auto"/>
        </w:rPr>
        <w:t>Appendix A</w:t>
      </w:r>
      <w:r>
        <w:rPr>
          <w:rFonts w:ascii="Times New Roman" w:cs="Times New Roman" w:eastAsia="Times New Roman" w:hAnsi="Times New Roman"/>
          <w:sz w:val="13"/>
          <w:szCs w:val="13"/>
          <w:color w:val="auto"/>
        </w:rPr>
        <w:t>. Based on the limitations explained above, this list may be incomplete or more comprehensive than the smelters and refiners that actually processed the CMs contained in the Covered Products. The table below summarizes the number of legitimate smelters and refiners that have been audited, are in the process of being audited, or not enrolled to be audited by RMI utilizing the RMAP standard as well as audit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432435</wp:posOffset>
            </wp:positionH>
            <wp:positionV relativeFrom="paragraph">
              <wp:posOffset>90170</wp:posOffset>
            </wp:positionV>
            <wp:extent cx="3905250" cy="9055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905250" cy="905510"/>
                    </a:xfrm>
                    <a:prstGeom prst="rect">
                      <a:avLst/>
                    </a:prstGeom>
                    <a:noFill/>
                  </pic:spPr>
                </pic:pic>
              </a:graphicData>
            </a:graphic>
          </wp:anchor>
        </w:drawing>
      </w:r>
    </w:p>
    <w:p>
      <w:pPr>
        <w:spacing w:after="0" w:line="197"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3"/>
          <w:szCs w:val="13"/>
          <w:b w:val="1"/>
          <w:bCs w:val="1"/>
          <w:color w:val="auto"/>
        </w:rPr>
        <w:t>Smelter and Refiner Audit Status Results</w:t>
      </w:r>
    </w:p>
    <w:p>
      <w:pPr>
        <w:spacing w:after="0" w:line="83" w:lineRule="exact"/>
        <w:rPr>
          <w:sz w:val="20"/>
          <w:szCs w:val="20"/>
          <w:color w:val="auto"/>
        </w:rPr>
      </w:pPr>
    </w:p>
    <w:tbl>
      <w:tblPr>
        <w:tblLayout w:type="fixed"/>
        <w:tblInd w:w="690" w:type="dxa"/>
        <w:tblCellMar>
          <w:top w:w="0" w:type="dxa"/>
          <w:left w:w="0" w:type="dxa"/>
          <w:bottom w:w="0" w:type="dxa"/>
          <w:right w:w="0" w:type="dxa"/>
        </w:tblCellMar>
      </w:tblPr>
      <w:tr>
        <w:trPr>
          <w:trHeight w:val="248"/>
        </w:trPr>
        <w:tc>
          <w:tcPr>
            <w:tcW w:w="3240" w:type="dxa"/>
            <w:vAlign w:val="bottom"/>
            <w:tcBorders>
              <w:top w:val="single" w:sz="8" w:color="auto"/>
              <w:left w:val="single" w:sz="8" w:color="D9D9D9"/>
              <w:bottom w:val="single" w:sz="8" w:color="D9D9D9"/>
              <w:right w:val="single" w:sz="8" w:color="auto"/>
            </w:tcBorders>
            <w:shd w:val="clear" w:color="auto" w:fill="D9D9D9"/>
          </w:tcPr>
          <w:p>
            <w:pPr>
              <w:ind w:left="1120"/>
              <w:spacing w:after="0"/>
              <w:rPr>
                <w:sz w:val="20"/>
                <w:szCs w:val="20"/>
                <w:color w:val="auto"/>
              </w:rPr>
            </w:pPr>
            <w:r>
              <w:rPr>
                <w:rFonts w:ascii="Times New Roman" w:cs="Times New Roman" w:eastAsia="Times New Roman" w:hAnsi="Times New Roman"/>
                <w:sz w:val="13"/>
                <w:szCs w:val="13"/>
                <w:b w:val="1"/>
                <w:bCs w:val="1"/>
                <w:color w:val="auto"/>
              </w:rPr>
              <w:t>RMI Audit Status</w:t>
            </w:r>
          </w:p>
        </w:tc>
        <w:tc>
          <w:tcPr>
            <w:tcW w:w="2900" w:type="dxa"/>
            <w:vAlign w:val="bottom"/>
            <w:tcBorders>
              <w:top w:val="single" w:sz="8" w:color="auto"/>
              <w:bottom w:val="single" w:sz="8" w:color="D9D9D9"/>
            </w:tcBorders>
            <w:gridSpan w:val="3"/>
            <w:shd w:val="clear" w:color="auto" w:fill="D9D9D9"/>
          </w:tcPr>
          <w:p>
            <w:pPr>
              <w:jc w:val="right"/>
              <w:ind w:right="434"/>
              <w:spacing w:after="0"/>
              <w:rPr>
                <w:sz w:val="20"/>
                <w:szCs w:val="20"/>
                <w:color w:val="auto"/>
              </w:rPr>
            </w:pPr>
            <w:r>
              <w:rPr>
                <w:rFonts w:ascii="Times New Roman" w:cs="Times New Roman" w:eastAsia="Times New Roman" w:hAnsi="Times New Roman"/>
                <w:sz w:val="13"/>
                <w:szCs w:val="13"/>
                <w:b w:val="1"/>
                <w:bCs w:val="1"/>
                <w:color w:val="auto"/>
              </w:rPr>
              <w:t>Legitimate Smelters and Refiners</w:t>
            </w:r>
          </w:p>
        </w:tc>
        <w:tc>
          <w:tcPr>
            <w:tcW w:w="20" w:type="dxa"/>
            <w:vAlign w:val="bottom"/>
            <w:tcBorders>
              <w:top w:val="single" w:sz="8" w:color="auto"/>
            </w:tcBorders>
          </w:tcPr>
          <w:p>
            <w:pPr>
              <w:spacing w:after="0"/>
              <w:rPr>
                <w:sz w:val="21"/>
                <w:szCs w:val="21"/>
                <w:color w:val="auto"/>
              </w:rPr>
            </w:pPr>
          </w:p>
        </w:tc>
      </w:tr>
      <w:tr>
        <w:trPr>
          <w:trHeight w:val="148"/>
        </w:trPr>
        <w:tc>
          <w:tcPr>
            <w:tcW w:w="3240" w:type="dxa"/>
            <w:vAlign w:val="bottom"/>
            <w:tcBorders>
              <w:top w:val="single" w:sz="8" w:color="auto"/>
              <w:bottom w:val="single" w:sz="8" w:color="auto"/>
              <w:right w:val="single" w:sz="8" w:color="auto"/>
            </w:tcBorders>
          </w:tcPr>
          <w:p>
            <w:pPr>
              <w:ind w:left="80"/>
              <w:spacing w:after="0" w:line="149" w:lineRule="exact"/>
              <w:rPr>
                <w:sz w:val="20"/>
                <w:szCs w:val="20"/>
                <w:color w:val="auto"/>
              </w:rPr>
            </w:pPr>
            <w:r>
              <w:rPr>
                <w:rFonts w:ascii="Times New Roman" w:cs="Times New Roman" w:eastAsia="Times New Roman" w:hAnsi="Times New Roman"/>
                <w:sz w:val="13"/>
                <w:szCs w:val="13"/>
                <w:color w:val="auto"/>
              </w:rPr>
              <w:t>Conformant</w:t>
            </w:r>
          </w:p>
        </w:tc>
        <w:tc>
          <w:tcPr>
            <w:tcW w:w="1380" w:type="dxa"/>
            <w:vAlign w:val="bottom"/>
            <w:tcBorders>
              <w:top w:val="single" w:sz="8" w:color="auto"/>
              <w:bottom w:val="single" w:sz="8" w:color="auto"/>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3"/>
                <w:szCs w:val="13"/>
                <w:color w:val="auto"/>
              </w:rPr>
              <w:t>209</w:t>
            </w:r>
          </w:p>
        </w:tc>
        <w:tc>
          <w:tcPr>
            <w:tcW w:w="1520" w:type="dxa"/>
            <w:vAlign w:val="bottom"/>
            <w:tcBorders>
              <w:top w:val="single" w:sz="8" w:color="auto"/>
              <w:bottom w:val="single" w:sz="8" w:color="auto"/>
            </w:tcBorders>
            <w:gridSpan w:val="2"/>
          </w:tcPr>
          <w:p>
            <w:pPr>
              <w:jc w:val="center"/>
              <w:spacing w:after="0" w:line="149" w:lineRule="exact"/>
              <w:rPr>
                <w:sz w:val="20"/>
                <w:szCs w:val="20"/>
                <w:color w:val="auto"/>
              </w:rPr>
            </w:pPr>
            <w:r>
              <w:rPr>
                <w:rFonts w:ascii="Times New Roman" w:cs="Times New Roman" w:eastAsia="Times New Roman" w:hAnsi="Times New Roman"/>
                <w:sz w:val="13"/>
                <w:szCs w:val="13"/>
                <w:color w:val="auto"/>
              </w:rPr>
              <w:t>61.3%</w:t>
            </w:r>
          </w:p>
        </w:tc>
        <w:tc>
          <w:tcPr>
            <w:tcW w:w="20" w:type="dxa"/>
            <w:vAlign w:val="bottom"/>
            <w:tcBorders>
              <w:top w:val="single" w:sz="8" w:color="auto"/>
              <w:bottom w:val="single" w:sz="8" w:color="auto"/>
            </w:tcBorders>
          </w:tcPr>
          <w:p>
            <w:pPr>
              <w:spacing w:after="0"/>
              <w:rPr>
                <w:sz w:val="12"/>
                <w:szCs w:val="12"/>
                <w:color w:val="auto"/>
              </w:rPr>
            </w:pPr>
          </w:p>
        </w:tc>
      </w:tr>
      <w:tr>
        <w:trPr>
          <w:trHeight w:val="148"/>
        </w:trPr>
        <w:tc>
          <w:tcPr>
            <w:tcW w:w="3240" w:type="dxa"/>
            <w:vAlign w:val="bottom"/>
            <w:tcBorders>
              <w:bottom w:val="single" w:sz="8" w:color="auto"/>
              <w:right w:val="single" w:sz="8" w:color="auto"/>
            </w:tcBorders>
          </w:tcPr>
          <w:p>
            <w:pPr>
              <w:ind w:left="80"/>
              <w:spacing w:after="0" w:line="149" w:lineRule="exact"/>
              <w:rPr>
                <w:sz w:val="20"/>
                <w:szCs w:val="20"/>
                <w:color w:val="auto"/>
              </w:rPr>
            </w:pPr>
            <w:r>
              <w:rPr>
                <w:rFonts w:ascii="Times New Roman" w:cs="Times New Roman" w:eastAsia="Times New Roman" w:hAnsi="Times New Roman"/>
                <w:sz w:val="13"/>
                <w:szCs w:val="13"/>
                <w:color w:val="auto"/>
              </w:rPr>
              <w:t>Active</w:t>
            </w:r>
          </w:p>
        </w:tc>
        <w:tc>
          <w:tcPr>
            <w:tcW w:w="1380" w:type="dxa"/>
            <w:vAlign w:val="bottom"/>
            <w:tcBorders>
              <w:bottom w:val="single" w:sz="8" w:color="auto"/>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3"/>
                <w:szCs w:val="13"/>
                <w:color w:val="auto"/>
              </w:rPr>
              <w:t>9</w:t>
            </w:r>
          </w:p>
        </w:tc>
        <w:tc>
          <w:tcPr>
            <w:tcW w:w="1520" w:type="dxa"/>
            <w:vAlign w:val="bottom"/>
            <w:tcBorders>
              <w:bottom w:val="single" w:sz="8" w:color="auto"/>
            </w:tcBorders>
            <w:gridSpan w:val="2"/>
          </w:tcPr>
          <w:p>
            <w:pPr>
              <w:jc w:val="center"/>
              <w:spacing w:after="0" w:line="149" w:lineRule="exact"/>
              <w:rPr>
                <w:sz w:val="20"/>
                <w:szCs w:val="20"/>
                <w:color w:val="auto"/>
              </w:rPr>
            </w:pPr>
            <w:r>
              <w:rPr>
                <w:rFonts w:ascii="Times New Roman" w:cs="Times New Roman" w:eastAsia="Times New Roman" w:hAnsi="Times New Roman"/>
                <w:sz w:val="13"/>
                <w:szCs w:val="13"/>
                <w:color w:val="auto"/>
              </w:rPr>
              <w:t>2.6%</w:t>
            </w:r>
          </w:p>
        </w:tc>
        <w:tc>
          <w:tcPr>
            <w:tcW w:w="20" w:type="dxa"/>
            <w:vAlign w:val="bottom"/>
            <w:tcBorders>
              <w:bottom w:val="single" w:sz="8" w:color="auto"/>
            </w:tcBorders>
          </w:tcPr>
          <w:p>
            <w:pPr>
              <w:spacing w:after="0"/>
              <w:rPr>
                <w:sz w:val="12"/>
                <w:szCs w:val="12"/>
                <w:color w:val="auto"/>
              </w:rPr>
            </w:pPr>
          </w:p>
        </w:tc>
      </w:tr>
      <w:tr>
        <w:trPr>
          <w:trHeight w:val="148"/>
        </w:trPr>
        <w:tc>
          <w:tcPr>
            <w:tcW w:w="3240" w:type="dxa"/>
            <w:vAlign w:val="bottom"/>
            <w:tcBorders>
              <w:bottom w:val="single" w:sz="8" w:color="auto"/>
              <w:right w:val="single" w:sz="8" w:color="auto"/>
            </w:tcBorders>
          </w:tcPr>
          <w:p>
            <w:pPr>
              <w:ind w:left="80"/>
              <w:spacing w:after="0" w:line="149" w:lineRule="exact"/>
              <w:rPr>
                <w:sz w:val="20"/>
                <w:szCs w:val="20"/>
                <w:color w:val="auto"/>
              </w:rPr>
            </w:pPr>
            <w:r>
              <w:rPr>
                <w:rFonts w:ascii="Times New Roman" w:cs="Times New Roman" w:eastAsia="Times New Roman" w:hAnsi="Times New Roman"/>
                <w:sz w:val="13"/>
                <w:szCs w:val="13"/>
                <w:color w:val="auto"/>
              </w:rPr>
              <w:t>Non-Conformant</w:t>
            </w:r>
          </w:p>
        </w:tc>
        <w:tc>
          <w:tcPr>
            <w:tcW w:w="1380" w:type="dxa"/>
            <w:vAlign w:val="bottom"/>
            <w:tcBorders>
              <w:bottom w:val="single" w:sz="8" w:color="auto"/>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3"/>
                <w:szCs w:val="13"/>
                <w:color w:val="auto"/>
                <w:w w:val="91"/>
              </w:rPr>
              <w:t>38</w:t>
            </w:r>
          </w:p>
        </w:tc>
        <w:tc>
          <w:tcPr>
            <w:tcW w:w="1520" w:type="dxa"/>
            <w:vAlign w:val="bottom"/>
            <w:tcBorders>
              <w:bottom w:val="single" w:sz="8" w:color="auto"/>
            </w:tcBorders>
            <w:gridSpan w:val="2"/>
          </w:tcPr>
          <w:p>
            <w:pPr>
              <w:jc w:val="center"/>
              <w:spacing w:after="0" w:line="149" w:lineRule="exact"/>
              <w:rPr>
                <w:sz w:val="20"/>
                <w:szCs w:val="20"/>
                <w:color w:val="auto"/>
              </w:rPr>
            </w:pPr>
            <w:r>
              <w:rPr>
                <w:rFonts w:ascii="Times New Roman" w:cs="Times New Roman" w:eastAsia="Times New Roman" w:hAnsi="Times New Roman"/>
                <w:sz w:val="13"/>
                <w:szCs w:val="13"/>
                <w:color w:val="auto"/>
              </w:rPr>
              <w:t>11.1%</w:t>
            </w:r>
          </w:p>
        </w:tc>
        <w:tc>
          <w:tcPr>
            <w:tcW w:w="20" w:type="dxa"/>
            <w:vAlign w:val="bottom"/>
            <w:tcBorders>
              <w:bottom w:val="single" w:sz="8" w:color="auto"/>
            </w:tcBorders>
          </w:tcPr>
          <w:p>
            <w:pPr>
              <w:spacing w:after="0"/>
              <w:rPr>
                <w:sz w:val="12"/>
                <w:szCs w:val="12"/>
                <w:color w:val="auto"/>
              </w:rPr>
            </w:pPr>
          </w:p>
        </w:tc>
      </w:tr>
      <w:tr>
        <w:trPr>
          <w:trHeight w:val="148"/>
        </w:trPr>
        <w:tc>
          <w:tcPr>
            <w:tcW w:w="3240" w:type="dxa"/>
            <w:vAlign w:val="bottom"/>
            <w:tcBorders>
              <w:bottom w:val="single" w:sz="8" w:color="auto"/>
              <w:right w:val="single" w:sz="8" w:color="auto"/>
            </w:tcBorders>
          </w:tcPr>
          <w:p>
            <w:pPr>
              <w:ind w:left="80"/>
              <w:spacing w:after="0" w:line="149" w:lineRule="exact"/>
              <w:rPr>
                <w:sz w:val="20"/>
                <w:szCs w:val="20"/>
                <w:color w:val="auto"/>
              </w:rPr>
            </w:pPr>
            <w:r>
              <w:rPr>
                <w:rFonts w:ascii="Times New Roman" w:cs="Times New Roman" w:eastAsia="Times New Roman" w:hAnsi="Times New Roman"/>
                <w:sz w:val="13"/>
                <w:szCs w:val="13"/>
                <w:color w:val="auto"/>
              </w:rPr>
              <w:t>Not Enrolled (roll up of the statuses below)</w:t>
            </w:r>
          </w:p>
        </w:tc>
        <w:tc>
          <w:tcPr>
            <w:tcW w:w="1380" w:type="dxa"/>
            <w:vAlign w:val="bottom"/>
            <w:tcBorders>
              <w:bottom w:val="single" w:sz="8" w:color="auto"/>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3"/>
                <w:szCs w:val="13"/>
                <w:color w:val="auto"/>
                <w:w w:val="91"/>
              </w:rPr>
              <w:t>85</w:t>
            </w:r>
          </w:p>
        </w:tc>
        <w:tc>
          <w:tcPr>
            <w:tcW w:w="1520" w:type="dxa"/>
            <w:vAlign w:val="bottom"/>
            <w:tcBorders>
              <w:bottom w:val="single" w:sz="8" w:color="auto"/>
            </w:tcBorders>
            <w:gridSpan w:val="2"/>
          </w:tcPr>
          <w:p>
            <w:pPr>
              <w:jc w:val="center"/>
              <w:spacing w:after="0" w:line="149" w:lineRule="exact"/>
              <w:rPr>
                <w:sz w:val="20"/>
                <w:szCs w:val="20"/>
                <w:color w:val="auto"/>
              </w:rPr>
            </w:pPr>
            <w:r>
              <w:rPr>
                <w:rFonts w:ascii="Times New Roman" w:cs="Times New Roman" w:eastAsia="Times New Roman" w:hAnsi="Times New Roman"/>
                <w:sz w:val="13"/>
                <w:szCs w:val="13"/>
                <w:color w:val="auto"/>
              </w:rPr>
              <w:t>24.9%</w:t>
            </w:r>
          </w:p>
        </w:tc>
        <w:tc>
          <w:tcPr>
            <w:tcW w:w="20" w:type="dxa"/>
            <w:vAlign w:val="bottom"/>
            <w:tcBorders>
              <w:bottom w:val="single" w:sz="8" w:color="auto"/>
            </w:tcBorders>
          </w:tcPr>
          <w:p>
            <w:pPr>
              <w:spacing w:after="0"/>
              <w:rPr>
                <w:sz w:val="12"/>
                <w:szCs w:val="12"/>
                <w:color w:val="auto"/>
              </w:rPr>
            </w:pPr>
          </w:p>
        </w:tc>
      </w:tr>
      <w:tr>
        <w:trPr>
          <w:trHeight w:val="148"/>
        </w:trPr>
        <w:tc>
          <w:tcPr>
            <w:tcW w:w="3240" w:type="dxa"/>
            <w:vAlign w:val="bottom"/>
            <w:tcBorders>
              <w:bottom w:val="single" w:sz="8" w:color="auto"/>
              <w:right w:val="single" w:sz="8" w:color="auto"/>
            </w:tcBorders>
          </w:tcPr>
          <w:p>
            <w:pPr>
              <w:ind w:left="80"/>
              <w:spacing w:after="0" w:line="149" w:lineRule="exact"/>
              <w:rPr>
                <w:sz w:val="20"/>
                <w:szCs w:val="20"/>
                <w:color w:val="auto"/>
              </w:rPr>
            </w:pPr>
            <w:r>
              <w:rPr>
                <w:rFonts w:ascii="Times New Roman" w:cs="Times New Roman" w:eastAsia="Times New Roman" w:hAnsi="Times New Roman"/>
                <w:sz w:val="13"/>
                <w:szCs w:val="13"/>
                <w:b w:val="1"/>
                <w:bCs w:val="1"/>
                <w:color w:val="auto"/>
              </w:rPr>
              <w:t>Total</w:t>
            </w:r>
          </w:p>
        </w:tc>
        <w:tc>
          <w:tcPr>
            <w:tcW w:w="1380" w:type="dxa"/>
            <w:vAlign w:val="bottom"/>
            <w:tcBorders>
              <w:bottom w:val="single" w:sz="8" w:color="auto"/>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3"/>
                <w:szCs w:val="13"/>
                <w:b w:val="1"/>
                <w:bCs w:val="1"/>
                <w:color w:val="auto"/>
              </w:rPr>
              <w:t>341</w:t>
            </w:r>
          </w:p>
        </w:tc>
        <w:tc>
          <w:tcPr>
            <w:tcW w:w="1520" w:type="dxa"/>
            <w:vAlign w:val="bottom"/>
            <w:tcBorders>
              <w:bottom w:val="single" w:sz="8" w:color="auto"/>
            </w:tcBorders>
            <w:gridSpan w:val="2"/>
          </w:tcPr>
          <w:p>
            <w:pPr>
              <w:jc w:val="center"/>
              <w:spacing w:after="0" w:line="149" w:lineRule="exact"/>
              <w:rPr>
                <w:sz w:val="20"/>
                <w:szCs w:val="20"/>
                <w:color w:val="auto"/>
              </w:rPr>
            </w:pPr>
            <w:r>
              <w:rPr>
                <w:rFonts w:ascii="Times New Roman" w:cs="Times New Roman" w:eastAsia="Times New Roman" w:hAnsi="Times New Roman"/>
                <w:sz w:val="13"/>
                <w:szCs w:val="13"/>
                <w:b w:val="1"/>
                <w:bCs w:val="1"/>
                <w:color w:val="auto"/>
              </w:rPr>
              <w:t>100.00%</w:t>
            </w:r>
          </w:p>
        </w:tc>
        <w:tc>
          <w:tcPr>
            <w:tcW w:w="20" w:type="dxa"/>
            <w:vAlign w:val="bottom"/>
            <w:tcBorders>
              <w:bottom w:val="single" w:sz="8" w:color="auto"/>
            </w:tcBorders>
          </w:tcPr>
          <w:p>
            <w:pPr>
              <w:spacing w:after="0"/>
              <w:rPr>
                <w:sz w:val="12"/>
                <w:szCs w:val="12"/>
                <w:color w:val="auto"/>
              </w:rPr>
            </w:pPr>
          </w:p>
        </w:tc>
      </w:tr>
      <w:tr>
        <w:trPr>
          <w:trHeight w:val="148"/>
        </w:trPr>
        <w:tc>
          <w:tcPr>
            <w:tcW w:w="324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r>
      <w:tr>
        <w:trPr>
          <w:trHeight w:val="148"/>
        </w:trPr>
        <w:tc>
          <w:tcPr>
            <w:tcW w:w="3240" w:type="dxa"/>
            <w:vAlign w:val="bottom"/>
            <w:tcBorders>
              <w:left w:val="single" w:sz="8" w:color="auto"/>
              <w:bottom w:val="single" w:sz="8" w:color="auto"/>
              <w:right w:val="single" w:sz="8" w:color="D9D9D9"/>
            </w:tcBorders>
            <w:shd w:val="clear" w:color="auto" w:fill="D9D9D9"/>
          </w:tcPr>
          <w:p>
            <w:pPr>
              <w:ind w:left="1680"/>
              <w:spacing w:after="0" w:line="149" w:lineRule="exact"/>
              <w:rPr>
                <w:sz w:val="20"/>
                <w:szCs w:val="20"/>
                <w:color w:val="auto"/>
              </w:rPr>
            </w:pPr>
            <w:r>
              <w:rPr>
                <w:rFonts w:ascii="Times New Roman" w:cs="Times New Roman" w:eastAsia="Times New Roman" w:hAnsi="Times New Roman"/>
                <w:sz w:val="13"/>
                <w:szCs w:val="13"/>
                <w:b w:val="1"/>
                <w:bCs w:val="1"/>
                <w:color w:val="auto"/>
              </w:rPr>
              <w:t>Not Enrolled subcategories</w:t>
            </w:r>
          </w:p>
        </w:tc>
        <w:tc>
          <w:tcPr>
            <w:tcW w:w="1380" w:type="dxa"/>
            <w:vAlign w:val="bottom"/>
            <w:tcBorders>
              <w:bottom w:val="single" w:sz="8" w:color="auto"/>
              <w:right w:val="single" w:sz="8" w:color="D9D9D9"/>
            </w:tcBorders>
            <w:shd w:val="clear" w:color="auto" w:fill="D9D9D9"/>
          </w:tcPr>
          <w:p>
            <w:pPr>
              <w:spacing w:after="0"/>
              <w:rPr>
                <w:sz w:val="12"/>
                <w:szCs w:val="12"/>
                <w:color w:val="auto"/>
              </w:rPr>
            </w:pPr>
          </w:p>
        </w:tc>
        <w:tc>
          <w:tcPr>
            <w:tcW w:w="280" w:type="dxa"/>
            <w:vAlign w:val="bottom"/>
            <w:tcBorders>
              <w:bottom w:val="single" w:sz="8" w:color="auto"/>
              <w:right w:val="single" w:sz="8" w:color="auto"/>
            </w:tcBorders>
            <w:shd w:val="clear" w:color="auto" w:fill="D9D9D9"/>
          </w:tcPr>
          <w:p>
            <w:pPr>
              <w:spacing w:after="0"/>
              <w:rPr>
                <w:sz w:val="12"/>
                <w:szCs w:val="12"/>
                <w:color w:val="auto"/>
              </w:rPr>
            </w:pPr>
          </w:p>
        </w:tc>
        <w:tc>
          <w:tcPr>
            <w:tcW w:w="1240" w:type="dxa"/>
            <w:vAlign w:val="bottom"/>
            <w:tcBorders>
              <w:bottom w:val="single" w:sz="8" w:color="auto"/>
            </w:tcBorders>
            <w:shd w:val="clear" w:color="auto" w:fill="D9D9D9"/>
          </w:tcPr>
          <w:p>
            <w:pPr>
              <w:jc w:val="right"/>
              <w:ind w:right="394"/>
              <w:spacing w:after="0" w:line="149" w:lineRule="exact"/>
              <w:rPr>
                <w:sz w:val="20"/>
                <w:szCs w:val="20"/>
                <w:color w:val="auto"/>
              </w:rPr>
            </w:pPr>
            <w:r>
              <w:rPr>
                <w:rFonts w:ascii="Times New Roman" w:cs="Times New Roman" w:eastAsia="Times New Roman" w:hAnsi="Times New Roman"/>
                <w:sz w:val="13"/>
                <w:szCs w:val="13"/>
                <w:b w:val="1"/>
                <w:bCs w:val="1"/>
                <w:color w:val="auto"/>
              </w:rPr>
              <w:t>Count</w:t>
            </w:r>
          </w:p>
        </w:tc>
        <w:tc>
          <w:tcPr>
            <w:tcW w:w="20" w:type="dxa"/>
            <w:vAlign w:val="bottom"/>
            <w:tcBorders>
              <w:bottom w:val="single" w:sz="8" w:color="auto"/>
            </w:tcBorders>
            <w:shd w:val="clear" w:color="auto" w:fill="000000"/>
          </w:tcPr>
          <w:p>
            <w:pPr>
              <w:spacing w:after="0"/>
              <w:rPr>
                <w:sz w:val="12"/>
                <w:szCs w:val="12"/>
                <w:color w:val="auto"/>
              </w:rPr>
            </w:pPr>
          </w:p>
        </w:tc>
      </w:tr>
      <w:tr>
        <w:trPr>
          <w:trHeight w:val="148"/>
        </w:trPr>
        <w:tc>
          <w:tcPr>
            <w:tcW w:w="3240" w:type="dxa"/>
            <w:vAlign w:val="bottom"/>
            <w:tcBorders>
              <w:left w:val="single" w:sz="8" w:color="auto"/>
              <w:bottom w:val="single" w:sz="8" w:color="auto"/>
            </w:tcBorders>
          </w:tcPr>
          <w:p>
            <w:pPr>
              <w:ind w:left="200"/>
              <w:spacing w:after="0" w:line="149" w:lineRule="exact"/>
              <w:rPr>
                <w:sz w:val="20"/>
                <w:szCs w:val="20"/>
                <w:color w:val="auto"/>
              </w:rPr>
            </w:pPr>
            <w:r>
              <w:rPr>
                <w:rFonts w:ascii="Times New Roman" w:cs="Times New Roman" w:eastAsia="Times New Roman" w:hAnsi="Times New Roman"/>
                <w:sz w:val="13"/>
                <w:szCs w:val="13"/>
                <w:color w:val="auto"/>
              </w:rPr>
              <w:t>Communication Suspended – Not Interested</w:t>
            </w:r>
          </w:p>
        </w:tc>
        <w:tc>
          <w:tcPr>
            <w:tcW w:w="1380" w:type="dxa"/>
            <w:vAlign w:val="bottom"/>
            <w:tcBorders>
              <w:bottom w:val="single" w:sz="8" w:color="auto"/>
            </w:tcBorders>
          </w:tcPr>
          <w:p>
            <w:pPr>
              <w:spacing w:after="0"/>
              <w:rPr>
                <w:sz w:val="12"/>
                <w:szCs w:val="12"/>
                <w:color w:val="auto"/>
              </w:rPr>
            </w:pPr>
          </w:p>
        </w:tc>
        <w:tc>
          <w:tcPr>
            <w:tcW w:w="280" w:type="dxa"/>
            <w:vAlign w:val="bottom"/>
            <w:tcBorders>
              <w:bottom w:val="single" w:sz="8" w:color="auto"/>
              <w:right w:val="single" w:sz="8" w:color="auto"/>
            </w:tcBorders>
          </w:tcPr>
          <w:p>
            <w:pPr>
              <w:spacing w:after="0"/>
              <w:rPr>
                <w:sz w:val="12"/>
                <w:szCs w:val="12"/>
                <w:color w:val="auto"/>
              </w:rPr>
            </w:pPr>
          </w:p>
        </w:tc>
        <w:tc>
          <w:tcPr>
            <w:tcW w:w="12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3"/>
                <w:szCs w:val="13"/>
                <w:color w:val="auto"/>
              </w:rPr>
              <w:t>5</w:t>
            </w:r>
          </w:p>
        </w:tc>
        <w:tc>
          <w:tcPr>
            <w:tcW w:w="20" w:type="dxa"/>
            <w:vAlign w:val="bottom"/>
            <w:tcBorders>
              <w:bottom w:val="single" w:sz="8" w:color="auto"/>
            </w:tcBorders>
            <w:shd w:val="clear" w:color="auto" w:fill="000000"/>
          </w:tcPr>
          <w:p>
            <w:pPr>
              <w:spacing w:after="0"/>
              <w:rPr>
                <w:sz w:val="12"/>
                <w:szCs w:val="12"/>
                <w:color w:val="auto"/>
              </w:rPr>
            </w:pPr>
          </w:p>
        </w:tc>
      </w:tr>
      <w:tr>
        <w:trPr>
          <w:trHeight w:val="148"/>
        </w:trPr>
        <w:tc>
          <w:tcPr>
            <w:tcW w:w="3240" w:type="dxa"/>
            <w:vAlign w:val="bottom"/>
            <w:tcBorders>
              <w:left w:val="single" w:sz="8" w:color="auto"/>
              <w:bottom w:val="single" w:sz="8" w:color="auto"/>
            </w:tcBorders>
          </w:tcPr>
          <w:p>
            <w:pPr>
              <w:ind w:left="200"/>
              <w:spacing w:after="0" w:line="149" w:lineRule="exact"/>
              <w:rPr>
                <w:sz w:val="20"/>
                <w:szCs w:val="20"/>
                <w:color w:val="auto"/>
              </w:rPr>
            </w:pPr>
            <w:r>
              <w:rPr>
                <w:rFonts w:ascii="Times New Roman" w:cs="Times New Roman" w:eastAsia="Times New Roman" w:hAnsi="Times New Roman"/>
                <w:sz w:val="13"/>
                <w:szCs w:val="13"/>
                <w:color w:val="auto"/>
              </w:rPr>
              <w:t>In Communication</w:t>
            </w:r>
          </w:p>
        </w:tc>
        <w:tc>
          <w:tcPr>
            <w:tcW w:w="1380" w:type="dxa"/>
            <w:vAlign w:val="bottom"/>
            <w:tcBorders>
              <w:bottom w:val="single" w:sz="8" w:color="auto"/>
            </w:tcBorders>
          </w:tcPr>
          <w:p>
            <w:pPr>
              <w:spacing w:after="0"/>
              <w:rPr>
                <w:sz w:val="12"/>
                <w:szCs w:val="12"/>
                <w:color w:val="auto"/>
              </w:rPr>
            </w:pPr>
          </w:p>
        </w:tc>
        <w:tc>
          <w:tcPr>
            <w:tcW w:w="280" w:type="dxa"/>
            <w:vAlign w:val="bottom"/>
            <w:tcBorders>
              <w:bottom w:val="single" w:sz="8" w:color="auto"/>
              <w:right w:val="single" w:sz="8" w:color="auto"/>
            </w:tcBorders>
          </w:tcPr>
          <w:p>
            <w:pPr>
              <w:spacing w:after="0"/>
              <w:rPr>
                <w:sz w:val="12"/>
                <w:szCs w:val="12"/>
                <w:color w:val="auto"/>
              </w:rPr>
            </w:pPr>
          </w:p>
        </w:tc>
        <w:tc>
          <w:tcPr>
            <w:tcW w:w="12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3"/>
                <w:szCs w:val="13"/>
                <w:color w:val="auto"/>
              </w:rPr>
              <w:t>3</w:t>
            </w:r>
          </w:p>
        </w:tc>
        <w:tc>
          <w:tcPr>
            <w:tcW w:w="20" w:type="dxa"/>
            <w:vAlign w:val="bottom"/>
            <w:tcBorders>
              <w:bottom w:val="single" w:sz="8" w:color="auto"/>
            </w:tcBorders>
            <w:shd w:val="clear" w:color="auto" w:fill="000000"/>
          </w:tcPr>
          <w:p>
            <w:pPr>
              <w:spacing w:after="0"/>
              <w:rPr>
                <w:sz w:val="12"/>
                <w:szCs w:val="12"/>
                <w:color w:val="auto"/>
              </w:rPr>
            </w:pPr>
          </w:p>
        </w:tc>
      </w:tr>
      <w:tr>
        <w:trPr>
          <w:trHeight w:val="148"/>
        </w:trPr>
        <w:tc>
          <w:tcPr>
            <w:tcW w:w="3240" w:type="dxa"/>
            <w:vAlign w:val="bottom"/>
            <w:tcBorders>
              <w:left w:val="single" w:sz="8" w:color="auto"/>
              <w:bottom w:val="single" w:sz="8" w:color="auto"/>
            </w:tcBorders>
          </w:tcPr>
          <w:p>
            <w:pPr>
              <w:ind w:left="200"/>
              <w:spacing w:after="0" w:line="149" w:lineRule="exact"/>
              <w:rPr>
                <w:sz w:val="20"/>
                <w:szCs w:val="20"/>
                <w:color w:val="auto"/>
              </w:rPr>
            </w:pPr>
            <w:r>
              <w:rPr>
                <w:rFonts w:ascii="Times New Roman" w:cs="Times New Roman" w:eastAsia="Times New Roman" w:hAnsi="Times New Roman"/>
                <w:sz w:val="13"/>
                <w:szCs w:val="13"/>
                <w:color w:val="auto"/>
              </w:rPr>
              <w:t>Outreach Required</w:t>
            </w:r>
          </w:p>
        </w:tc>
        <w:tc>
          <w:tcPr>
            <w:tcW w:w="1380" w:type="dxa"/>
            <w:vAlign w:val="bottom"/>
            <w:tcBorders>
              <w:bottom w:val="single" w:sz="8" w:color="auto"/>
            </w:tcBorders>
          </w:tcPr>
          <w:p>
            <w:pPr>
              <w:spacing w:after="0"/>
              <w:rPr>
                <w:sz w:val="12"/>
                <w:szCs w:val="12"/>
                <w:color w:val="auto"/>
              </w:rPr>
            </w:pPr>
          </w:p>
        </w:tc>
        <w:tc>
          <w:tcPr>
            <w:tcW w:w="280" w:type="dxa"/>
            <w:vAlign w:val="bottom"/>
            <w:tcBorders>
              <w:bottom w:val="single" w:sz="8" w:color="auto"/>
              <w:right w:val="single" w:sz="8" w:color="auto"/>
            </w:tcBorders>
          </w:tcPr>
          <w:p>
            <w:pPr>
              <w:spacing w:after="0"/>
              <w:rPr>
                <w:sz w:val="12"/>
                <w:szCs w:val="12"/>
                <w:color w:val="auto"/>
              </w:rPr>
            </w:pPr>
          </w:p>
        </w:tc>
        <w:tc>
          <w:tcPr>
            <w:tcW w:w="1240" w:type="dxa"/>
            <w:vAlign w:val="bottom"/>
            <w:tcBorders>
              <w:bottom w:val="single" w:sz="8" w:color="auto"/>
            </w:tcBorders>
          </w:tcPr>
          <w:p>
            <w:pPr>
              <w:jc w:val="right"/>
              <w:ind w:right="14"/>
              <w:spacing w:after="0" w:line="149" w:lineRule="exact"/>
              <w:rPr>
                <w:sz w:val="20"/>
                <w:szCs w:val="20"/>
                <w:color w:val="auto"/>
              </w:rPr>
            </w:pPr>
            <w:r>
              <w:rPr>
                <w:rFonts w:ascii="Times New Roman" w:cs="Times New Roman" w:eastAsia="Times New Roman" w:hAnsi="Times New Roman"/>
                <w:sz w:val="13"/>
                <w:szCs w:val="13"/>
                <w:color w:val="auto"/>
              </w:rPr>
              <w:t>58</w:t>
            </w:r>
          </w:p>
        </w:tc>
        <w:tc>
          <w:tcPr>
            <w:tcW w:w="20" w:type="dxa"/>
            <w:vAlign w:val="bottom"/>
            <w:tcBorders>
              <w:bottom w:val="single" w:sz="8" w:color="auto"/>
            </w:tcBorders>
            <w:shd w:val="clear" w:color="auto" w:fill="000000"/>
          </w:tcPr>
          <w:p>
            <w:pPr>
              <w:spacing w:after="0"/>
              <w:rPr>
                <w:sz w:val="12"/>
                <w:szCs w:val="12"/>
                <w:color w:val="auto"/>
              </w:rPr>
            </w:pPr>
          </w:p>
        </w:tc>
      </w:tr>
      <w:tr>
        <w:trPr>
          <w:trHeight w:val="148"/>
        </w:trPr>
        <w:tc>
          <w:tcPr>
            <w:tcW w:w="3240" w:type="dxa"/>
            <w:vAlign w:val="bottom"/>
            <w:tcBorders>
              <w:left w:val="single" w:sz="8" w:color="auto"/>
              <w:bottom w:val="single" w:sz="8" w:color="auto"/>
            </w:tcBorders>
          </w:tcPr>
          <w:p>
            <w:pPr>
              <w:ind w:left="200"/>
              <w:spacing w:after="0" w:line="149" w:lineRule="exact"/>
              <w:rPr>
                <w:sz w:val="20"/>
                <w:szCs w:val="20"/>
                <w:color w:val="auto"/>
              </w:rPr>
            </w:pPr>
            <w:r>
              <w:rPr>
                <w:rFonts w:ascii="Times New Roman" w:cs="Times New Roman" w:eastAsia="Times New Roman" w:hAnsi="Times New Roman"/>
                <w:sz w:val="13"/>
                <w:szCs w:val="13"/>
                <w:color w:val="auto"/>
              </w:rPr>
              <w:t>RMI Due Diligence Review – Unable to Proceed</w:t>
            </w:r>
          </w:p>
        </w:tc>
        <w:tc>
          <w:tcPr>
            <w:tcW w:w="1380" w:type="dxa"/>
            <w:vAlign w:val="bottom"/>
            <w:tcBorders>
              <w:bottom w:val="single" w:sz="8" w:color="auto"/>
            </w:tcBorders>
          </w:tcPr>
          <w:p>
            <w:pPr>
              <w:spacing w:after="0"/>
              <w:rPr>
                <w:sz w:val="12"/>
                <w:szCs w:val="12"/>
                <w:color w:val="auto"/>
              </w:rPr>
            </w:pPr>
          </w:p>
        </w:tc>
        <w:tc>
          <w:tcPr>
            <w:tcW w:w="280" w:type="dxa"/>
            <w:vAlign w:val="bottom"/>
            <w:tcBorders>
              <w:bottom w:val="single" w:sz="8" w:color="auto"/>
              <w:right w:val="single" w:sz="8" w:color="auto"/>
            </w:tcBorders>
          </w:tcPr>
          <w:p>
            <w:pPr>
              <w:spacing w:after="0"/>
              <w:rPr>
                <w:sz w:val="12"/>
                <w:szCs w:val="12"/>
                <w:color w:val="auto"/>
              </w:rPr>
            </w:pPr>
          </w:p>
        </w:tc>
        <w:tc>
          <w:tcPr>
            <w:tcW w:w="1240" w:type="dxa"/>
            <w:vAlign w:val="bottom"/>
            <w:tcBorders>
              <w:bottom w:val="single" w:sz="8" w:color="auto"/>
            </w:tcBorders>
          </w:tcPr>
          <w:p>
            <w:pPr>
              <w:jc w:val="right"/>
              <w:ind w:right="14"/>
              <w:spacing w:after="0" w:line="149" w:lineRule="exact"/>
              <w:rPr>
                <w:sz w:val="20"/>
                <w:szCs w:val="20"/>
                <w:color w:val="auto"/>
              </w:rPr>
            </w:pPr>
            <w:r>
              <w:rPr>
                <w:rFonts w:ascii="Times New Roman" w:cs="Times New Roman" w:eastAsia="Times New Roman" w:hAnsi="Times New Roman"/>
                <w:sz w:val="13"/>
                <w:szCs w:val="13"/>
                <w:color w:val="auto"/>
              </w:rPr>
              <w:t>19</w:t>
            </w:r>
          </w:p>
        </w:tc>
        <w:tc>
          <w:tcPr>
            <w:tcW w:w="20" w:type="dxa"/>
            <w:vAlign w:val="bottom"/>
            <w:tcBorders>
              <w:bottom w:val="single" w:sz="8" w:color="auto"/>
            </w:tcBorders>
            <w:shd w:val="clear" w:color="auto" w:fill="000000"/>
          </w:tcPr>
          <w:p>
            <w:pPr>
              <w:spacing w:after="0"/>
              <w:rPr>
                <w:sz w:val="12"/>
                <w:szCs w:val="12"/>
                <w:color w:val="auto"/>
              </w:rPr>
            </w:pPr>
          </w:p>
        </w:tc>
      </w:tr>
    </w:tbl>
    <w:p>
      <w:pPr>
        <w:spacing w:after="0" w:line="1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The compliance status information provided in the table above is based solely on information made available by RMI, without independent verification by the Company.</w:t>
      </w:r>
    </w:p>
    <w:p>
      <w:pPr>
        <w:spacing w:after="0" w:line="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Following are definitions of certain terms used in the chart: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257175</wp:posOffset>
            </wp:positionV>
            <wp:extent cx="5684520" cy="19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84520" cy="19050"/>
                    </a:xfrm>
                    <a:prstGeom prst="rect">
                      <a:avLst/>
                    </a:prstGeom>
                    <a:noFill/>
                  </pic:spPr>
                </pic:pic>
              </a:graphicData>
            </a:graphic>
          </wp:anchor>
        </w:drawing>
      </w:r>
    </w:p>
    <w:p>
      <w:pPr>
        <w:sectPr>
          <w:pgSz w:w="11900" w:h="16838" w:orient="portrait"/>
          <w:cols w:equalWidth="0" w:num="1">
            <w:col w:w="9019"/>
          </w:cols>
          <w:pgMar w:left="1440" w:top="761" w:right="1440" w:bottom="1440" w:gutter="0" w:footer="0" w:header="0"/>
        </w:sectPr>
      </w:pPr>
    </w:p>
    <w:bookmarkStart w:id="10" w:name="page11"/>
    <w:bookmarkEnd w:id="10"/>
    <w:p>
      <w:pPr>
        <w:ind w:left="500" w:right="319" w:hanging="235"/>
        <w:spacing w:after="0" w:line="264" w:lineRule="auto"/>
        <w:tabs>
          <w:tab w:leader="none" w:pos="500"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“Conformant” means that the smelter or refiner has completed the independent annual audit process and been found to be in conformance with the relevant RMAP standard, whereby verified to have conflict-free sources.</w:t>
      </w:r>
    </w:p>
    <w:p>
      <w:pPr>
        <w:spacing w:after="0" w:line="1" w:lineRule="exact"/>
        <w:rPr>
          <w:rFonts w:ascii="Times New Roman" w:cs="Times New Roman" w:eastAsia="Times New Roman" w:hAnsi="Times New Roman"/>
          <w:sz w:val="13"/>
          <w:szCs w:val="13"/>
          <w:color w:val="auto"/>
        </w:rPr>
      </w:pPr>
    </w:p>
    <w:p>
      <w:pPr>
        <w:ind w:left="500" w:right="339" w:hanging="235"/>
        <w:spacing w:after="0" w:line="254" w:lineRule="auto"/>
        <w:tabs>
          <w:tab w:leader="none" w:pos="500"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“Active” means that the smelter or refiner is in the process of being independently audited or has committed to begin the audit process but has not yet been determined to be in conformance with the relevant RMAP standard.</w:t>
      </w:r>
    </w:p>
    <w:p>
      <w:pPr>
        <w:ind w:left="500" w:hanging="235"/>
        <w:spacing w:after="0"/>
        <w:tabs>
          <w:tab w:leader="none" w:pos="500"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“Non-Conformant” means that the smelter or refiner has been independently assessed but found not to be in conformance with the relevant RMAP standard.</w:t>
      </w:r>
    </w:p>
    <w:p>
      <w:pPr>
        <w:spacing w:after="0" w:line="8" w:lineRule="exact"/>
        <w:rPr>
          <w:rFonts w:ascii="Times New Roman" w:cs="Times New Roman" w:eastAsia="Times New Roman" w:hAnsi="Times New Roman"/>
          <w:sz w:val="13"/>
          <w:szCs w:val="13"/>
          <w:color w:val="auto"/>
        </w:rPr>
      </w:pPr>
    </w:p>
    <w:p>
      <w:pPr>
        <w:ind w:left="500" w:hanging="235"/>
        <w:spacing w:after="0"/>
        <w:tabs>
          <w:tab w:leader="none" w:pos="500"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“Communication Suspended – Not Interested” means the smelter or refiner has strongly communicated a lack of interest in participating in the audit program.</w:t>
      </w:r>
    </w:p>
    <w:p>
      <w:pPr>
        <w:spacing w:after="0" w:line="8" w:lineRule="exact"/>
        <w:rPr>
          <w:rFonts w:ascii="Times New Roman" w:cs="Times New Roman" w:eastAsia="Times New Roman" w:hAnsi="Times New Roman"/>
          <w:sz w:val="13"/>
          <w:szCs w:val="13"/>
          <w:color w:val="auto"/>
        </w:rPr>
      </w:pPr>
    </w:p>
    <w:p>
      <w:pPr>
        <w:ind w:left="500" w:right="279" w:hanging="235"/>
        <w:spacing w:after="0" w:line="254" w:lineRule="auto"/>
        <w:tabs>
          <w:tab w:leader="none" w:pos="500"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“Due Diligence Vetting Process” means the smelter or refiner does not meet RMI’s requirements for participation in the audit program according to the Due Diligence Vetting Process.</w:t>
      </w:r>
    </w:p>
    <w:p>
      <w:pPr>
        <w:ind w:left="500" w:hanging="235"/>
        <w:spacing w:after="0"/>
        <w:tabs>
          <w:tab w:leader="none" w:pos="500"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Communication” means the smelter or refiner is not yet active but is in communications with RMAP and/or a member company.</w:t>
      </w:r>
    </w:p>
    <w:p>
      <w:pPr>
        <w:spacing w:after="0" w:line="8" w:lineRule="exact"/>
        <w:rPr>
          <w:rFonts w:ascii="Times New Roman" w:cs="Times New Roman" w:eastAsia="Times New Roman" w:hAnsi="Times New Roman"/>
          <w:sz w:val="13"/>
          <w:szCs w:val="13"/>
          <w:color w:val="auto"/>
        </w:rPr>
      </w:pPr>
    </w:p>
    <w:p>
      <w:pPr>
        <w:ind w:left="500" w:hanging="235"/>
        <w:spacing w:after="0"/>
        <w:tabs>
          <w:tab w:leader="none" w:pos="500"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“Outreach Required” means RMI member companies need to contact entity to encourage their participation in audit program.</w:t>
      </w:r>
    </w:p>
    <w:p>
      <w:pPr>
        <w:spacing w:after="0" w:line="8" w:lineRule="exact"/>
        <w:rPr>
          <w:rFonts w:ascii="Times New Roman" w:cs="Times New Roman" w:eastAsia="Times New Roman" w:hAnsi="Times New Roman"/>
          <w:sz w:val="13"/>
          <w:szCs w:val="13"/>
          <w:color w:val="auto"/>
        </w:rPr>
      </w:pPr>
    </w:p>
    <w:p>
      <w:pPr>
        <w:ind w:left="500" w:right="119" w:hanging="235"/>
        <w:spacing w:after="0" w:line="268" w:lineRule="auto"/>
        <w:tabs>
          <w:tab w:leader="none" w:pos="500"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“RMI Due Diligence Review – Unable to Proceed” means the smelter or refiner has not met the thresholds for the Due Diligence Vetting Process after a period of 6 months. Status may change if additional information is submitted.</w:t>
      </w:r>
    </w:p>
    <w:p>
      <w:pPr>
        <w:spacing w:after="0" w:line="128" w:lineRule="exact"/>
        <w:rPr>
          <w:sz w:val="20"/>
          <w:szCs w:val="20"/>
          <w:color w:val="auto"/>
        </w:rPr>
      </w:pPr>
    </w:p>
    <w:p>
      <w:pPr>
        <w:ind w:left="20" w:right="139"/>
        <w:spacing w:after="0" w:line="272" w:lineRule="auto"/>
        <w:rPr>
          <w:sz w:val="20"/>
          <w:szCs w:val="20"/>
          <w:color w:val="auto"/>
        </w:rPr>
      </w:pPr>
      <w:r>
        <w:rPr>
          <w:rFonts w:ascii="Times New Roman" w:cs="Times New Roman" w:eastAsia="Times New Roman" w:hAnsi="Times New Roman"/>
          <w:sz w:val="13"/>
          <w:szCs w:val="13"/>
          <w:color w:val="auto"/>
        </w:rPr>
        <w:t xml:space="preserve">The aggregated list of countries of origin from which the reported smelters and refiners may have collectively sourced CMs, based on information provided through the CMRT data collection process and RMAP audits, is provided in </w:t>
      </w:r>
      <w:r>
        <w:rPr>
          <w:rFonts w:ascii="Times New Roman" w:cs="Times New Roman" w:eastAsia="Times New Roman" w:hAnsi="Times New Roman"/>
          <w:sz w:val="13"/>
          <w:szCs w:val="13"/>
          <w:u w:val="single" w:color="auto"/>
          <w:color w:val="auto"/>
        </w:rPr>
        <w:t>Appendix B</w:t>
      </w:r>
      <w:r>
        <w:rPr>
          <w:rFonts w:ascii="Times New Roman" w:cs="Times New Roman" w:eastAsia="Times New Roman" w:hAnsi="Times New Roman"/>
          <w:sz w:val="13"/>
          <w:szCs w:val="13"/>
          <w:color w:val="auto"/>
        </w:rPr>
        <w:t>. Based on the limitations explained above, this list may be incomplete or more comprehensive than the list of countries from which CMs contained in the Covered Products were actually sourced.</w:t>
      </w:r>
    </w:p>
    <w:p>
      <w:pPr>
        <w:spacing w:after="0" w:line="126" w:lineRule="exact"/>
        <w:rPr>
          <w:sz w:val="20"/>
          <w:szCs w:val="20"/>
          <w:color w:val="auto"/>
        </w:rPr>
      </w:pPr>
    </w:p>
    <w:p>
      <w:pPr>
        <w:ind w:left="20" w:right="159"/>
        <w:spacing w:after="0" w:line="289" w:lineRule="auto"/>
        <w:rPr>
          <w:sz w:val="20"/>
          <w:szCs w:val="20"/>
          <w:color w:val="auto"/>
        </w:rPr>
      </w:pPr>
      <w:r>
        <w:rPr>
          <w:rFonts w:ascii="Times New Roman" w:cs="Times New Roman" w:eastAsia="Times New Roman" w:hAnsi="Times New Roman"/>
          <w:sz w:val="13"/>
          <w:szCs w:val="13"/>
          <w:color w:val="auto"/>
        </w:rPr>
        <w:t>After conducting its 2025 Program, and in light of the limitations explained above, Avnet concludes that it is unable to determine the origin of the CMs contained in its Covered Products and unable to determine whether its Covered Products are DRC conflict free.</w:t>
      </w:r>
    </w:p>
    <w:p>
      <w:pPr>
        <w:spacing w:after="0" w:line="1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Steps to be taken in Calendar 2026</w:t>
      </w:r>
    </w:p>
    <w:p>
      <w:pPr>
        <w:spacing w:after="0" w:line="169" w:lineRule="exact"/>
        <w:rPr>
          <w:sz w:val="20"/>
          <w:szCs w:val="20"/>
          <w:color w:val="auto"/>
        </w:rPr>
      </w:pPr>
    </w:p>
    <w:p>
      <w:pPr>
        <w:ind w:left="20" w:right="179"/>
        <w:spacing w:after="0" w:line="272" w:lineRule="auto"/>
        <w:rPr>
          <w:sz w:val="20"/>
          <w:szCs w:val="20"/>
          <w:color w:val="auto"/>
        </w:rPr>
      </w:pPr>
      <w:r>
        <w:rPr>
          <w:rFonts w:ascii="Times New Roman" w:cs="Times New Roman" w:eastAsia="Times New Roman" w:hAnsi="Times New Roman"/>
          <w:sz w:val="13"/>
          <w:szCs w:val="13"/>
          <w:color w:val="auto"/>
        </w:rPr>
        <w:t>As Avnet endeavors not to purchase products that contain CMs that directly or indirectly finance or benefit armed groups in the Covered Countries, and to mitigate the risk of purchasing such products, it has continued with its Conflict Minerals Program discussed above during calendar year 2025 and specifically plans to pursue the following steps and improvements:</w:t>
      </w:r>
    </w:p>
    <w:p>
      <w:pPr>
        <w:spacing w:after="0" w:line="126" w:lineRule="exact"/>
        <w:rPr>
          <w:sz w:val="20"/>
          <w:szCs w:val="20"/>
          <w:color w:val="auto"/>
        </w:rPr>
      </w:pPr>
    </w:p>
    <w:p>
      <w:pPr>
        <w:ind w:left="500" w:right="239" w:hanging="235"/>
        <w:spacing w:after="0" w:line="264" w:lineRule="auto"/>
        <w:tabs>
          <w:tab w:leader="none" w:pos="500"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Continue to engage with Suppliers that provided incomplete responses or no responses for 2025 to help encourage them to provide requested information for 2026.</w:t>
      </w:r>
    </w:p>
    <w:p>
      <w:pPr>
        <w:spacing w:after="0" w:line="1" w:lineRule="exact"/>
        <w:rPr>
          <w:rFonts w:ascii="Times New Roman" w:cs="Times New Roman" w:eastAsia="Times New Roman" w:hAnsi="Times New Roman"/>
          <w:sz w:val="13"/>
          <w:szCs w:val="13"/>
          <w:color w:val="auto"/>
        </w:rPr>
      </w:pPr>
    </w:p>
    <w:p>
      <w:pPr>
        <w:ind w:left="500" w:right="219" w:hanging="235"/>
        <w:spacing w:after="0" w:line="254" w:lineRule="auto"/>
        <w:tabs>
          <w:tab w:leader="none" w:pos="500"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Continue to encourage suppliers to improve their efforts and policies, particular with suppliers whose conflict minerals compliance programs and policies are deemed weak.</w:t>
      </w:r>
    </w:p>
    <w:p>
      <w:pPr>
        <w:jc w:val="both"/>
        <w:ind w:left="500" w:right="179" w:hanging="235"/>
        <w:spacing w:after="0" w:line="254" w:lineRule="auto"/>
        <w:tabs>
          <w:tab w:leader="none" w:pos="500"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new in-scope suppliers: (i) communicate Avnet’s sourcing expectations, including through the dissemination of the Responsible Minerals Sourcing Policy and Global Supplier Quality Handbook and inclusion of CM sourcing requirements in supplier agreements; and (ii) provide access to training and educational resources on the requirements of the Conflict Minerals Rule and to guide them on best practices, completion of a CMRT and the use of the ASM platform.</w:t>
      </w:r>
    </w:p>
    <w:p>
      <w:pPr>
        <w:ind w:left="500" w:right="119" w:hanging="235"/>
        <w:spacing w:after="0" w:line="254" w:lineRule="auto"/>
        <w:tabs>
          <w:tab w:leader="none" w:pos="500"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Proactively analyze whether any CMs are present in future products that it develops or in existing products to the extent the materials included in such existing products are revised.</w:t>
      </w:r>
    </w:p>
    <w:p>
      <w:pPr>
        <w:ind w:left="500" w:hanging="235"/>
        <w:spacing w:after="0"/>
        <w:tabs>
          <w:tab w:leader="none" w:pos="500"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Proactively seek to include CM related provisions in new or amended supplier agreements with respect to the Covered Products.</w:t>
      </w:r>
    </w:p>
    <w:p>
      <w:pPr>
        <w:spacing w:after="0" w:line="8" w:lineRule="exact"/>
        <w:rPr>
          <w:rFonts w:ascii="Times New Roman" w:cs="Times New Roman" w:eastAsia="Times New Roman" w:hAnsi="Times New Roman"/>
          <w:sz w:val="13"/>
          <w:szCs w:val="13"/>
          <w:color w:val="auto"/>
        </w:rPr>
      </w:pPr>
    </w:p>
    <w:p>
      <w:pPr>
        <w:ind w:left="500" w:hanging="235"/>
        <w:spacing w:after="0"/>
        <w:tabs>
          <w:tab w:leader="none" w:pos="500"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Continue to monitor its Ethics Alertline for issues related to the Company’s conflict minerals program.</w:t>
      </w:r>
    </w:p>
    <w:p>
      <w:pPr>
        <w:spacing w:after="0" w:line="1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Cautionary Statement about Forward-Looking Statements</w:t>
      </w:r>
    </w:p>
    <w:p>
      <w:pPr>
        <w:spacing w:after="0" w:line="169" w:lineRule="exact"/>
        <w:rPr>
          <w:sz w:val="20"/>
          <w:szCs w:val="20"/>
          <w:color w:val="auto"/>
        </w:rPr>
      </w:pPr>
    </w:p>
    <w:p>
      <w:pPr>
        <w:ind w:left="20" w:right="39"/>
        <w:spacing w:after="0" w:line="272" w:lineRule="auto"/>
        <w:rPr>
          <w:sz w:val="20"/>
          <w:szCs w:val="20"/>
          <w:color w:val="auto"/>
        </w:rPr>
      </w:pPr>
      <w:r>
        <w:rPr>
          <w:rFonts w:ascii="Times New Roman" w:cs="Times New Roman" w:eastAsia="Times New Roman" w:hAnsi="Times New Roman"/>
          <w:sz w:val="13"/>
          <w:szCs w:val="13"/>
          <w:color w:val="auto"/>
        </w:rPr>
        <w:t>Certain statements in this Report may be “forward-looking statements” within the meaning of Section 27A of the Securities Act of 1933, as amended, and Section 21E of the Securities Exchange Act of 1934, as amended. Words such as “expects,” “intends,” “plans,” “believes,” “anticipates” and similar expressions, or the use of future tense, are used to identify these forward-looking statements. Examples of forward-looking statements include statements relating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238760</wp:posOffset>
            </wp:positionV>
            <wp:extent cx="5684520" cy="19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84520" cy="19050"/>
                    </a:xfrm>
                    <a:prstGeom prst="rect">
                      <a:avLst/>
                    </a:prstGeom>
                    <a:noFill/>
                  </pic:spPr>
                </pic:pic>
              </a:graphicData>
            </a:graphic>
          </wp:anchor>
        </w:drawing>
      </w:r>
    </w:p>
    <w:p>
      <w:pPr>
        <w:sectPr>
          <w:pgSz w:w="11900" w:h="16838" w:orient="portrait"/>
          <w:cols w:equalWidth="0" w:num="1">
            <w:col w:w="9019"/>
          </w:cols>
          <w:pgMar w:left="1440" w:top="761" w:right="1440" w:bottom="1440" w:gutter="0" w:footer="0" w:header="0"/>
        </w:sectPr>
      </w:pPr>
    </w:p>
    <w:bookmarkStart w:id="11" w:name="page12"/>
    <w:bookmarkEnd w:id="11"/>
    <w:p>
      <w:pPr>
        <w:ind w:left="20" w:right="99"/>
        <w:spacing w:after="0" w:line="289" w:lineRule="auto"/>
        <w:rPr>
          <w:sz w:val="20"/>
          <w:szCs w:val="20"/>
          <w:color w:val="auto"/>
        </w:rPr>
      </w:pPr>
      <w:r>
        <w:rPr>
          <w:rFonts w:ascii="Times New Roman" w:cs="Times New Roman" w:eastAsia="Times New Roman" w:hAnsi="Times New Roman"/>
          <w:sz w:val="13"/>
          <w:szCs w:val="13"/>
          <w:color w:val="auto"/>
        </w:rPr>
        <w:t>Company’s future plans, additional steps it intends to take to mitigate the risk that the Company’s necessary CMs benefit armed groups, and other statements that do not relate to historical or current facts.</w:t>
      </w:r>
    </w:p>
    <w:p>
      <w:pPr>
        <w:spacing w:after="0" w:line="115" w:lineRule="exact"/>
        <w:rPr>
          <w:sz w:val="20"/>
          <w:szCs w:val="20"/>
          <w:color w:val="auto"/>
        </w:rPr>
      </w:pPr>
    </w:p>
    <w:p>
      <w:pPr>
        <w:ind w:left="20" w:right="59"/>
        <w:spacing w:after="0" w:line="261" w:lineRule="auto"/>
        <w:rPr>
          <w:sz w:val="20"/>
          <w:szCs w:val="20"/>
          <w:color w:val="auto"/>
        </w:rPr>
      </w:pPr>
      <w:r>
        <w:rPr>
          <w:rFonts w:ascii="Times New Roman" w:cs="Times New Roman" w:eastAsia="Times New Roman" w:hAnsi="Times New Roman"/>
          <w:sz w:val="13"/>
          <w:szCs w:val="13"/>
          <w:color w:val="auto"/>
        </w:rPr>
        <w:t>Forward-looking statements are based on the Company’s current expectations and assumptions, which may not prove to be accurate. These statements are not guarantees and are subject to risks, uncertainties and changes in circumstances that are difficult to predict, including: (1) the continued implementation of satisfactory traceability and other compliance measures by Avnet’s direct and indirect suppliers on a timely basis or at all, (2) whether smelters, refiners, and other market participants responsibly source CMs, and (3) political and regulatory developments regarding CMs. Actual outcomes and results may differ materially from these forward-looking statements. As a result, these statements speak only as of the date they are made and the Company undertakes no obligation to update or revise any forward-looking statement, except as required by federal securities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344805</wp:posOffset>
            </wp:positionV>
            <wp:extent cx="5684520" cy="19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84520" cy="19050"/>
                    </a:xfrm>
                    <a:prstGeom prst="rect">
                      <a:avLst/>
                    </a:prstGeom>
                    <a:noFill/>
                  </pic:spPr>
                </pic:pic>
              </a:graphicData>
            </a:graphic>
          </wp:anchor>
        </w:drawing>
      </w:r>
    </w:p>
    <w:p>
      <w:pPr>
        <w:sectPr>
          <w:pgSz w:w="11900" w:h="16838" w:orient="portrait"/>
          <w:cols w:equalWidth="0" w:num="1">
            <w:col w:w="9019"/>
          </w:cols>
          <w:pgMar w:left="1440" w:top="761" w:right="1440"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3"/>
          <w:szCs w:val="13"/>
          <w:b w:val="1"/>
          <w:bCs w:val="1"/>
          <w:u w:val="single" w:color="auto"/>
          <w:color w:val="auto"/>
        </w:rPr>
        <w:t>APPENDIX A</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List of Smelters and Refiners</w:t>
      </w:r>
    </w:p>
    <w:p>
      <w:pPr>
        <w:spacing w:after="0" w:line="169" w:lineRule="exact"/>
        <w:rPr>
          <w:sz w:val="20"/>
          <w:szCs w:val="20"/>
          <w:color w:val="auto"/>
        </w:rPr>
      </w:pPr>
    </w:p>
    <w:p>
      <w:pPr>
        <w:jc w:val="both"/>
        <w:ind w:left="120" w:right="140"/>
        <w:spacing w:after="0" w:line="272" w:lineRule="auto"/>
        <w:rPr>
          <w:sz w:val="20"/>
          <w:szCs w:val="20"/>
          <w:color w:val="auto"/>
        </w:rPr>
      </w:pPr>
      <w:r>
        <w:rPr>
          <w:rFonts w:ascii="Times New Roman" w:cs="Times New Roman" w:eastAsia="Times New Roman" w:hAnsi="Times New Roman"/>
          <w:sz w:val="13"/>
          <w:szCs w:val="13"/>
          <w:color w:val="auto"/>
        </w:rPr>
        <w:t>Avnet used data its Suppliers provided on their CMRTs for the 2025 Program along with RBA’s RMI due diligence of smelters and refiners to prepare the below list. The list (1) may not include all smelters and refiners that processed CMs in the Covered Products, and (2) may include smelters and refiners that processed CMs which were not contained in the products provided by the Suppliers for the Covered Products.</w:t>
      </w:r>
    </w:p>
    <w:p>
      <w:pPr>
        <w:spacing w:after="0" w:line="12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3"/>
          <w:szCs w:val="13"/>
          <w:color w:val="auto"/>
        </w:rPr>
        <w:t>For RMI Audit Status:</w:t>
      </w:r>
    </w:p>
    <w:p>
      <w:pPr>
        <w:spacing w:after="0" w:line="167" w:lineRule="exact"/>
        <w:rPr>
          <w:sz w:val="20"/>
          <w:szCs w:val="20"/>
          <w:color w:val="auto"/>
        </w:rPr>
      </w:pPr>
    </w:p>
    <w:p>
      <w:pPr>
        <w:ind w:left="360" w:hanging="232"/>
        <w:spacing w:after="0"/>
        <w:tabs>
          <w:tab w:leader="none" w:pos="360"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Active – engaged in the program with a scheduled or in-progress RMI assessment but not yet conformant</w:t>
      </w:r>
    </w:p>
    <w:p>
      <w:pPr>
        <w:spacing w:after="0" w:line="22" w:lineRule="exact"/>
        <w:rPr>
          <w:rFonts w:ascii="Times New Roman" w:cs="Times New Roman" w:eastAsia="Times New Roman" w:hAnsi="Times New Roman"/>
          <w:sz w:val="13"/>
          <w:szCs w:val="13"/>
          <w:color w:val="auto"/>
        </w:rPr>
      </w:pPr>
    </w:p>
    <w:p>
      <w:pPr>
        <w:ind w:left="360" w:hanging="232"/>
        <w:spacing w:after="0"/>
        <w:tabs>
          <w:tab w:leader="none" w:pos="360"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Communication Suspended - Not Interested – facility has strongly communicated a lack of interest in participation</w:t>
      </w:r>
    </w:p>
    <w:p>
      <w:pPr>
        <w:spacing w:after="0" w:line="8" w:lineRule="exact"/>
        <w:rPr>
          <w:rFonts w:ascii="Times New Roman" w:cs="Times New Roman" w:eastAsia="Times New Roman" w:hAnsi="Times New Roman"/>
          <w:sz w:val="13"/>
          <w:szCs w:val="13"/>
          <w:color w:val="auto"/>
        </w:rPr>
      </w:pPr>
    </w:p>
    <w:p>
      <w:pPr>
        <w:ind w:left="360" w:hanging="232"/>
        <w:spacing w:after="0"/>
        <w:tabs>
          <w:tab w:leader="none" w:pos="360"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Communication Suspended - Temporarily Ceased Operations – facility has temporarily ceased operations</w:t>
      </w:r>
    </w:p>
    <w:p>
      <w:pPr>
        <w:spacing w:after="0" w:line="8" w:lineRule="exact"/>
        <w:rPr>
          <w:rFonts w:ascii="Times New Roman" w:cs="Times New Roman" w:eastAsia="Times New Roman" w:hAnsi="Times New Roman"/>
          <w:sz w:val="13"/>
          <w:szCs w:val="13"/>
          <w:color w:val="auto"/>
        </w:rPr>
      </w:pPr>
    </w:p>
    <w:p>
      <w:pPr>
        <w:ind w:left="360" w:hanging="232"/>
        <w:spacing w:after="0"/>
        <w:tabs>
          <w:tab w:leader="none" w:pos="360"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Conformant – independently assessed and found conformant with the relevant RMI Due Diligence standard (RMAP DD or DAP)</w:t>
      </w:r>
    </w:p>
    <w:p>
      <w:pPr>
        <w:spacing w:after="0" w:line="8" w:lineRule="exact"/>
        <w:rPr>
          <w:rFonts w:ascii="Times New Roman" w:cs="Times New Roman" w:eastAsia="Times New Roman" w:hAnsi="Times New Roman"/>
          <w:sz w:val="13"/>
          <w:szCs w:val="13"/>
          <w:color w:val="auto"/>
        </w:rPr>
      </w:pPr>
    </w:p>
    <w:p>
      <w:pPr>
        <w:ind w:left="360" w:right="120" w:hanging="232"/>
        <w:spacing w:after="0" w:line="254" w:lineRule="auto"/>
        <w:tabs>
          <w:tab w:leader="none" w:pos="360"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Due Diligence Vetting Process – facility is undergoing due diligence vetting process and the RMI requires additional information/documentation to make eligibility determination</w:t>
      </w:r>
    </w:p>
    <w:p>
      <w:pPr>
        <w:ind w:left="360" w:right="120" w:hanging="232"/>
        <w:spacing w:after="0" w:line="254" w:lineRule="auto"/>
        <w:tabs>
          <w:tab w:leader="none" w:pos="360"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Facility Standard Assessed - Facility has been assessed against Facility Standard for Social, Environmental, OHS and Governance Risks, however decided not to participate in any other due diligence assessments</w:t>
      </w:r>
    </w:p>
    <w:p>
      <w:pPr>
        <w:ind w:left="360" w:hanging="232"/>
        <w:spacing w:after="0"/>
        <w:tabs>
          <w:tab w:leader="none" w:pos="360"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Communication – not yet active but in communication with the RMI and/or member company</w:t>
      </w:r>
    </w:p>
    <w:p>
      <w:pPr>
        <w:spacing w:after="0" w:line="8" w:lineRule="exact"/>
        <w:rPr>
          <w:rFonts w:ascii="Times New Roman" w:cs="Times New Roman" w:eastAsia="Times New Roman" w:hAnsi="Times New Roman"/>
          <w:sz w:val="13"/>
          <w:szCs w:val="13"/>
          <w:color w:val="auto"/>
        </w:rPr>
      </w:pPr>
    </w:p>
    <w:p>
      <w:pPr>
        <w:ind w:left="360" w:hanging="232"/>
        <w:spacing w:after="0"/>
        <w:tabs>
          <w:tab w:leader="none" w:pos="360"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Non-Conformant – independently assessed and found non-conformant with the relevant RMI standard</w:t>
      </w:r>
    </w:p>
    <w:p>
      <w:pPr>
        <w:spacing w:after="0" w:line="8" w:lineRule="exact"/>
        <w:rPr>
          <w:rFonts w:ascii="Times New Roman" w:cs="Times New Roman" w:eastAsia="Times New Roman" w:hAnsi="Times New Roman"/>
          <w:sz w:val="13"/>
          <w:szCs w:val="13"/>
          <w:color w:val="auto"/>
        </w:rPr>
      </w:pPr>
    </w:p>
    <w:p>
      <w:pPr>
        <w:ind w:left="360" w:hanging="232"/>
        <w:spacing w:after="0"/>
        <w:tabs>
          <w:tab w:leader="none" w:pos="360"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Not Applicable – not eligible for an RMI assessment</w:t>
      </w:r>
    </w:p>
    <w:p>
      <w:pPr>
        <w:spacing w:after="0" w:line="8" w:lineRule="exact"/>
        <w:rPr>
          <w:rFonts w:ascii="Times New Roman" w:cs="Times New Roman" w:eastAsia="Times New Roman" w:hAnsi="Times New Roman"/>
          <w:sz w:val="13"/>
          <w:szCs w:val="13"/>
          <w:color w:val="auto"/>
        </w:rPr>
      </w:pPr>
    </w:p>
    <w:p>
      <w:pPr>
        <w:ind w:left="360" w:hanging="232"/>
        <w:spacing w:after="0"/>
        <w:tabs>
          <w:tab w:leader="none" w:pos="360"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Outreach Required – outreach needed by RMI member companies to contact entity and encourage their participation to undergo an RMI assessment</w:t>
      </w:r>
    </w:p>
    <w:p>
      <w:pPr>
        <w:spacing w:after="0" w:line="8" w:lineRule="exact"/>
        <w:rPr>
          <w:rFonts w:ascii="Times New Roman" w:cs="Times New Roman" w:eastAsia="Times New Roman" w:hAnsi="Times New Roman"/>
          <w:sz w:val="13"/>
          <w:szCs w:val="13"/>
          <w:color w:val="auto"/>
        </w:rPr>
      </w:pPr>
    </w:p>
    <w:p>
      <w:pPr>
        <w:ind w:left="360" w:right="120" w:hanging="232"/>
        <w:spacing w:after="0" w:line="254" w:lineRule="auto"/>
        <w:tabs>
          <w:tab w:leader="none" w:pos="360"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RMI Due Diligence Review – Unable to Proceed – for facilities that have not met the threshold for Due Diligence Vetting Process after a period of 6 months. Status may change if additional information is submitted</w:t>
      </w:r>
    </w:p>
    <w:p>
      <w:pPr>
        <w:ind w:left="360" w:hanging="232"/>
        <w:spacing w:after="0"/>
        <w:tabs>
          <w:tab w:leader="none" w:pos="360"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Third Party Assessed – facility is participating in a third-party assessment program outside of the RMI</w:t>
      </w:r>
    </w:p>
    <w:p>
      <w:pPr>
        <w:spacing w:after="0" w:line="147" w:lineRule="exact"/>
        <w:rPr>
          <w:sz w:val="20"/>
          <w:szCs w:val="20"/>
          <w:color w:val="auto"/>
        </w:rPr>
      </w:pPr>
    </w:p>
    <w:tbl>
      <w:tblPr>
        <w:tblLayout w:type="fixed"/>
        <w:tblInd w:w="10" w:type="dxa"/>
        <w:tblCellMar>
          <w:top w:w="0" w:type="dxa"/>
          <w:left w:w="0" w:type="dxa"/>
          <w:bottom w:w="0" w:type="dxa"/>
          <w:right w:w="0" w:type="dxa"/>
        </w:tblCellMar>
      </w:tblPr>
      <w:tr>
        <w:trPr>
          <w:trHeight w:val="203"/>
        </w:trPr>
        <w:tc>
          <w:tcPr>
            <w:tcW w:w="880" w:type="dxa"/>
            <w:vAlign w:val="bottom"/>
            <w:tcBorders>
              <w:top w:val="single" w:sz="8" w:color="auto"/>
              <w:left w:val="single" w:sz="8" w:color="auto"/>
              <w:bottom w:val="single" w:sz="8" w:color="A6A6A6"/>
              <w:right w:val="single" w:sz="8" w:color="auto"/>
            </w:tcBorders>
            <w:gridSpan w:val="2"/>
            <w:shd w:val="clear" w:color="auto" w:fill="A6A6A6"/>
          </w:tcPr>
          <w:p>
            <w:pPr>
              <w:ind w:left="80"/>
              <w:spacing w:after="0"/>
              <w:rPr>
                <w:sz w:val="20"/>
                <w:szCs w:val="20"/>
                <w:color w:val="auto"/>
              </w:rPr>
            </w:pPr>
            <w:r>
              <w:rPr>
                <w:rFonts w:ascii="Times New Roman" w:cs="Times New Roman" w:eastAsia="Times New Roman" w:hAnsi="Times New Roman"/>
                <w:sz w:val="13"/>
                <w:szCs w:val="13"/>
                <w:b w:val="1"/>
                <w:bCs w:val="1"/>
                <w:color w:val="auto"/>
              </w:rPr>
              <w:t>Mineral</w:t>
            </w:r>
          </w:p>
        </w:tc>
        <w:tc>
          <w:tcPr>
            <w:tcW w:w="1320" w:type="dxa"/>
            <w:vAlign w:val="bottom"/>
            <w:tcBorders>
              <w:top w:val="single" w:sz="8" w:color="auto"/>
              <w:bottom w:val="single" w:sz="8" w:color="A6A6A6"/>
              <w:right w:val="single" w:sz="8" w:color="auto"/>
            </w:tcBorders>
            <w:shd w:val="clear" w:color="auto" w:fill="A6A6A6"/>
          </w:tcPr>
          <w:p>
            <w:pPr>
              <w:ind w:left="60"/>
              <w:spacing w:after="0"/>
              <w:rPr>
                <w:sz w:val="20"/>
                <w:szCs w:val="20"/>
                <w:color w:val="auto"/>
              </w:rPr>
            </w:pPr>
            <w:r>
              <w:rPr>
                <w:rFonts w:ascii="Times New Roman" w:cs="Times New Roman" w:eastAsia="Times New Roman" w:hAnsi="Times New Roman"/>
                <w:sz w:val="13"/>
                <w:szCs w:val="13"/>
                <w:b w:val="1"/>
                <w:bCs w:val="1"/>
                <w:color w:val="auto"/>
                <w:w w:val="99"/>
              </w:rPr>
              <w:t>Smelter / Refiner CID</w:t>
            </w:r>
          </w:p>
        </w:tc>
        <w:tc>
          <w:tcPr>
            <w:tcW w:w="3480" w:type="dxa"/>
            <w:vAlign w:val="bottom"/>
            <w:tcBorders>
              <w:top w:val="single" w:sz="8" w:color="auto"/>
              <w:bottom w:val="single" w:sz="8" w:color="A6A6A6"/>
              <w:right w:val="single" w:sz="8" w:color="auto"/>
            </w:tcBorders>
            <w:shd w:val="clear" w:color="auto" w:fill="A6A6A6"/>
          </w:tcPr>
          <w:p>
            <w:pPr>
              <w:ind w:left="60"/>
              <w:spacing w:after="0"/>
              <w:rPr>
                <w:sz w:val="20"/>
                <w:szCs w:val="20"/>
                <w:color w:val="auto"/>
              </w:rPr>
            </w:pPr>
            <w:r>
              <w:rPr>
                <w:rFonts w:ascii="Times New Roman" w:cs="Times New Roman" w:eastAsia="Times New Roman" w:hAnsi="Times New Roman"/>
                <w:sz w:val="13"/>
                <w:szCs w:val="13"/>
                <w:b w:val="1"/>
                <w:bCs w:val="1"/>
                <w:color w:val="auto"/>
              </w:rPr>
              <w:t>Smelter / Refiner Name</w:t>
            </w:r>
          </w:p>
        </w:tc>
        <w:tc>
          <w:tcPr>
            <w:tcW w:w="1940" w:type="dxa"/>
            <w:vAlign w:val="bottom"/>
            <w:tcBorders>
              <w:top w:val="single" w:sz="8" w:color="auto"/>
              <w:bottom w:val="single" w:sz="8" w:color="A6A6A6"/>
              <w:right w:val="single" w:sz="8" w:color="auto"/>
            </w:tcBorders>
            <w:shd w:val="clear" w:color="auto" w:fill="A6A6A6"/>
          </w:tcPr>
          <w:p>
            <w:pPr>
              <w:ind w:left="60"/>
              <w:spacing w:after="0"/>
              <w:rPr>
                <w:sz w:val="20"/>
                <w:szCs w:val="20"/>
                <w:color w:val="auto"/>
              </w:rPr>
            </w:pPr>
            <w:r>
              <w:rPr>
                <w:rFonts w:ascii="Times New Roman" w:cs="Times New Roman" w:eastAsia="Times New Roman" w:hAnsi="Times New Roman"/>
                <w:sz w:val="13"/>
                <w:szCs w:val="13"/>
                <w:b w:val="1"/>
                <w:bCs w:val="1"/>
                <w:color w:val="auto"/>
              </w:rPr>
              <w:t>Smelter / Refiner Location</w:t>
            </w:r>
          </w:p>
        </w:tc>
        <w:tc>
          <w:tcPr>
            <w:tcW w:w="1460" w:type="dxa"/>
            <w:vAlign w:val="bottom"/>
            <w:tcBorders>
              <w:top w:val="single" w:sz="8" w:color="auto"/>
              <w:bottom w:val="single" w:sz="8" w:color="A6A6A6"/>
            </w:tcBorders>
            <w:shd w:val="clear" w:color="auto" w:fill="A6A6A6"/>
          </w:tcPr>
          <w:p>
            <w:pPr>
              <w:ind w:left="60"/>
              <w:spacing w:after="0"/>
              <w:rPr>
                <w:sz w:val="20"/>
                <w:szCs w:val="20"/>
                <w:color w:val="auto"/>
              </w:rPr>
            </w:pPr>
            <w:r>
              <w:rPr>
                <w:rFonts w:ascii="Times New Roman" w:cs="Times New Roman" w:eastAsia="Times New Roman" w:hAnsi="Times New Roman"/>
                <w:sz w:val="13"/>
                <w:szCs w:val="13"/>
                <w:b w:val="1"/>
                <w:bCs w:val="1"/>
                <w:color w:val="auto"/>
              </w:rPr>
              <w:t>RMI Audit Status</w:t>
            </w:r>
          </w:p>
        </w:tc>
        <w:tc>
          <w:tcPr>
            <w:tcW w:w="120" w:type="dxa"/>
            <w:vAlign w:val="bottom"/>
            <w:tcBorders>
              <w:top w:val="single" w:sz="8" w:color="auto"/>
              <w:bottom w:val="single" w:sz="8" w:color="A6A6A6"/>
              <w:right w:val="single" w:sz="8" w:color="auto"/>
            </w:tcBorders>
            <w:shd w:val="clear" w:color="auto" w:fill="A6A6A6"/>
          </w:tcPr>
          <w:p>
            <w:pPr>
              <w:spacing w:after="0"/>
              <w:rPr>
                <w:sz w:val="17"/>
                <w:szCs w:val="17"/>
                <w:color w:val="auto"/>
              </w:rPr>
            </w:pPr>
          </w:p>
        </w:tc>
      </w:tr>
      <w:tr>
        <w:trPr>
          <w:trHeight w:val="178"/>
        </w:trPr>
        <w:tc>
          <w:tcPr>
            <w:tcW w:w="880" w:type="dxa"/>
            <w:vAlign w:val="bottom"/>
            <w:tcBorders>
              <w:top w:val="single" w:sz="8" w:color="auto"/>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Tungsten</w:t>
            </w:r>
          </w:p>
        </w:tc>
        <w:tc>
          <w:tcPr>
            <w:tcW w:w="132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CID000004</w:t>
            </w:r>
          </w:p>
        </w:tc>
        <w:tc>
          <w:tcPr>
            <w:tcW w:w="348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A.L.M.T. Corp.</w:t>
            </w:r>
          </w:p>
        </w:tc>
        <w:tc>
          <w:tcPr>
            <w:tcW w:w="194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Japan</w:t>
            </w:r>
          </w:p>
        </w:tc>
        <w:tc>
          <w:tcPr>
            <w:tcW w:w="146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Conformant</w:t>
            </w:r>
          </w:p>
        </w:tc>
        <w:tc>
          <w:tcPr>
            <w:tcW w:w="120" w:type="dxa"/>
            <w:vAlign w:val="bottom"/>
            <w:tcBorders>
              <w:top w:val="single" w:sz="8" w:color="auto"/>
              <w:bottom w:val="single" w:sz="8" w:color="auto"/>
              <w:right w:val="single" w:sz="8" w:color="auto"/>
            </w:tcBorders>
          </w:tcPr>
          <w:p>
            <w:pPr>
              <w:spacing w:after="0"/>
              <w:rPr>
                <w:sz w:val="15"/>
                <w:szCs w:val="15"/>
                <w:color w:val="auto"/>
              </w:rPr>
            </w:pPr>
          </w:p>
        </w:tc>
      </w:tr>
      <w:tr>
        <w:trPr>
          <w:trHeight w:val="178"/>
        </w:trPr>
        <w:tc>
          <w:tcPr>
            <w:tcW w:w="88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Gold</w:t>
            </w:r>
          </w:p>
        </w:tc>
        <w:tc>
          <w:tcPr>
            <w:tcW w:w="13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CID000015</w:t>
            </w:r>
          </w:p>
        </w:tc>
        <w:tc>
          <w:tcPr>
            <w:tcW w:w="34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Advanced Chemical Company</w:t>
            </w:r>
          </w:p>
        </w:tc>
        <w:tc>
          <w:tcPr>
            <w:tcW w:w="1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United States Of America</w:t>
            </w:r>
          </w:p>
        </w:tc>
        <w:tc>
          <w:tcPr>
            <w:tcW w:w="14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Conformant</w:t>
            </w:r>
          </w:p>
        </w:tc>
        <w:tc>
          <w:tcPr>
            <w:tcW w:w="120" w:type="dxa"/>
            <w:vAlign w:val="bottom"/>
            <w:tcBorders>
              <w:bottom w:val="single" w:sz="8" w:color="auto"/>
              <w:right w:val="single" w:sz="8" w:color="auto"/>
            </w:tcBorders>
          </w:tcPr>
          <w:p>
            <w:pPr>
              <w:spacing w:after="0"/>
              <w:rPr>
                <w:sz w:val="15"/>
                <w:szCs w:val="15"/>
                <w:color w:val="auto"/>
              </w:rPr>
            </w:pPr>
          </w:p>
        </w:tc>
      </w:tr>
      <w:tr>
        <w:trPr>
          <w:trHeight w:val="178"/>
        </w:trPr>
        <w:tc>
          <w:tcPr>
            <w:tcW w:w="88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Gold</w:t>
            </w:r>
          </w:p>
        </w:tc>
        <w:tc>
          <w:tcPr>
            <w:tcW w:w="13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CID000019</w:t>
            </w:r>
          </w:p>
        </w:tc>
        <w:tc>
          <w:tcPr>
            <w:tcW w:w="34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Aida Chemical Industries Co., Ltd.</w:t>
            </w:r>
          </w:p>
        </w:tc>
        <w:tc>
          <w:tcPr>
            <w:tcW w:w="1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Japan</w:t>
            </w:r>
          </w:p>
        </w:tc>
        <w:tc>
          <w:tcPr>
            <w:tcW w:w="14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Conformant</w:t>
            </w:r>
          </w:p>
        </w:tc>
        <w:tc>
          <w:tcPr>
            <w:tcW w:w="120" w:type="dxa"/>
            <w:vAlign w:val="bottom"/>
            <w:tcBorders>
              <w:bottom w:val="single" w:sz="8" w:color="auto"/>
              <w:right w:val="single" w:sz="8" w:color="auto"/>
            </w:tcBorders>
          </w:tcPr>
          <w:p>
            <w:pPr>
              <w:spacing w:after="0"/>
              <w:rPr>
                <w:sz w:val="15"/>
                <w:szCs w:val="15"/>
                <w:color w:val="auto"/>
              </w:rPr>
            </w:pPr>
          </w:p>
        </w:tc>
      </w:tr>
      <w:tr>
        <w:trPr>
          <w:trHeight w:val="178"/>
        </w:trPr>
        <w:tc>
          <w:tcPr>
            <w:tcW w:w="88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Gold</w:t>
            </w:r>
          </w:p>
        </w:tc>
        <w:tc>
          <w:tcPr>
            <w:tcW w:w="13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CID000035</w:t>
            </w:r>
          </w:p>
        </w:tc>
        <w:tc>
          <w:tcPr>
            <w:tcW w:w="34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Agosi AG</w:t>
            </w:r>
          </w:p>
        </w:tc>
        <w:tc>
          <w:tcPr>
            <w:tcW w:w="1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Germany</w:t>
            </w:r>
          </w:p>
        </w:tc>
        <w:tc>
          <w:tcPr>
            <w:tcW w:w="14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Conformant</w:t>
            </w:r>
          </w:p>
        </w:tc>
        <w:tc>
          <w:tcPr>
            <w:tcW w:w="120" w:type="dxa"/>
            <w:vAlign w:val="bottom"/>
            <w:tcBorders>
              <w:bottom w:val="single" w:sz="8" w:color="auto"/>
              <w:right w:val="single" w:sz="8" w:color="auto"/>
            </w:tcBorders>
          </w:tcPr>
          <w:p>
            <w:pPr>
              <w:spacing w:after="0"/>
              <w:rPr>
                <w:sz w:val="15"/>
                <w:szCs w:val="15"/>
                <w:color w:val="auto"/>
              </w:rPr>
            </w:pPr>
          </w:p>
        </w:tc>
      </w:tr>
      <w:tr>
        <w:trPr>
          <w:trHeight w:val="178"/>
        </w:trPr>
        <w:tc>
          <w:tcPr>
            <w:tcW w:w="88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Gold</w:t>
            </w:r>
          </w:p>
        </w:tc>
        <w:tc>
          <w:tcPr>
            <w:tcW w:w="13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CID000041</w:t>
            </w:r>
          </w:p>
        </w:tc>
        <w:tc>
          <w:tcPr>
            <w:tcW w:w="34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Almalyk Mining and Metallurgical Complex (AMMC)</w:t>
            </w:r>
          </w:p>
        </w:tc>
        <w:tc>
          <w:tcPr>
            <w:tcW w:w="1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Uzbekistan</w:t>
            </w:r>
          </w:p>
        </w:tc>
        <w:tc>
          <w:tcPr>
            <w:tcW w:w="14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Conformant</w:t>
            </w:r>
          </w:p>
        </w:tc>
        <w:tc>
          <w:tcPr>
            <w:tcW w:w="120" w:type="dxa"/>
            <w:vAlign w:val="bottom"/>
            <w:tcBorders>
              <w:bottom w:val="single" w:sz="8" w:color="auto"/>
              <w:right w:val="single" w:sz="8" w:color="auto"/>
            </w:tcBorders>
          </w:tcPr>
          <w:p>
            <w:pPr>
              <w:spacing w:after="0"/>
              <w:rPr>
                <w:sz w:val="15"/>
                <w:szCs w:val="15"/>
                <w:color w:val="auto"/>
              </w:rPr>
            </w:pPr>
          </w:p>
        </w:tc>
      </w:tr>
      <w:tr>
        <w:trPr>
          <w:trHeight w:val="178"/>
        </w:trPr>
        <w:tc>
          <w:tcPr>
            <w:tcW w:w="88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Gold</w:t>
            </w:r>
          </w:p>
        </w:tc>
        <w:tc>
          <w:tcPr>
            <w:tcW w:w="13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CID000058</w:t>
            </w:r>
          </w:p>
        </w:tc>
        <w:tc>
          <w:tcPr>
            <w:tcW w:w="34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AngloGold Ashanti Corrego do Sitio Mineracao</w:t>
            </w:r>
          </w:p>
        </w:tc>
        <w:tc>
          <w:tcPr>
            <w:tcW w:w="1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Brazil</w:t>
            </w:r>
          </w:p>
        </w:tc>
        <w:tc>
          <w:tcPr>
            <w:tcW w:w="14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Conformant</w:t>
            </w:r>
          </w:p>
        </w:tc>
        <w:tc>
          <w:tcPr>
            <w:tcW w:w="120" w:type="dxa"/>
            <w:vAlign w:val="bottom"/>
            <w:tcBorders>
              <w:bottom w:val="single" w:sz="8" w:color="auto"/>
              <w:right w:val="single" w:sz="8" w:color="auto"/>
            </w:tcBorders>
          </w:tcPr>
          <w:p>
            <w:pPr>
              <w:spacing w:after="0"/>
              <w:rPr>
                <w:sz w:val="15"/>
                <w:szCs w:val="15"/>
                <w:color w:val="auto"/>
              </w:rPr>
            </w:pPr>
          </w:p>
        </w:tc>
      </w:tr>
      <w:tr>
        <w:trPr>
          <w:trHeight w:val="178"/>
        </w:trPr>
        <w:tc>
          <w:tcPr>
            <w:tcW w:w="88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Gold</w:t>
            </w:r>
          </w:p>
        </w:tc>
        <w:tc>
          <w:tcPr>
            <w:tcW w:w="13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CID000077</w:t>
            </w:r>
          </w:p>
        </w:tc>
        <w:tc>
          <w:tcPr>
            <w:tcW w:w="34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Argor-Heraeus S.A.</w:t>
            </w:r>
          </w:p>
        </w:tc>
        <w:tc>
          <w:tcPr>
            <w:tcW w:w="1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Switzerland</w:t>
            </w:r>
          </w:p>
        </w:tc>
        <w:tc>
          <w:tcPr>
            <w:tcW w:w="14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Conformant</w:t>
            </w:r>
          </w:p>
        </w:tc>
        <w:tc>
          <w:tcPr>
            <w:tcW w:w="120" w:type="dxa"/>
            <w:vAlign w:val="bottom"/>
            <w:tcBorders>
              <w:bottom w:val="single" w:sz="8" w:color="auto"/>
              <w:right w:val="single" w:sz="8" w:color="auto"/>
            </w:tcBorders>
          </w:tcPr>
          <w:p>
            <w:pPr>
              <w:spacing w:after="0"/>
              <w:rPr>
                <w:sz w:val="15"/>
                <w:szCs w:val="15"/>
                <w:color w:val="auto"/>
              </w:rPr>
            </w:pPr>
          </w:p>
        </w:tc>
      </w:tr>
      <w:tr>
        <w:trPr>
          <w:trHeight w:val="178"/>
        </w:trPr>
        <w:tc>
          <w:tcPr>
            <w:tcW w:w="88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Gold</w:t>
            </w:r>
          </w:p>
        </w:tc>
        <w:tc>
          <w:tcPr>
            <w:tcW w:w="13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CID000082</w:t>
            </w:r>
          </w:p>
        </w:tc>
        <w:tc>
          <w:tcPr>
            <w:tcW w:w="34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Asahi Pretec Corp.</w:t>
            </w:r>
          </w:p>
        </w:tc>
        <w:tc>
          <w:tcPr>
            <w:tcW w:w="1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Japan</w:t>
            </w:r>
          </w:p>
        </w:tc>
        <w:tc>
          <w:tcPr>
            <w:tcW w:w="14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Conformant</w:t>
            </w:r>
          </w:p>
        </w:tc>
        <w:tc>
          <w:tcPr>
            <w:tcW w:w="120" w:type="dxa"/>
            <w:vAlign w:val="bottom"/>
            <w:tcBorders>
              <w:bottom w:val="single" w:sz="8" w:color="auto"/>
              <w:right w:val="single" w:sz="8" w:color="auto"/>
            </w:tcBorders>
          </w:tcPr>
          <w:p>
            <w:pPr>
              <w:spacing w:after="0"/>
              <w:rPr>
                <w:sz w:val="15"/>
                <w:szCs w:val="15"/>
                <w:color w:val="auto"/>
              </w:rPr>
            </w:pPr>
          </w:p>
        </w:tc>
      </w:tr>
      <w:tr>
        <w:trPr>
          <w:trHeight w:val="178"/>
        </w:trPr>
        <w:tc>
          <w:tcPr>
            <w:tcW w:w="88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Gold</w:t>
            </w:r>
          </w:p>
        </w:tc>
        <w:tc>
          <w:tcPr>
            <w:tcW w:w="13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CID000090</w:t>
            </w:r>
          </w:p>
        </w:tc>
        <w:tc>
          <w:tcPr>
            <w:tcW w:w="34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Asaka Riken Co., Ltd.</w:t>
            </w:r>
          </w:p>
        </w:tc>
        <w:tc>
          <w:tcPr>
            <w:tcW w:w="1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Japan</w:t>
            </w:r>
          </w:p>
        </w:tc>
        <w:tc>
          <w:tcPr>
            <w:tcW w:w="14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Conformant</w:t>
            </w:r>
          </w:p>
        </w:tc>
        <w:tc>
          <w:tcPr>
            <w:tcW w:w="120" w:type="dxa"/>
            <w:vAlign w:val="bottom"/>
            <w:tcBorders>
              <w:bottom w:val="single" w:sz="8" w:color="auto"/>
              <w:right w:val="single" w:sz="8" w:color="auto"/>
            </w:tcBorders>
          </w:tcPr>
          <w:p>
            <w:pPr>
              <w:spacing w:after="0"/>
              <w:rPr>
                <w:sz w:val="15"/>
                <w:szCs w:val="15"/>
                <w:color w:val="auto"/>
              </w:rPr>
            </w:pPr>
          </w:p>
        </w:tc>
      </w:tr>
      <w:tr>
        <w:trPr>
          <w:trHeight w:val="178"/>
        </w:trPr>
        <w:tc>
          <w:tcPr>
            <w:tcW w:w="88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Tungsten</w:t>
            </w:r>
          </w:p>
        </w:tc>
        <w:tc>
          <w:tcPr>
            <w:tcW w:w="13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CID000105</w:t>
            </w:r>
          </w:p>
        </w:tc>
        <w:tc>
          <w:tcPr>
            <w:tcW w:w="34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Kennametal Huntsville</w:t>
            </w:r>
          </w:p>
        </w:tc>
        <w:tc>
          <w:tcPr>
            <w:tcW w:w="1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United States Of America</w:t>
            </w:r>
          </w:p>
        </w:tc>
        <w:tc>
          <w:tcPr>
            <w:tcW w:w="14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Conformant</w:t>
            </w:r>
          </w:p>
        </w:tc>
        <w:tc>
          <w:tcPr>
            <w:tcW w:w="120" w:type="dxa"/>
            <w:vAlign w:val="bottom"/>
            <w:tcBorders>
              <w:bottom w:val="single" w:sz="8" w:color="auto"/>
              <w:right w:val="single" w:sz="8" w:color="auto"/>
            </w:tcBorders>
          </w:tcPr>
          <w:p>
            <w:pPr>
              <w:spacing w:after="0"/>
              <w:rPr>
                <w:sz w:val="15"/>
                <w:szCs w:val="15"/>
                <w:color w:val="auto"/>
              </w:rPr>
            </w:pPr>
          </w:p>
        </w:tc>
      </w:tr>
      <w:tr>
        <w:trPr>
          <w:trHeight w:val="178"/>
        </w:trPr>
        <w:tc>
          <w:tcPr>
            <w:tcW w:w="88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Gold</w:t>
            </w:r>
          </w:p>
        </w:tc>
        <w:tc>
          <w:tcPr>
            <w:tcW w:w="13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CID000113</w:t>
            </w:r>
          </w:p>
        </w:tc>
        <w:tc>
          <w:tcPr>
            <w:tcW w:w="34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Aurubis AG</w:t>
            </w:r>
          </w:p>
        </w:tc>
        <w:tc>
          <w:tcPr>
            <w:tcW w:w="1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Germany</w:t>
            </w:r>
          </w:p>
        </w:tc>
        <w:tc>
          <w:tcPr>
            <w:tcW w:w="14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Conformant</w:t>
            </w:r>
          </w:p>
        </w:tc>
        <w:tc>
          <w:tcPr>
            <w:tcW w:w="120" w:type="dxa"/>
            <w:vAlign w:val="bottom"/>
            <w:tcBorders>
              <w:bottom w:val="single" w:sz="8" w:color="auto"/>
              <w:right w:val="single" w:sz="8" w:color="auto"/>
            </w:tcBorders>
          </w:tcPr>
          <w:p>
            <w:pPr>
              <w:spacing w:after="0"/>
              <w:rPr>
                <w:sz w:val="15"/>
                <w:szCs w:val="15"/>
                <w:color w:val="auto"/>
              </w:rPr>
            </w:pPr>
          </w:p>
        </w:tc>
      </w:tr>
      <w:tr>
        <w:trPr>
          <w:trHeight w:val="178"/>
        </w:trPr>
        <w:tc>
          <w:tcPr>
            <w:tcW w:w="88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Gold</w:t>
            </w:r>
          </w:p>
        </w:tc>
        <w:tc>
          <w:tcPr>
            <w:tcW w:w="13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CID000128</w:t>
            </w:r>
          </w:p>
        </w:tc>
        <w:tc>
          <w:tcPr>
            <w:tcW w:w="34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Bangko Sentral ng Pilipinas (Central Bank of the Philippines)</w:t>
            </w:r>
          </w:p>
        </w:tc>
        <w:tc>
          <w:tcPr>
            <w:tcW w:w="1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Philippines</w:t>
            </w:r>
          </w:p>
        </w:tc>
        <w:tc>
          <w:tcPr>
            <w:tcW w:w="14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Conformant</w:t>
            </w:r>
          </w:p>
        </w:tc>
        <w:tc>
          <w:tcPr>
            <w:tcW w:w="120" w:type="dxa"/>
            <w:vAlign w:val="bottom"/>
            <w:tcBorders>
              <w:bottom w:val="single" w:sz="8" w:color="auto"/>
              <w:right w:val="single" w:sz="8" w:color="auto"/>
            </w:tcBorders>
          </w:tcPr>
          <w:p>
            <w:pPr>
              <w:spacing w:after="0"/>
              <w:rPr>
                <w:sz w:val="15"/>
                <w:szCs w:val="15"/>
                <w:color w:val="auto"/>
              </w:rPr>
            </w:pPr>
          </w:p>
        </w:tc>
      </w:tr>
      <w:tr>
        <w:trPr>
          <w:trHeight w:val="178"/>
        </w:trPr>
        <w:tc>
          <w:tcPr>
            <w:tcW w:w="88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Gold</w:t>
            </w:r>
          </w:p>
        </w:tc>
        <w:tc>
          <w:tcPr>
            <w:tcW w:w="13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CID000157</w:t>
            </w:r>
          </w:p>
        </w:tc>
        <w:tc>
          <w:tcPr>
            <w:tcW w:w="34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Boliden Ronnskar</w:t>
            </w:r>
          </w:p>
        </w:tc>
        <w:tc>
          <w:tcPr>
            <w:tcW w:w="1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Sweden</w:t>
            </w:r>
          </w:p>
        </w:tc>
        <w:tc>
          <w:tcPr>
            <w:tcW w:w="14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Conformant</w:t>
            </w:r>
          </w:p>
        </w:tc>
        <w:tc>
          <w:tcPr>
            <w:tcW w:w="120" w:type="dxa"/>
            <w:vAlign w:val="bottom"/>
            <w:tcBorders>
              <w:bottom w:val="single" w:sz="8" w:color="auto"/>
              <w:right w:val="single" w:sz="8" w:color="auto"/>
            </w:tcBorders>
          </w:tcPr>
          <w:p>
            <w:pPr>
              <w:spacing w:after="0"/>
              <w:rPr>
                <w:sz w:val="15"/>
                <w:szCs w:val="15"/>
                <w:color w:val="auto"/>
              </w:rPr>
            </w:pPr>
          </w:p>
        </w:tc>
      </w:tr>
      <w:tr>
        <w:trPr>
          <w:trHeight w:val="178"/>
        </w:trPr>
        <w:tc>
          <w:tcPr>
            <w:tcW w:w="88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Gold</w:t>
            </w:r>
          </w:p>
        </w:tc>
        <w:tc>
          <w:tcPr>
            <w:tcW w:w="13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CID000176</w:t>
            </w:r>
          </w:p>
        </w:tc>
        <w:tc>
          <w:tcPr>
            <w:tcW w:w="34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 Hafner GmbH + Co. KG</w:t>
            </w:r>
          </w:p>
        </w:tc>
        <w:tc>
          <w:tcPr>
            <w:tcW w:w="1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Germany</w:t>
            </w:r>
          </w:p>
        </w:tc>
        <w:tc>
          <w:tcPr>
            <w:tcW w:w="14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Conformant</w:t>
            </w:r>
          </w:p>
        </w:tc>
        <w:tc>
          <w:tcPr>
            <w:tcW w:w="120" w:type="dxa"/>
            <w:vAlign w:val="bottom"/>
            <w:tcBorders>
              <w:bottom w:val="single" w:sz="8" w:color="auto"/>
              <w:right w:val="single" w:sz="8" w:color="auto"/>
            </w:tcBorders>
          </w:tcPr>
          <w:p>
            <w:pPr>
              <w:spacing w:after="0"/>
              <w:rPr>
                <w:sz w:val="15"/>
                <w:szCs w:val="15"/>
                <w:color w:val="auto"/>
              </w:rPr>
            </w:pPr>
          </w:p>
        </w:tc>
      </w:tr>
      <w:tr>
        <w:trPr>
          <w:trHeight w:val="178"/>
        </w:trPr>
        <w:tc>
          <w:tcPr>
            <w:tcW w:w="88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Gold</w:t>
            </w:r>
          </w:p>
        </w:tc>
        <w:tc>
          <w:tcPr>
            <w:tcW w:w="13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CID000180</w:t>
            </w:r>
          </w:p>
        </w:tc>
        <w:tc>
          <w:tcPr>
            <w:tcW w:w="34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Caridad</w:t>
            </w:r>
          </w:p>
        </w:tc>
        <w:tc>
          <w:tcPr>
            <w:tcW w:w="1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Mexico</w:t>
            </w:r>
          </w:p>
        </w:tc>
        <w:tc>
          <w:tcPr>
            <w:tcW w:w="14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Outreach Required</w:t>
            </w:r>
          </w:p>
        </w:tc>
        <w:tc>
          <w:tcPr>
            <w:tcW w:w="120" w:type="dxa"/>
            <w:vAlign w:val="bottom"/>
            <w:tcBorders>
              <w:bottom w:val="single" w:sz="8" w:color="auto"/>
              <w:right w:val="single" w:sz="8" w:color="auto"/>
            </w:tcBorders>
          </w:tcPr>
          <w:p>
            <w:pPr>
              <w:spacing w:after="0"/>
              <w:rPr>
                <w:sz w:val="15"/>
                <w:szCs w:val="15"/>
                <w:color w:val="auto"/>
              </w:rPr>
            </w:pPr>
          </w:p>
        </w:tc>
      </w:tr>
      <w:tr>
        <w:trPr>
          <w:trHeight w:val="178"/>
        </w:trPr>
        <w:tc>
          <w:tcPr>
            <w:tcW w:w="88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Gold</w:t>
            </w:r>
          </w:p>
        </w:tc>
        <w:tc>
          <w:tcPr>
            <w:tcW w:w="13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CID000185</w:t>
            </w:r>
          </w:p>
        </w:tc>
        <w:tc>
          <w:tcPr>
            <w:tcW w:w="34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CCR Refinery - Glencore Canada Corporation</w:t>
            </w:r>
          </w:p>
        </w:tc>
        <w:tc>
          <w:tcPr>
            <w:tcW w:w="1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Canada</w:t>
            </w:r>
          </w:p>
        </w:tc>
        <w:tc>
          <w:tcPr>
            <w:tcW w:w="14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Conformant</w:t>
            </w:r>
          </w:p>
        </w:tc>
        <w:tc>
          <w:tcPr>
            <w:tcW w:w="120" w:type="dxa"/>
            <w:vAlign w:val="bottom"/>
            <w:tcBorders>
              <w:bottom w:val="single" w:sz="8" w:color="auto"/>
              <w:right w:val="single" w:sz="8" w:color="auto"/>
            </w:tcBorders>
          </w:tcPr>
          <w:p>
            <w:pPr>
              <w:spacing w:after="0"/>
              <w:rPr>
                <w:sz w:val="15"/>
                <w:szCs w:val="15"/>
                <w:color w:val="auto"/>
              </w:rPr>
            </w:pPr>
          </w:p>
        </w:tc>
      </w:tr>
      <w:tr>
        <w:trPr>
          <w:trHeight w:val="396"/>
        </w:trPr>
        <w:tc>
          <w:tcPr>
            <w:tcW w:w="120" w:type="dxa"/>
            <w:vAlign w:val="bottom"/>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9200"/>
          </w:cols>
          <w:pgMar w:left="1340" w:top="759" w:right="1359" w:bottom="1440" w:gutter="0" w:footer="0" w:header="0"/>
        </w:sectPr>
      </w:pPr>
    </w:p>
    <w:bookmarkStart w:id="13" w:name="page14"/>
    <w:bookmarkEnd w:id="1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98"/>
        </w:trPr>
        <w:tc>
          <w:tcPr>
            <w:tcW w:w="660" w:type="dxa"/>
            <w:vAlign w:val="bottom"/>
            <w:tcBorders>
              <w:top w:val="single" w:sz="8" w:color="auto"/>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Gold</w:t>
            </w:r>
          </w:p>
        </w:tc>
        <w:tc>
          <w:tcPr>
            <w:tcW w:w="78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CID000189</w:t>
            </w:r>
          </w:p>
        </w:tc>
        <w:tc>
          <w:tcPr>
            <w:tcW w:w="366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Cendres + Metaux S.A.</w:t>
            </w:r>
          </w:p>
        </w:tc>
        <w:tc>
          <w:tcPr>
            <w:tcW w:w="182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Switzerland</w:t>
            </w:r>
          </w:p>
        </w:tc>
        <w:tc>
          <w:tcPr>
            <w:tcW w:w="2720" w:type="dxa"/>
            <w:vAlign w:val="bottom"/>
            <w:tcBorders>
              <w:top w:val="single" w:sz="8" w:color="auto"/>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Non Conformant</w:t>
            </w:r>
          </w:p>
        </w:tc>
      </w:tr>
      <w:tr>
        <w:trPr>
          <w:trHeight w:val="178"/>
        </w:trPr>
        <w:tc>
          <w:tcPr>
            <w:tcW w:w="66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Gold</w:t>
            </w:r>
          </w:p>
        </w:tc>
        <w:tc>
          <w:tcPr>
            <w:tcW w:w="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CID000197</w:t>
            </w:r>
          </w:p>
        </w:tc>
        <w:tc>
          <w:tcPr>
            <w:tcW w:w="36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Yunnan Copper Industry Co., Ltd.</w:t>
            </w:r>
          </w:p>
        </w:tc>
        <w:tc>
          <w:tcPr>
            <w:tcW w:w="18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China</w:t>
            </w:r>
          </w:p>
        </w:tc>
        <w:tc>
          <w:tcPr>
            <w:tcW w:w="272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Outreach Required</w:t>
            </w:r>
          </w:p>
        </w:tc>
      </w:tr>
      <w:tr>
        <w:trPr>
          <w:trHeight w:val="178"/>
        </w:trPr>
        <w:tc>
          <w:tcPr>
            <w:tcW w:w="66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Tungsten</w:t>
            </w:r>
          </w:p>
        </w:tc>
        <w:tc>
          <w:tcPr>
            <w:tcW w:w="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CID000218</w:t>
            </w:r>
          </w:p>
        </w:tc>
        <w:tc>
          <w:tcPr>
            <w:tcW w:w="36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Guangdong Xianglu Tungsten Co., Ltd.</w:t>
            </w:r>
          </w:p>
        </w:tc>
        <w:tc>
          <w:tcPr>
            <w:tcW w:w="18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China</w:t>
            </w:r>
          </w:p>
        </w:tc>
        <w:tc>
          <w:tcPr>
            <w:tcW w:w="272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Conformant</w:t>
            </w:r>
          </w:p>
        </w:tc>
      </w:tr>
      <w:tr>
        <w:trPr>
          <w:trHeight w:val="178"/>
        </w:trPr>
        <w:tc>
          <w:tcPr>
            <w:tcW w:w="66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Tin</w:t>
            </w:r>
          </w:p>
        </w:tc>
        <w:tc>
          <w:tcPr>
            <w:tcW w:w="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CID000228</w:t>
            </w:r>
          </w:p>
        </w:tc>
        <w:tc>
          <w:tcPr>
            <w:tcW w:w="36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Chenzhou Yunxiang Mining and Metallurgy Co., Ltd.</w:t>
            </w:r>
          </w:p>
        </w:tc>
        <w:tc>
          <w:tcPr>
            <w:tcW w:w="18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China</w:t>
            </w:r>
          </w:p>
        </w:tc>
        <w:tc>
          <w:tcPr>
            <w:tcW w:w="272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Conformant</w:t>
            </w:r>
          </w:p>
        </w:tc>
      </w:tr>
      <w:tr>
        <w:trPr>
          <w:trHeight w:val="178"/>
        </w:trPr>
        <w:tc>
          <w:tcPr>
            <w:tcW w:w="66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Gold</w:t>
            </w:r>
          </w:p>
        </w:tc>
        <w:tc>
          <w:tcPr>
            <w:tcW w:w="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CID000233</w:t>
            </w:r>
          </w:p>
        </w:tc>
        <w:tc>
          <w:tcPr>
            <w:tcW w:w="36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Chimet S.p.A.</w:t>
            </w:r>
          </w:p>
        </w:tc>
        <w:tc>
          <w:tcPr>
            <w:tcW w:w="18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Italy</w:t>
            </w:r>
          </w:p>
        </w:tc>
        <w:tc>
          <w:tcPr>
            <w:tcW w:w="272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Conformant</w:t>
            </w:r>
          </w:p>
        </w:tc>
      </w:tr>
      <w:tr>
        <w:trPr>
          <w:trHeight w:val="178"/>
        </w:trPr>
        <w:tc>
          <w:tcPr>
            <w:tcW w:w="66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Tungsten</w:t>
            </w:r>
          </w:p>
        </w:tc>
        <w:tc>
          <w:tcPr>
            <w:tcW w:w="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CID000258</w:t>
            </w:r>
          </w:p>
        </w:tc>
        <w:tc>
          <w:tcPr>
            <w:tcW w:w="36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Chongyi Zhangyuan Tungsten Co., Ltd.</w:t>
            </w:r>
          </w:p>
        </w:tc>
        <w:tc>
          <w:tcPr>
            <w:tcW w:w="18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China</w:t>
            </w:r>
          </w:p>
        </w:tc>
        <w:tc>
          <w:tcPr>
            <w:tcW w:w="272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Conformant</w:t>
            </w:r>
          </w:p>
        </w:tc>
      </w:tr>
      <w:tr>
        <w:trPr>
          <w:trHeight w:val="178"/>
        </w:trPr>
        <w:tc>
          <w:tcPr>
            <w:tcW w:w="66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Gold</w:t>
            </w:r>
          </w:p>
        </w:tc>
        <w:tc>
          <w:tcPr>
            <w:tcW w:w="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CID000264</w:t>
            </w:r>
          </w:p>
        </w:tc>
        <w:tc>
          <w:tcPr>
            <w:tcW w:w="36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Chugai Mining</w:t>
            </w:r>
          </w:p>
        </w:tc>
        <w:tc>
          <w:tcPr>
            <w:tcW w:w="18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Japan</w:t>
            </w:r>
          </w:p>
        </w:tc>
        <w:tc>
          <w:tcPr>
            <w:tcW w:w="272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Conformant</w:t>
            </w:r>
          </w:p>
        </w:tc>
      </w:tr>
      <w:tr>
        <w:trPr>
          <w:trHeight w:val="178"/>
        </w:trPr>
        <w:tc>
          <w:tcPr>
            <w:tcW w:w="66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Tantalum</w:t>
            </w:r>
          </w:p>
        </w:tc>
        <w:tc>
          <w:tcPr>
            <w:tcW w:w="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CID000291</w:t>
            </w:r>
          </w:p>
        </w:tc>
        <w:tc>
          <w:tcPr>
            <w:tcW w:w="36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Guangdong Rising Rare Metals-EO Materials Ltd.</w:t>
            </w:r>
          </w:p>
        </w:tc>
        <w:tc>
          <w:tcPr>
            <w:tcW w:w="18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China</w:t>
            </w:r>
          </w:p>
        </w:tc>
        <w:tc>
          <w:tcPr>
            <w:tcW w:w="272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Conformant</w:t>
            </w:r>
          </w:p>
        </w:tc>
      </w:tr>
      <w:tr>
        <w:trPr>
          <w:trHeight w:val="178"/>
        </w:trPr>
        <w:tc>
          <w:tcPr>
            <w:tcW w:w="66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Tin</w:t>
            </w:r>
          </w:p>
        </w:tc>
        <w:tc>
          <w:tcPr>
            <w:tcW w:w="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CID000292</w:t>
            </w:r>
          </w:p>
        </w:tc>
        <w:tc>
          <w:tcPr>
            <w:tcW w:w="36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Alpha Assembly Solutions Inc</w:t>
            </w:r>
          </w:p>
        </w:tc>
        <w:tc>
          <w:tcPr>
            <w:tcW w:w="18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United States Of America</w:t>
            </w:r>
          </w:p>
        </w:tc>
        <w:tc>
          <w:tcPr>
            <w:tcW w:w="272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Conformant</w:t>
            </w:r>
          </w:p>
        </w:tc>
      </w:tr>
      <w:tr>
        <w:trPr>
          <w:trHeight w:val="178"/>
        </w:trPr>
        <w:tc>
          <w:tcPr>
            <w:tcW w:w="66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Tin</w:t>
            </w:r>
          </w:p>
        </w:tc>
        <w:tc>
          <w:tcPr>
            <w:tcW w:w="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CID000313</w:t>
            </w:r>
          </w:p>
        </w:tc>
        <w:tc>
          <w:tcPr>
            <w:tcW w:w="36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PT Premium Tin Indonesia</w:t>
            </w:r>
          </w:p>
        </w:tc>
        <w:tc>
          <w:tcPr>
            <w:tcW w:w="18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Indonesia</w:t>
            </w:r>
          </w:p>
        </w:tc>
        <w:tc>
          <w:tcPr>
            <w:tcW w:w="272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Conformant</w:t>
            </w:r>
          </w:p>
        </w:tc>
      </w:tr>
      <w:tr>
        <w:trPr>
          <w:trHeight w:val="178"/>
        </w:trPr>
        <w:tc>
          <w:tcPr>
            <w:tcW w:w="66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Gold</w:t>
            </w:r>
          </w:p>
        </w:tc>
        <w:tc>
          <w:tcPr>
            <w:tcW w:w="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CID000343</w:t>
            </w:r>
          </w:p>
        </w:tc>
        <w:tc>
          <w:tcPr>
            <w:tcW w:w="36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Daye Non-Ferrous Metals Mining Ltd.</w:t>
            </w:r>
          </w:p>
        </w:tc>
        <w:tc>
          <w:tcPr>
            <w:tcW w:w="18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China</w:t>
            </w:r>
          </w:p>
        </w:tc>
        <w:tc>
          <w:tcPr>
            <w:tcW w:w="272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Outreach Required</w:t>
            </w:r>
          </w:p>
        </w:tc>
      </w:tr>
      <w:tr>
        <w:trPr>
          <w:trHeight w:val="178"/>
        </w:trPr>
        <w:tc>
          <w:tcPr>
            <w:tcW w:w="66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Gold</w:t>
            </w:r>
          </w:p>
        </w:tc>
        <w:tc>
          <w:tcPr>
            <w:tcW w:w="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CID000359</w:t>
            </w:r>
          </w:p>
        </w:tc>
        <w:tc>
          <w:tcPr>
            <w:tcW w:w="36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DSC (Do Sung Corporation)</w:t>
            </w:r>
          </w:p>
        </w:tc>
        <w:tc>
          <w:tcPr>
            <w:tcW w:w="18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Korea, Republic Of</w:t>
            </w:r>
          </w:p>
        </w:tc>
        <w:tc>
          <w:tcPr>
            <w:tcW w:w="272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Conformant</w:t>
            </w:r>
          </w:p>
        </w:tc>
      </w:tr>
      <w:tr>
        <w:trPr>
          <w:trHeight w:val="178"/>
        </w:trPr>
        <w:tc>
          <w:tcPr>
            <w:tcW w:w="66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Tin</w:t>
            </w:r>
          </w:p>
        </w:tc>
        <w:tc>
          <w:tcPr>
            <w:tcW w:w="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CID000377</w:t>
            </w:r>
          </w:p>
        </w:tc>
        <w:tc>
          <w:tcPr>
            <w:tcW w:w="36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Dongguan Best Alloys Co., Ltd.</w:t>
            </w:r>
          </w:p>
        </w:tc>
        <w:tc>
          <w:tcPr>
            <w:tcW w:w="18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China</w:t>
            </w:r>
          </w:p>
        </w:tc>
        <w:tc>
          <w:tcPr>
            <w:tcW w:w="272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Conformant</w:t>
            </w:r>
          </w:p>
        </w:tc>
      </w:tr>
      <w:tr>
        <w:trPr>
          <w:trHeight w:val="178"/>
        </w:trPr>
        <w:tc>
          <w:tcPr>
            <w:tcW w:w="66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Gold</w:t>
            </w:r>
          </w:p>
        </w:tc>
        <w:tc>
          <w:tcPr>
            <w:tcW w:w="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CID000401</w:t>
            </w:r>
          </w:p>
        </w:tc>
        <w:tc>
          <w:tcPr>
            <w:tcW w:w="36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Dowa</w:t>
            </w:r>
          </w:p>
        </w:tc>
        <w:tc>
          <w:tcPr>
            <w:tcW w:w="18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Japan</w:t>
            </w:r>
          </w:p>
        </w:tc>
        <w:tc>
          <w:tcPr>
            <w:tcW w:w="272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Conformant</w:t>
            </w:r>
          </w:p>
        </w:tc>
      </w:tr>
      <w:tr>
        <w:trPr>
          <w:trHeight w:val="178"/>
        </w:trPr>
        <w:tc>
          <w:tcPr>
            <w:tcW w:w="66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Tin</w:t>
            </w:r>
          </w:p>
        </w:tc>
        <w:tc>
          <w:tcPr>
            <w:tcW w:w="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CID000402</w:t>
            </w:r>
          </w:p>
        </w:tc>
        <w:tc>
          <w:tcPr>
            <w:tcW w:w="36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Dowa</w:t>
            </w:r>
          </w:p>
        </w:tc>
        <w:tc>
          <w:tcPr>
            <w:tcW w:w="18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Japan</w:t>
            </w:r>
          </w:p>
        </w:tc>
        <w:tc>
          <w:tcPr>
            <w:tcW w:w="272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Conformant</w:t>
            </w:r>
          </w:p>
        </w:tc>
      </w:tr>
      <w:tr>
        <w:trPr>
          <w:trHeight w:val="178"/>
        </w:trPr>
        <w:tc>
          <w:tcPr>
            <w:tcW w:w="66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Gold</w:t>
            </w:r>
          </w:p>
        </w:tc>
        <w:tc>
          <w:tcPr>
            <w:tcW w:w="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CID000425</w:t>
            </w:r>
          </w:p>
        </w:tc>
        <w:tc>
          <w:tcPr>
            <w:tcW w:w="36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Eco-System Recycling Co., Ltd. East Plant</w:t>
            </w:r>
          </w:p>
        </w:tc>
        <w:tc>
          <w:tcPr>
            <w:tcW w:w="18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Japan</w:t>
            </w:r>
          </w:p>
        </w:tc>
        <w:tc>
          <w:tcPr>
            <w:tcW w:w="272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Conformant</w:t>
            </w:r>
          </w:p>
        </w:tc>
      </w:tr>
      <w:tr>
        <w:trPr>
          <w:trHeight w:val="178"/>
        </w:trPr>
        <w:tc>
          <w:tcPr>
            <w:tcW w:w="66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Tin</w:t>
            </w:r>
          </w:p>
        </w:tc>
        <w:tc>
          <w:tcPr>
            <w:tcW w:w="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CID000438</w:t>
            </w:r>
          </w:p>
        </w:tc>
        <w:tc>
          <w:tcPr>
            <w:tcW w:w="36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EM Vinto</w:t>
            </w:r>
          </w:p>
        </w:tc>
        <w:tc>
          <w:tcPr>
            <w:tcW w:w="18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Bolivia (Plurinational State Of)</w:t>
            </w:r>
          </w:p>
        </w:tc>
        <w:tc>
          <w:tcPr>
            <w:tcW w:w="272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Conformant</w:t>
            </w:r>
          </w:p>
        </w:tc>
      </w:tr>
      <w:tr>
        <w:trPr>
          <w:trHeight w:val="178"/>
        </w:trPr>
        <w:tc>
          <w:tcPr>
            <w:tcW w:w="66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Tin</w:t>
            </w:r>
          </w:p>
        </w:tc>
        <w:tc>
          <w:tcPr>
            <w:tcW w:w="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CID000448</w:t>
            </w:r>
          </w:p>
        </w:tc>
        <w:tc>
          <w:tcPr>
            <w:tcW w:w="36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Estanho de Rondonia S.A.</w:t>
            </w:r>
          </w:p>
        </w:tc>
        <w:tc>
          <w:tcPr>
            <w:tcW w:w="18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Brazil</w:t>
            </w:r>
          </w:p>
        </w:tc>
        <w:tc>
          <w:tcPr>
            <w:tcW w:w="272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Conformant</w:t>
            </w:r>
          </w:p>
        </w:tc>
      </w:tr>
      <w:tr>
        <w:trPr>
          <w:trHeight w:val="178"/>
        </w:trPr>
        <w:tc>
          <w:tcPr>
            <w:tcW w:w="66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Tantalum</w:t>
            </w:r>
          </w:p>
        </w:tc>
        <w:tc>
          <w:tcPr>
            <w:tcW w:w="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CID000460</w:t>
            </w:r>
          </w:p>
        </w:tc>
        <w:tc>
          <w:tcPr>
            <w:tcW w:w="36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F&amp;X Electro-Materials Ltd.</w:t>
            </w:r>
          </w:p>
        </w:tc>
        <w:tc>
          <w:tcPr>
            <w:tcW w:w="18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China</w:t>
            </w:r>
          </w:p>
        </w:tc>
        <w:tc>
          <w:tcPr>
            <w:tcW w:w="272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Conformant</w:t>
            </w:r>
          </w:p>
        </w:tc>
      </w:tr>
      <w:tr>
        <w:trPr>
          <w:trHeight w:val="178"/>
        </w:trPr>
        <w:tc>
          <w:tcPr>
            <w:tcW w:w="66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Tin</w:t>
            </w:r>
          </w:p>
        </w:tc>
        <w:tc>
          <w:tcPr>
            <w:tcW w:w="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CID000468</w:t>
            </w:r>
          </w:p>
        </w:tc>
        <w:tc>
          <w:tcPr>
            <w:tcW w:w="36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Fenix Metals</w:t>
            </w:r>
          </w:p>
        </w:tc>
        <w:tc>
          <w:tcPr>
            <w:tcW w:w="18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Poland</w:t>
            </w:r>
          </w:p>
        </w:tc>
        <w:tc>
          <w:tcPr>
            <w:tcW w:w="272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Conformant</w:t>
            </w:r>
          </w:p>
        </w:tc>
      </w:tr>
      <w:tr>
        <w:trPr>
          <w:trHeight w:val="178"/>
        </w:trPr>
        <w:tc>
          <w:tcPr>
            <w:tcW w:w="66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Gold</w:t>
            </w:r>
          </w:p>
        </w:tc>
        <w:tc>
          <w:tcPr>
            <w:tcW w:w="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CID000493</w:t>
            </w:r>
          </w:p>
        </w:tc>
        <w:tc>
          <w:tcPr>
            <w:tcW w:w="36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JSC Novosibirsk Refinery</w:t>
            </w:r>
          </w:p>
        </w:tc>
        <w:tc>
          <w:tcPr>
            <w:tcW w:w="18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Russian Federation</w:t>
            </w:r>
          </w:p>
        </w:tc>
        <w:tc>
          <w:tcPr>
            <w:tcW w:w="272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RMI Due Diligence Review - Unable to Proceed</w:t>
            </w:r>
          </w:p>
        </w:tc>
      </w:tr>
      <w:tr>
        <w:trPr>
          <w:trHeight w:val="178"/>
        </w:trPr>
        <w:tc>
          <w:tcPr>
            <w:tcW w:w="66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Tin</w:t>
            </w:r>
          </w:p>
        </w:tc>
        <w:tc>
          <w:tcPr>
            <w:tcW w:w="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CID000538</w:t>
            </w:r>
          </w:p>
        </w:tc>
        <w:tc>
          <w:tcPr>
            <w:tcW w:w="36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Gejiu Non-Ferrous Metal Processing Co., Ltd.</w:t>
            </w:r>
          </w:p>
        </w:tc>
        <w:tc>
          <w:tcPr>
            <w:tcW w:w="18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China</w:t>
            </w:r>
          </w:p>
        </w:tc>
        <w:tc>
          <w:tcPr>
            <w:tcW w:w="272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Conformant</w:t>
            </w:r>
          </w:p>
        </w:tc>
      </w:tr>
      <w:tr>
        <w:trPr>
          <w:trHeight w:val="178"/>
        </w:trPr>
        <w:tc>
          <w:tcPr>
            <w:tcW w:w="66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Tin</w:t>
            </w:r>
          </w:p>
        </w:tc>
        <w:tc>
          <w:tcPr>
            <w:tcW w:w="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CID000555</w:t>
            </w:r>
          </w:p>
        </w:tc>
        <w:tc>
          <w:tcPr>
            <w:tcW w:w="36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Gejiu Zili Mining And Metallurgy Co., Ltd.</w:t>
            </w:r>
          </w:p>
        </w:tc>
        <w:tc>
          <w:tcPr>
            <w:tcW w:w="18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China</w:t>
            </w:r>
          </w:p>
        </w:tc>
        <w:tc>
          <w:tcPr>
            <w:tcW w:w="272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Non Conformant</w:t>
            </w:r>
          </w:p>
        </w:tc>
      </w:tr>
      <w:tr>
        <w:trPr>
          <w:trHeight w:val="178"/>
        </w:trPr>
        <w:tc>
          <w:tcPr>
            <w:tcW w:w="66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Tungsten</w:t>
            </w:r>
          </w:p>
        </w:tc>
        <w:tc>
          <w:tcPr>
            <w:tcW w:w="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CID000568</w:t>
            </w:r>
          </w:p>
        </w:tc>
        <w:tc>
          <w:tcPr>
            <w:tcW w:w="36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Global Tungsten &amp; Powders LLC</w:t>
            </w:r>
          </w:p>
        </w:tc>
        <w:tc>
          <w:tcPr>
            <w:tcW w:w="18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United States Of America</w:t>
            </w:r>
          </w:p>
        </w:tc>
        <w:tc>
          <w:tcPr>
            <w:tcW w:w="272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Conformant</w:t>
            </w:r>
          </w:p>
        </w:tc>
      </w:tr>
      <w:tr>
        <w:trPr>
          <w:trHeight w:val="178"/>
        </w:trPr>
        <w:tc>
          <w:tcPr>
            <w:tcW w:w="66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Tantalum</w:t>
            </w:r>
          </w:p>
        </w:tc>
        <w:tc>
          <w:tcPr>
            <w:tcW w:w="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CID000616</w:t>
            </w:r>
          </w:p>
        </w:tc>
        <w:tc>
          <w:tcPr>
            <w:tcW w:w="36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XIMEI RESOURCES (GUANGDONG) LIMITED</w:t>
            </w:r>
          </w:p>
        </w:tc>
        <w:tc>
          <w:tcPr>
            <w:tcW w:w="18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China</w:t>
            </w:r>
          </w:p>
        </w:tc>
        <w:tc>
          <w:tcPr>
            <w:tcW w:w="272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Conformant</w:t>
            </w:r>
          </w:p>
        </w:tc>
      </w:tr>
      <w:tr>
        <w:trPr>
          <w:trHeight w:val="178"/>
        </w:trPr>
        <w:tc>
          <w:tcPr>
            <w:tcW w:w="66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Gold</w:t>
            </w:r>
          </w:p>
        </w:tc>
        <w:tc>
          <w:tcPr>
            <w:tcW w:w="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CID000671</w:t>
            </w:r>
          </w:p>
        </w:tc>
        <w:tc>
          <w:tcPr>
            <w:tcW w:w="36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Hangzhou Fuchunjiang Smelting Co., Ltd.</w:t>
            </w:r>
          </w:p>
        </w:tc>
        <w:tc>
          <w:tcPr>
            <w:tcW w:w="18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China</w:t>
            </w:r>
          </w:p>
        </w:tc>
        <w:tc>
          <w:tcPr>
            <w:tcW w:w="272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Outreach Required</w:t>
            </w:r>
          </w:p>
        </w:tc>
      </w:tr>
      <w:tr>
        <w:trPr>
          <w:trHeight w:val="178"/>
        </w:trPr>
        <w:tc>
          <w:tcPr>
            <w:tcW w:w="66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Gold</w:t>
            </w:r>
          </w:p>
        </w:tc>
        <w:tc>
          <w:tcPr>
            <w:tcW w:w="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CID000689</w:t>
            </w:r>
          </w:p>
        </w:tc>
        <w:tc>
          <w:tcPr>
            <w:tcW w:w="36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LT Metal Ltd.</w:t>
            </w:r>
          </w:p>
        </w:tc>
        <w:tc>
          <w:tcPr>
            <w:tcW w:w="18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Korea, Republic Of</w:t>
            </w:r>
          </w:p>
        </w:tc>
        <w:tc>
          <w:tcPr>
            <w:tcW w:w="272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Conformant</w:t>
            </w:r>
          </w:p>
        </w:tc>
      </w:tr>
      <w:tr>
        <w:trPr>
          <w:trHeight w:val="178"/>
        </w:trPr>
        <w:tc>
          <w:tcPr>
            <w:tcW w:w="66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Gold</w:t>
            </w:r>
          </w:p>
        </w:tc>
        <w:tc>
          <w:tcPr>
            <w:tcW w:w="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CID000694</w:t>
            </w:r>
          </w:p>
        </w:tc>
        <w:tc>
          <w:tcPr>
            <w:tcW w:w="36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Heimerle + Meule GmbH</w:t>
            </w:r>
          </w:p>
        </w:tc>
        <w:tc>
          <w:tcPr>
            <w:tcW w:w="18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Germany</w:t>
            </w:r>
          </w:p>
        </w:tc>
        <w:tc>
          <w:tcPr>
            <w:tcW w:w="272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Conformant</w:t>
            </w:r>
          </w:p>
        </w:tc>
      </w:tr>
      <w:tr>
        <w:trPr>
          <w:trHeight w:val="178"/>
        </w:trPr>
        <w:tc>
          <w:tcPr>
            <w:tcW w:w="66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Gold</w:t>
            </w:r>
          </w:p>
        </w:tc>
        <w:tc>
          <w:tcPr>
            <w:tcW w:w="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CID000707</w:t>
            </w:r>
          </w:p>
        </w:tc>
        <w:tc>
          <w:tcPr>
            <w:tcW w:w="36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Heraeus Metals Hong Kong Ltd.</w:t>
            </w:r>
          </w:p>
        </w:tc>
        <w:tc>
          <w:tcPr>
            <w:tcW w:w="18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China</w:t>
            </w:r>
          </w:p>
        </w:tc>
        <w:tc>
          <w:tcPr>
            <w:tcW w:w="272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Conformant</w:t>
            </w:r>
          </w:p>
        </w:tc>
      </w:tr>
      <w:tr>
        <w:trPr>
          <w:trHeight w:val="178"/>
        </w:trPr>
        <w:tc>
          <w:tcPr>
            <w:tcW w:w="66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Gold</w:t>
            </w:r>
          </w:p>
        </w:tc>
        <w:tc>
          <w:tcPr>
            <w:tcW w:w="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CID000711</w:t>
            </w:r>
          </w:p>
        </w:tc>
        <w:tc>
          <w:tcPr>
            <w:tcW w:w="36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Heraeus Germany GmbH Co. KG</w:t>
            </w:r>
          </w:p>
        </w:tc>
        <w:tc>
          <w:tcPr>
            <w:tcW w:w="18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Germany</w:t>
            </w:r>
          </w:p>
        </w:tc>
        <w:tc>
          <w:tcPr>
            <w:tcW w:w="272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Conformant</w:t>
            </w:r>
          </w:p>
        </w:tc>
      </w:tr>
      <w:tr>
        <w:trPr>
          <w:trHeight w:val="178"/>
        </w:trPr>
        <w:tc>
          <w:tcPr>
            <w:tcW w:w="66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Gold</w:t>
            </w:r>
          </w:p>
        </w:tc>
        <w:tc>
          <w:tcPr>
            <w:tcW w:w="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CID000767</w:t>
            </w:r>
          </w:p>
        </w:tc>
        <w:tc>
          <w:tcPr>
            <w:tcW w:w="36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Hunan Chenzhou Mining Co., Ltd.</w:t>
            </w:r>
          </w:p>
        </w:tc>
        <w:tc>
          <w:tcPr>
            <w:tcW w:w="18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China</w:t>
            </w:r>
          </w:p>
        </w:tc>
        <w:tc>
          <w:tcPr>
            <w:tcW w:w="272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Outreach Required</w:t>
            </w:r>
          </w:p>
        </w:tc>
      </w:tr>
      <w:tr>
        <w:trPr>
          <w:trHeight w:val="178"/>
        </w:trPr>
        <w:tc>
          <w:tcPr>
            <w:tcW w:w="66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Tungsten</w:t>
            </w:r>
          </w:p>
        </w:tc>
        <w:tc>
          <w:tcPr>
            <w:tcW w:w="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CID000769</w:t>
            </w:r>
          </w:p>
        </w:tc>
        <w:tc>
          <w:tcPr>
            <w:tcW w:w="36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Hunan Jintai New Material Co., Ltd.</w:t>
            </w:r>
          </w:p>
        </w:tc>
        <w:tc>
          <w:tcPr>
            <w:tcW w:w="18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China</w:t>
            </w:r>
          </w:p>
        </w:tc>
        <w:tc>
          <w:tcPr>
            <w:tcW w:w="272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Non Conformant</w:t>
            </w:r>
          </w:p>
        </w:tc>
      </w:tr>
      <w:tr>
        <w:trPr>
          <w:trHeight w:val="178"/>
        </w:trPr>
        <w:tc>
          <w:tcPr>
            <w:tcW w:w="66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Gold</w:t>
            </w:r>
          </w:p>
        </w:tc>
        <w:tc>
          <w:tcPr>
            <w:tcW w:w="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CID000773</w:t>
            </w:r>
          </w:p>
        </w:tc>
        <w:tc>
          <w:tcPr>
            <w:tcW w:w="36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Hunan Guiyang yinxing Nonferrous Smelting Co., Ltd.</w:t>
            </w:r>
          </w:p>
        </w:tc>
        <w:tc>
          <w:tcPr>
            <w:tcW w:w="18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China</w:t>
            </w:r>
          </w:p>
        </w:tc>
        <w:tc>
          <w:tcPr>
            <w:tcW w:w="272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Outreach Required</w:t>
            </w:r>
          </w:p>
        </w:tc>
      </w:tr>
      <w:tr>
        <w:trPr>
          <w:trHeight w:val="178"/>
        </w:trPr>
        <w:tc>
          <w:tcPr>
            <w:tcW w:w="66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Gold</w:t>
            </w:r>
          </w:p>
        </w:tc>
        <w:tc>
          <w:tcPr>
            <w:tcW w:w="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CID000778</w:t>
            </w:r>
          </w:p>
        </w:tc>
        <w:tc>
          <w:tcPr>
            <w:tcW w:w="36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HwaSeong CJ CO., LTD.</w:t>
            </w:r>
          </w:p>
        </w:tc>
        <w:tc>
          <w:tcPr>
            <w:tcW w:w="18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Korea, Republic Of</w:t>
            </w:r>
          </w:p>
        </w:tc>
        <w:tc>
          <w:tcPr>
            <w:tcW w:w="272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Communication Suspended - Not Interested</w:t>
            </w:r>
          </w:p>
        </w:tc>
      </w:tr>
      <w:tr>
        <w:trPr>
          <w:trHeight w:val="178"/>
        </w:trPr>
        <w:tc>
          <w:tcPr>
            <w:tcW w:w="66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Gold</w:t>
            </w:r>
          </w:p>
        </w:tc>
        <w:tc>
          <w:tcPr>
            <w:tcW w:w="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CID000801</w:t>
            </w:r>
          </w:p>
        </w:tc>
        <w:tc>
          <w:tcPr>
            <w:tcW w:w="36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Inner Mongolia Qiankun Gold and Silver Refinery Share Co., Ltd.</w:t>
            </w:r>
          </w:p>
        </w:tc>
        <w:tc>
          <w:tcPr>
            <w:tcW w:w="18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China</w:t>
            </w:r>
          </w:p>
        </w:tc>
        <w:tc>
          <w:tcPr>
            <w:tcW w:w="272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Conformant</w:t>
            </w:r>
          </w:p>
        </w:tc>
      </w:tr>
      <w:tr>
        <w:trPr>
          <w:trHeight w:val="396"/>
        </w:trPr>
        <w:tc>
          <w:tcPr>
            <w:tcW w:w="12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560" w:type="dxa"/>
            <w:vAlign w:val="bottom"/>
          </w:tcPr>
          <w:p>
            <w:pPr>
              <w:spacing w:after="0"/>
              <w:rPr>
                <w:sz w:val="24"/>
                <w:szCs w:val="24"/>
                <w:color w:val="auto"/>
              </w:rPr>
            </w:pPr>
          </w:p>
        </w:tc>
      </w:tr>
    </w:tbl>
    <w:p>
      <w:pPr>
        <w:sectPr>
          <w:pgSz w:w="11900" w:h="16838" w:orient="portrait"/>
          <w:cols w:equalWidth="0" w:num="1">
            <w:col w:w="9620"/>
          </w:cols>
          <w:pgMar w:left="1340" w:top="753" w:right="939" w:bottom="1440" w:gutter="0" w:footer="0" w:header="0"/>
        </w:sectPr>
      </w:pPr>
    </w:p>
    <w:bookmarkStart w:id="14" w:name="page15"/>
    <w:bookmarkEnd w:id="1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98"/>
        </w:trPr>
        <w:tc>
          <w:tcPr>
            <w:tcW w:w="740" w:type="dxa"/>
            <w:vAlign w:val="bottom"/>
            <w:tcBorders>
              <w:top w:val="single" w:sz="8" w:color="auto"/>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Gold</w:t>
            </w:r>
          </w:p>
        </w:tc>
        <w:tc>
          <w:tcPr>
            <w:tcW w:w="90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CID000807</w:t>
            </w:r>
          </w:p>
        </w:tc>
        <w:tc>
          <w:tcPr>
            <w:tcW w:w="318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Ishifuku Metal Industry Co., Ltd.</w:t>
            </w:r>
          </w:p>
        </w:tc>
        <w:tc>
          <w:tcPr>
            <w:tcW w:w="166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Japan</w:t>
            </w:r>
          </w:p>
        </w:tc>
        <w:tc>
          <w:tcPr>
            <w:tcW w:w="2720" w:type="dxa"/>
            <w:vAlign w:val="bottom"/>
            <w:tcBorders>
              <w:top w:val="single" w:sz="8" w:color="auto"/>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Conformant</w:t>
            </w:r>
          </w:p>
        </w:tc>
      </w:tr>
      <w:tr>
        <w:trPr>
          <w:trHeight w:val="178"/>
        </w:trPr>
        <w:tc>
          <w:tcPr>
            <w:tcW w:w="74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Gold</w:t>
            </w:r>
          </w:p>
        </w:tc>
        <w:tc>
          <w:tcPr>
            <w:tcW w:w="9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CID000814</w:t>
            </w:r>
          </w:p>
        </w:tc>
        <w:tc>
          <w:tcPr>
            <w:tcW w:w="31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Istanbul Gold Refinery</w:t>
            </w:r>
          </w:p>
        </w:tc>
        <w:tc>
          <w:tcPr>
            <w:tcW w:w="16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Turkey</w:t>
            </w:r>
          </w:p>
        </w:tc>
        <w:tc>
          <w:tcPr>
            <w:tcW w:w="272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Conformant</w:t>
            </w:r>
          </w:p>
        </w:tc>
      </w:tr>
      <w:tr>
        <w:trPr>
          <w:trHeight w:val="178"/>
        </w:trPr>
        <w:tc>
          <w:tcPr>
            <w:tcW w:w="74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Gold</w:t>
            </w:r>
          </w:p>
        </w:tc>
        <w:tc>
          <w:tcPr>
            <w:tcW w:w="9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CID000823</w:t>
            </w:r>
          </w:p>
        </w:tc>
        <w:tc>
          <w:tcPr>
            <w:tcW w:w="31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Japan Mint</w:t>
            </w:r>
          </w:p>
        </w:tc>
        <w:tc>
          <w:tcPr>
            <w:tcW w:w="16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Japan</w:t>
            </w:r>
          </w:p>
        </w:tc>
        <w:tc>
          <w:tcPr>
            <w:tcW w:w="272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Conformant</w:t>
            </w:r>
          </w:p>
        </w:tc>
      </w:tr>
      <w:tr>
        <w:trPr>
          <w:trHeight w:val="178"/>
        </w:trPr>
        <w:tc>
          <w:tcPr>
            <w:tcW w:w="74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Tungsten</w:t>
            </w:r>
          </w:p>
        </w:tc>
        <w:tc>
          <w:tcPr>
            <w:tcW w:w="9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CID000825</w:t>
            </w:r>
          </w:p>
        </w:tc>
        <w:tc>
          <w:tcPr>
            <w:tcW w:w="31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Japan New Metals Co., Ltd.</w:t>
            </w:r>
          </w:p>
        </w:tc>
        <w:tc>
          <w:tcPr>
            <w:tcW w:w="16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Japan</w:t>
            </w:r>
          </w:p>
        </w:tc>
        <w:tc>
          <w:tcPr>
            <w:tcW w:w="272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Conformant</w:t>
            </w:r>
          </w:p>
        </w:tc>
      </w:tr>
      <w:tr>
        <w:trPr>
          <w:trHeight w:val="178"/>
        </w:trPr>
        <w:tc>
          <w:tcPr>
            <w:tcW w:w="74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Gold</w:t>
            </w:r>
          </w:p>
        </w:tc>
        <w:tc>
          <w:tcPr>
            <w:tcW w:w="9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CID000855</w:t>
            </w:r>
          </w:p>
        </w:tc>
        <w:tc>
          <w:tcPr>
            <w:tcW w:w="31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Jiangxi Copper Co., Ltd.</w:t>
            </w:r>
          </w:p>
        </w:tc>
        <w:tc>
          <w:tcPr>
            <w:tcW w:w="16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China</w:t>
            </w:r>
          </w:p>
        </w:tc>
        <w:tc>
          <w:tcPr>
            <w:tcW w:w="272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Conformant</w:t>
            </w:r>
          </w:p>
        </w:tc>
      </w:tr>
      <w:tr>
        <w:trPr>
          <w:trHeight w:val="178"/>
        </w:trPr>
        <w:tc>
          <w:tcPr>
            <w:tcW w:w="74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Tantalum</w:t>
            </w:r>
          </w:p>
        </w:tc>
        <w:tc>
          <w:tcPr>
            <w:tcW w:w="9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CID000914</w:t>
            </w:r>
          </w:p>
        </w:tc>
        <w:tc>
          <w:tcPr>
            <w:tcW w:w="31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JiuJiang JinXin Nonferrous Metals Co., Ltd.</w:t>
            </w:r>
          </w:p>
        </w:tc>
        <w:tc>
          <w:tcPr>
            <w:tcW w:w="16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China</w:t>
            </w:r>
          </w:p>
        </w:tc>
        <w:tc>
          <w:tcPr>
            <w:tcW w:w="272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Conformant</w:t>
            </w:r>
          </w:p>
        </w:tc>
      </w:tr>
      <w:tr>
        <w:trPr>
          <w:trHeight w:val="178"/>
        </w:trPr>
        <w:tc>
          <w:tcPr>
            <w:tcW w:w="74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Tantalum</w:t>
            </w:r>
          </w:p>
        </w:tc>
        <w:tc>
          <w:tcPr>
            <w:tcW w:w="9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CID000917</w:t>
            </w:r>
          </w:p>
        </w:tc>
        <w:tc>
          <w:tcPr>
            <w:tcW w:w="31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Jiujiang Tanbre Co., Ltd.</w:t>
            </w:r>
          </w:p>
        </w:tc>
        <w:tc>
          <w:tcPr>
            <w:tcW w:w="16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China</w:t>
            </w:r>
          </w:p>
        </w:tc>
        <w:tc>
          <w:tcPr>
            <w:tcW w:w="272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Conformant</w:t>
            </w:r>
          </w:p>
        </w:tc>
      </w:tr>
      <w:tr>
        <w:trPr>
          <w:trHeight w:val="178"/>
        </w:trPr>
        <w:tc>
          <w:tcPr>
            <w:tcW w:w="74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Gold</w:t>
            </w:r>
          </w:p>
        </w:tc>
        <w:tc>
          <w:tcPr>
            <w:tcW w:w="9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CID000920</w:t>
            </w:r>
          </w:p>
        </w:tc>
        <w:tc>
          <w:tcPr>
            <w:tcW w:w="31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Asahi Refining USA Inc.</w:t>
            </w:r>
          </w:p>
        </w:tc>
        <w:tc>
          <w:tcPr>
            <w:tcW w:w="16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United States Of America</w:t>
            </w:r>
          </w:p>
        </w:tc>
        <w:tc>
          <w:tcPr>
            <w:tcW w:w="272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Conformant</w:t>
            </w:r>
          </w:p>
        </w:tc>
      </w:tr>
      <w:tr>
        <w:trPr>
          <w:trHeight w:val="178"/>
        </w:trPr>
        <w:tc>
          <w:tcPr>
            <w:tcW w:w="74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Gold</w:t>
            </w:r>
          </w:p>
        </w:tc>
        <w:tc>
          <w:tcPr>
            <w:tcW w:w="9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CID000924</w:t>
            </w:r>
          </w:p>
        </w:tc>
        <w:tc>
          <w:tcPr>
            <w:tcW w:w="31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Asahi Refining Canada Ltd.</w:t>
            </w:r>
          </w:p>
        </w:tc>
        <w:tc>
          <w:tcPr>
            <w:tcW w:w="16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Canada</w:t>
            </w:r>
          </w:p>
        </w:tc>
        <w:tc>
          <w:tcPr>
            <w:tcW w:w="272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Conformant</w:t>
            </w:r>
          </w:p>
        </w:tc>
      </w:tr>
      <w:tr>
        <w:trPr>
          <w:trHeight w:val="178"/>
        </w:trPr>
        <w:tc>
          <w:tcPr>
            <w:tcW w:w="74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Gold</w:t>
            </w:r>
          </w:p>
        </w:tc>
        <w:tc>
          <w:tcPr>
            <w:tcW w:w="9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CID000927</w:t>
            </w:r>
          </w:p>
        </w:tc>
        <w:tc>
          <w:tcPr>
            <w:tcW w:w="31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JSC Ekaterinburg Non-Ferrous Metal Processing Plant</w:t>
            </w:r>
          </w:p>
        </w:tc>
        <w:tc>
          <w:tcPr>
            <w:tcW w:w="16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Russian Federation</w:t>
            </w:r>
          </w:p>
        </w:tc>
        <w:tc>
          <w:tcPr>
            <w:tcW w:w="272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RMI Due Diligence Review - Unable to Proceed</w:t>
            </w:r>
          </w:p>
        </w:tc>
      </w:tr>
      <w:tr>
        <w:trPr>
          <w:trHeight w:val="178"/>
        </w:trPr>
        <w:tc>
          <w:tcPr>
            <w:tcW w:w="74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Gold</w:t>
            </w:r>
          </w:p>
        </w:tc>
        <w:tc>
          <w:tcPr>
            <w:tcW w:w="9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CID000929</w:t>
            </w:r>
          </w:p>
        </w:tc>
        <w:tc>
          <w:tcPr>
            <w:tcW w:w="31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JSC Uralelectromed</w:t>
            </w:r>
          </w:p>
        </w:tc>
        <w:tc>
          <w:tcPr>
            <w:tcW w:w="16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Russian Federation</w:t>
            </w:r>
          </w:p>
        </w:tc>
        <w:tc>
          <w:tcPr>
            <w:tcW w:w="272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RMI Due Diligence Review - Unable to Proceed</w:t>
            </w:r>
          </w:p>
        </w:tc>
      </w:tr>
      <w:tr>
        <w:trPr>
          <w:trHeight w:val="178"/>
        </w:trPr>
        <w:tc>
          <w:tcPr>
            <w:tcW w:w="74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Gold</w:t>
            </w:r>
          </w:p>
        </w:tc>
        <w:tc>
          <w:tcPr>
            <w:tcW w:w="9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CID000937</w:t>
            </w:r>
          </w:p>
        </w:tc>
        <w:tc>
          <w:tcPr>
            <w:tcW w:w="31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JX Nippon Mining &amp; Metals Co., Ltd.</w:t>
            </w:r>
          </w:p>
        </w:tc>
        <w:tc>
          <w:tcPr>
            <w:tcW w:w="16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Japan</w:t>
            </w:r>
          </w:p>
        </w:tc>
        <w:tc>
          <w:tcPr>
            <w:tcW w:w="272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Conformant</w:t>
            </w:r>
          </w:p>
        </w:tc>
      </w:tr>
      <w:tr>
        <w:trPr>
          <w:trHeight w:val="178"/>
        </w:trPr>
        <w:tc>
          <w:tcPr>
            <w:tcW w:w="74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Tin</w:t>
            </w:r>
          </w:p>
        </w:tc>
        <w:tc>
          <w:tcPr>
            <w:tcW w:w="9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CID000942</w:t>
            </w:r>
          </w:p>
        </w:tc>
        <w:tc>
          <w:tcPr>
            <w:tcW w:w="31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Gejiu Kai Meng Industry and Trade LLC</w:t>
            </w:r>
          </w:p>
        </w:tc>
        <w:tc>
          <w:tcPr>
            <w:tcW w:w="16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China</w:t>
            </w:r>
          </w:p>
        </w:tc>
        <w:tc>
          <w:tcPr>
            <w:tcW w:w="272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Non Conformant</w:t>
            </w:r>
          </w:p>
        </w:tc>
      </w:tr>
      <w:tr>
        <w:trPr>
          <w:trHeight w:val="178"/>
        </w:trPr>
        <w:tc>
          <w:tcPr>
            <w:tcW w:w="74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Gold</w:t>
            </w:r>
          </w:p>
        </w:tc>
        <w:tc>
          <w:tcPr>
            <w:tcW w:w="9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CID000956</w:t>
            </w:r>
          </w:p>
        </w:tc>
        <w:tc>
          <w:tcPr>
            <w:tcW w:w="31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Kazakhmys Smelting LLC</w:t>
            </w:r>
          </w:p>
        </w:tc>
        <w:tc>
          <w:tcPr>
            <w:tcW w:w="16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Kazakhstan</w:t>
            </w:r>
          </w:p>
        </w:tc>
        <w:tc>
          <w:tcPr>
            <w:tcW w:w="272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Outreach Required</w:t>
            </w:r>
          </w:p>
        </w:tc>
      </w:tr>
      <w:tr>
        <w:trPr>
          <w:trHeight w:val="178"/>
        </w:trPr>
        <w:tc>
          <w:tcPr>
            <w:tcW w:w="74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Gold</w:t>
            </w:r>
          </w:p>
        </w:tc>
        <w:tc>
          <w:tcPr>
            <w:tcW w:w="9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CID000957</w:t>
            </w:r>
          </w:p>
        </w:tc>
        <w:tc>
          <w:tcPr>
            <w:tcW w:w="31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Kazzinc</w:t>
            </w:r>
          </w:p>
        </w:tc>
        <w:tc>
          <w:tcPr>
            <w:tcW w:w="16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Kazakhstan</w:t>
            </w:r>
          </w:p>
        </w:tc>
        <w:tc>
          <w:tcPr>
            <w:tcW w:w="272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Conformant</w:t>
            </w:r>
          </w:p>
        </w:tc>
      </w:tr>
      <w:tr>
        <w:trPr>
          <w:trHeight w:val="178"/>
        </w:trPr>
        <w:tc>
          <w:tcPr>
            <w:tcW w:w="74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Tungsten</w:t>
            </w:r>
          </w:p>
        </w:tc>
        <w:tc>
          <w:tcPr>
            <w:tcW w:w="9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CID000966</w:t>
            </w:r>
          </w:p>
        </w:tc>
        <w:tc>
          <w:tcPr>
            <w:tcW w:w="31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Kennametal Fallon</w:t>
            </w:r>
          </w:p>
        </w:tc>
        <w:tc>
          <w:tcPr>
            <w:tcW w:w="16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United States Of America</w:t>
            </w:r>
          </w:p>
        </w:tc>
        <w:tc>
          <w:tcPr>
            <w:tcW w:w="272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Conformant</w:t>
            </w:r>
          </w:p>
        </w:tc>
      </w:tr>
      <w:tr>
        <w:trPr>
          <w:trHeight w:val="178"/>
        </w:trPr>
        <w:tc>
          <w:tcPr>
            <w:tcW w:w="74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Gold</w:t>
            </w:r>
          </w:p>
        </w:tc>
        <w:tc>
          <w:tcPr>
            <w:tcW w:w="9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CID000969</w:t>
            </w:r>
          </w:p>
        </w:tc>
        <w:tc>
          <w:tcPr>
            <w:tcW w:w="31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Kennecott Utah Copper LLC</w:t>
            </w:r>
          </w:p>
        </w:tc>
        <w:tc>
          <w:tcPr>
            <w:tcW w:w="16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United States Of America</w:t>
            </w:r>
          </w:p>
        </w:tc>
        <w:tc>
          <w:tcPr>
            <w:tcW w:w="272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Conformant</w:t>
            </w:r>
          </w:p>
        </w:tc>
      </w:tr>
      <w:tr>
        <w:trPr>
          <w:trHeight w:val="178"/>
        </w:trPr>
        <w:tc>
          <w:tcPr>
            <w:tcW w:w="74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Gold</w:t>
            </w:r>
          </w:p>
        </w:tc>
        <w:tc>
          <w:tcPr>
            <w:tcW w:w="9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CID000981</w:t>
            </w:r>
          </w:p>
        </w:tc>
        <w:tc>
          <w:tcPr>
            <w:tcW w:w="31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Kojima Chemicals Co., Ltd.</w:t>
            </w:r>
          </w:p>
        </w:tc>
        <w:tc>
          <w:tcPr>
            <w:tcW w:w="16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Japan</w:t>
            </w:r>
          </w:p>
        </w:tc>
        <w:tc>
          <w:tcPr>
            <w:tcW w:w="272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Conformant</w:t>
            </w:r>
          </w:p>
        </w:tc>
      </w:tr>
      <w:tr>
        <w:trPr>
          <w:trHeight w:val="178"/>
        </w:trPr>
        <w:tc>
          <w:tcPr>
            <w:tcW w:w="74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Gold</w:t>
            </w:r>
          </w:p>
        </w:tc>
        <w:tc>
          <w:tcPr>
            <w:tcW w:w="9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CID001029</w:t>
            </w:r>
          </w:p>
        </w:tc>
        <w:tc>
          <w:tcPr>
            <w:tcW w:w="31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Kyrgyzaltyn JSC</w:t>
            </w:r>
          </w:p>
        </w:tc>
        <w:tc>
          <w:tcPr>
            <w:tcW w:w="16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Kyrgyzstan</w:t>
            </w:r>
          </w:p>
        </w:tc>
        <w:tc>
          <w:tcPr>
            <w:tcW w:w="272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Non Conformant</w:t>
            </w:r>
          </w:p>
        </w:tc>
      </w:tr>
      <w:tr>
        <w:trPr>
          <w:trHeight w:val="178"/>
        </w:trPr>
        <w:tc>
          <w:tcPr>
            <w:tcW w:w="74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Gold</w:t>
            </w:r>
          </w:p>
        </w:tc>
        <w:tc>
          <w:tcPr>
            <w:tcW w:w="9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CID001056</w:t>
            </w:r>
          </w:p>
        </w:tc>
        <w:tc>
          <w:tcPr>
            <w:tcW w:w="31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Lingbao Gold Co., Ltd.</w:t>
            </w:r>
          </w:p>
        </w:tc>
        <w:tc>
          <w:tcPr>
            <w:tcW w:w="16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China</w:t>
            </w:r>
          </w:p>
        </w:tc>
        <w:tc>
          <w:tcPr>
            <w:tcW w:w="272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Outreach Required</w:t>
            </w:r>
          </w:p>
        </w:tc>
      </w:tr>
      <w:tr>
        <w:trPr>
          <w:trHeight w:val="178"/>
        </w:trPr>
        <w:tc>
          <w:tcPr>
            <w:tcW w:w="74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Tin</w:t>
            </w:r>
          </w:p>
        </w:tc>
        <w:tc>
          <w:tcPr>
            <w:tcW w:w="9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CID001070</w:t>
            </w:r>
          </w:p>
        </w:tc>
        <w:tc>
          <w:tcPr>
            <w:tcW w:w="31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China Tin Group Co., Ltd.</w:t>
            </w:r>
          </w:p>
        </w:tc>
        <w:tc>
          <w:tcPr>
            <w:tcW w:w="16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China</w:t>
            </w:r>
          </w:p>
        </w:tc>
        <w:tc>
          <w:tcPr>
            <w:tcW w:w="272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Conformant</w:t>
            </w:r>
          </w:p>
        </w:tc>
      </w:tr>
      <w:tr>
        <w:trPr>
          <w:trHeight w:val="178"/>
        </w:trPr>
        <w:tc>
          <w:tcPr>
            <w:tcW w:w="74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Tantalum</w:t>
            </w:r>
          </w:p>
        </w:tc>
        <w:tc>
          <w:tcPr>
            <w:tcW w:w="9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CID001076</w:t>
            </w:r>
          </w:p>
        </w:tc>
        <w:tc>
          <w:tcPr>
            <w:tcW w:w="31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AMG Brasil</w:t>
            </w:r>
          </w:p>
        </w:tc>
        <w:tc>
          <w:tcPr>
            <w:tcW w:w="16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Brazil</w:t>
            </w:r>
          </w:p>
        </w:tc>
        <w:tc>
          <w:tcPr>
            <w:tcW w:w="272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Conformant</w:t>
            </w:r>
          </w:p>
        </w:tc>
      </w:tr>
      <w:tr>
        <w:trPr>
          <w:trHeight w:val="178"/>
        </w:trPr>
        <w:tc>
          <w:tcPr>
            <w:tcW w:w="74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Gold</w:t>
            </w:r>
          </w:p>
        </w:tc>
        <w:tc>
          <w:tcPr>
            <w:tcW w:w="9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CID001078</w:t>
            </w:r>
          </w:p>
        </w:tc>
        <w:tc>
          <w:tcPr>
            <w:tcW w:w="31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LS MnM Inc.</w:t>
            </w:r>
          </w:p>
        </w:tc>
        <w:tc>
          <w:tcPr>
            <w:tcW w:w="16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Korea, Republic Of</w:t>
            </w:r>
          </w:p>
        </w:tc>
        <w:tc>
          <w:tcPr>
            <w:tcW w:w="272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Conformant</w:t>
            </w:r>
          </w:p>
        </w:tc>
      </w:tr>
      <w:tr>
        <w:trPr>
          <w:trHeight w:val="178"/>
        </w:trPr>
        <w:tc>
          <w:tcPr>
            <w:tcW w:w="74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Gold</w:t>
            </w:r>
          </w:p>
        </w:tc>
        <w:tc>
          <w:tcPr>
            <w:tcW w:w="9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CID001093</w:t>
            </w:r>
          </w:p>
        </w:tc>
        <w:tc>
          <w:tcPr>
            <w:tcW w:w="31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Luoyang Zijin Yinhui Gold Refinery Co., Ltd.</w:t>
            </w:r>
          </w:p>
        </w:tc>
        <w:tc>
          <w:tcPr>
            <w:tcW w:w="16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China</w:t>
            </w:r>
          </w:p>
        </w:tc>
        <w:tc>
          <w:tcPr>
            <w:tcW w:w="272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Outreach Required</w:t>
            </w:r>
          </w:p>
        </w:tc>
      </w:tr>
      <w:tr>
        <w:trPr>
          <w:trHeight w:val="178"/>
        </w:trPr>
        <w:tc>
          <w:tcPr>
            <w:tcW w:w="74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Gold</w:t>
            </w:r>
          </w:p>
        </w:tc>
        <w:tc>
          <w:tcPr>
            <w:tcW w:w="9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CID001113</w:t>
            </w:r>
          </w:p>
        </w:tc>
        <w:tc>
          <w:tcPr>
            <w:tcW w:w="31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Materion</w:t>
            </w:r>
          </w:p>
        </w:tc>
        <w:tc>
          <w:tcPr>
            <w:tcW w:w="16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United States Of America</w:t>
            </w:r>
          </w:p>
        </w:tc>
        <w:tc>
          <w:tcPr>
            <w:tcW w:w="272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Conformant</w:t>
            </w:r>
          </w:p>
        </w:tc>
      </w:tr>
      <w:tr>
        <w:trPr>
          <w:trHeight w:val="178"/>
        </w:trPr>
        <w:tc>
          <w:tcPr>
            <w:tcW w:w="74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Gold</w:t>
            </w:r>
          </w:p>
        </w:tc>
        <w:tc>
          <w:tcPr>
            <w:tcW w:w="9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CID001119</w:t>
            </w:r>
          </w:p>
        </w:tc>
        <w:tc>
          <w:tcPr>
            <w:tcW w:w="31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Matsuda Sangyo Co., Ltd.</w:t>
            </w:r>
          </w:p>
        </w:tc>
        <w:tc>
          <w:tcPr>
            <w:tcW w:w="16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Japan</w:t>
            </w:r>
          </w:p>
        </w:tc>
        <w:tc>
          <w:tcPr>
            <w:tcW w:w="272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Conformant</w:t>
            </w:r>
          </w:p>
        </w:tc>
      </w:tr>
      <w:tr>
        <w:trPr>
          <w:trHeight w:val="178"/>
        </w:trPr>
        <w:tc>
          <w:tcPr>
            <w:tcW w:w="74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Tin</w:t>
            </w:r>
          </w:p>
        </w:tc>
        <w:tc>
          <w:tcPr>
            <w:tcW w:w="9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CID001142</w:t>
            </w:r>
          </w:p>
        </w:tc>
        <w:tc>
          <w:tcPr>
            <w:tcW w:w="31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Metallic Resources, Inc.</w:t>
            </w:r>
          </w:p>
        </w:tc>
        <w:tc>
          <w:tcPr>
            <w:tcW w:w="16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United States Of America</w:t>
            </w:r>
          </w:p>
        </w:tc>
        <w:tc>
          <w:tcPr>
            <w:tcW w:w="272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Conformant</w:t>
            </w:r>
          </w:p>
        </w:tc>
      </w:tr>
      <w:tr>
        <w:trPr>
          <w:trHeight w:val="178"/>
        </w:trPr>
        <w:tc>
          <w:tcPr>
            <w:tcW w:w="74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Gold</w:t>
            </w:r>
          </w:p>
        </w:tc>
        <w:tc>
          <w:tcPr>
            <w:tcW w:w="9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CID001147</w:t>
            </w:r>
          </w:p>
        </w:tc>
        <w:tc>
          <w:tcPr>
            <w:tcW w:w="31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Metalor Technologies (Suzhou) Ltd.</w:t>
            </w:r>
          </w:p>
        </w:tc>
        <w:tc>
          <w:tcPr>
            <w:tcW w:w="16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China</w:t>
            </w:r>
          </w:p>
        </w:tc>
        <w:tc>
          <w:tcPr>
            <w:tcW w:w="272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Conformant</w:t>
            </w:r>
          </w:p>
        </w:tc>
      </w:tr>
      <w:tr>
        <w:trPr>
          <w:trHeight w:val="178"/>
        </w:trPr>
        <w:tc>
          <w:tcPr>
            <w:tcW w:w="74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Gold</w:t>
            </w:r>
          </w:p>
        </w:tc>
        <w:tc>
          <w:tcPr>
            <w:tcW w:w="9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CID001149</w:t>
            </w:r>
          </w:p>
        </w:tc>
        <w:tc>
          <w:tcPr>
            <w:tcW w:w="31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Metalor Technologies (Hong Kong) Ltd.</w:t>
            </w:r>
          </w:p>
        </w:tc>
        <w:tc>
          <w:tcPr>
            <w:tcW w:w="16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China</w:t>
            </w:r>
          </w:p>
        </w:tc>
        <w:tc>
          <w:tcPr>
            <w:tcW w:w="272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Conformant</w:t>
            </w:r>
          </w:p>
        </w:tc>
      </w:tr>
      <w:tr>
        <w:trPr>
          <w:trHeight w:val="178"/>
        </w:trPr>
        <w:tc>
          <w:tcPr>
            <w:tcW w:w="74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Gold</w:t>
            </w:r>
          </w:p>
        </w:tc>
        <w:tc>
          <w:tcPr>
            <w:tcW w:w="9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CID001152</w:t>
            </w:r>
          </w:p>
        </w:tc>
        <w:tc>
          <w:tcPr>
            <w:tcW w:w="31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Metalor Technologies (Singapore) Pte., Ltd.</w:t>
            </w:r>
          </w:p>
        </w:tc>
        <w:tc>
          <w:tcPr>
            <w:tcW w:w="16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Singapore</w:t>
            </w:r>
          </w:p>
        </w:tc>
        <w:tc>
          <w:tcPr>
            <w:tcW w:w="272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Conformant</w:t>
            </w:r>
          </w:p>
        </w:tc>
      </w:tr>
      <w:tr>
        <w:trPr>
          <w:trHeight w:val="178"/>
        </w:trPr>
        <w:tc>
          <w:tcPr>
            <w:tcW w:w="74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Gold</w:t>
            </w:r>
          </w:p>
        </w:tc>
        <w:tc>
          <w:tcPr>
            <w:tcW w:w="9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CID001153</w:t>
            </w:r>
          </w:p>
        </w:tc>
        <w:tc>
          <w:tcPr>
            <w:tcW w:w="31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Metalor Technologies S.A.</w:t>
            </w:r>
          </w:p>
        </w:tc>
        <w:tc>
          <w:tcPr>
            <w:tcW w:w="16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Switzerland</w:t>
            </w:r>
          </w:p>
        </w:tc>
        <w:tc>
          <w:tcPr>
            <w:tcW w:w="272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Conformant</w:t>
            </w:r>
          </w:p>
        </w:tc>
      </w:tr>
      <w:tr>
        <w:trPr>
          <w:trHeight w:val="178"/>
        </w:trPr>
        <w:tc>
          <w:tcPr>
            <w:tcW w:w="74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Gold</w:t>
            </w:r>
          </w:p>
        </w:tc>
        <w:tc>
          <w:tcPr>
            <w:tcW w:w="9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CID001157</w:t>
            </w:r>
          </w:p>
        </w:tc>
        <w:tc>
          <w:tcPr>
            <w:tcW w:w="31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Metalor USA Refining Corporation</w:t>
            </w:r>
          </w:p>
        </w:tc>
        <w:tc>
          <w:tcPr>
            <w:tcW w:w="16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United States Of America</w:t>
            </w:r>
          </w:p>
        </w:tc>
        <w:tc>
          <w:tcPr>
            <w:tcW w:w="272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Conformant</w:t>
            </w:r>
          </w:p>
        </w:tc>
      </w:tr>
      <w:tr>
        <w:trPr>
          <w:trHeight w:val="178"/>
        </w:trPr>
        <w:tc>
          <w:tcPr>
            <w:tcW w:w="74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Gold</w:t>
            </w:r>
          </w:p>
        </w:tc>
        <w:tc>
          <w:tcPr>
            <w:tcW w:w="9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CID001161</w:t>
            </w:r>
          </w:p>
        </w:tc>
        <w:tc>
          <w:tcPr>
            <w:tcW w:w="31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Metalurgica Met-Mex Penoles S.A. De C.V.</w:t>
            </w:r>
          </w:p>
        </w:tc>
        <w:tc>
          <w:tcPr>
            <w:tcW w:w="16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Mexico</w:t>
            </w:r>
          </w:p>
        </w:tc>
        <w:tc>
          <w:tcPr>
            <w:tcW w:w="272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Conformant</w:t>
            </w:r>
          </w:p>
        </w:tc>
      </w:tr>
      <w:tr>
        <w:trPr>
          <w:trHeight w:val="178"/>
        </w:trPr>
        <w:tc>
          <w:tcPr>
            <w:tcW w:w="74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Tantalum</w:t>
            </w:r>
          </w:p>
        </w:tc>
        <w:tc>
          <w:tcPr>
            <w:tcW w:w="9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CID001163</w:t>
            </w:r>
          </w:p>
        </w:tc>
        <w:tc>
          <w:tcPr>
            <w:tcW w:w="31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Metallurgical Products India Pvt., Ltd.</w:t>
            </w:r>
          </w:p>
        </w:tc>
        <w:tc>
          <w:tcPr>
            <w:tcW w:w="16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India</w:t>
            </w:r>
          </w:p>
        </w:tc>
        <w:tc>
          <w:tcPr>
            <w:tcW w:w="272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Conformant</w:t>
            </w:r>
          </w:p>
        </w:tc>
      </w:tr>
      <w:tr>
        <w:trPr>
          <w:trHeight w:val="178"/>
        </w:trPr>
        <w:tc>
          <w:tcPr>
            <w:tcW w:w="74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Tin</w:t>
            </w:r>
          </w:p>
        </w:tc>
        <w:tc>
          <w:tcPr>
            <w:tcW w:w="9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CID001173</w:t>
            </w:r>
          </w:p>
        </w:tc>
        <w:tc>
          <w:tcPr>
            <w:tcW w:w="31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Mineracao Taboca S.A.</w:t>
            </w:r>
          </w:p>
        </w:tc>
        <w:tc>
          <w:tcPr>
            <w:tcW w:w="16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Brazil</w:t>
            </w:r>
          </w:p>
        </w:tc>
        <w:tc>
          <w:tcPr>
            <w:tcW w:w="272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Conformant</w:t>
            </w:r>
          </w:p>
        </w:tc>
      </w:tr>
      <w:tr>
        <w:trPr>
          <w:trHeight w:val="178"/>
        </w:trPr>
        <w:tc>
          <w:tcPr>
            <w:tcW w:w="74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Tantalum</w:t>
            </w:r>
          </w:p>
        </w:tc>
        <w:tc>
          <w:tcPr>
            <w:tcW w:w="9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CID001175</w:t>
            </w:r>
          </w:p>
        </w:tc>
        <w:tc>
          <w:tcPr>
            <w:tcW w:w="31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Mineracao Taboca S.A.</w:t>
            </w:r>
          </w:p>
        </w:tc>
        <w:tc>
          <w:tcPr>
            <w:tcW w:w="16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Brazil</w:t>
            </w:r>
          </w:p>
        </w:tc>
        <w:tc>
          <w:tcPr>
            <w:tcW w:w="272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Conformant</w:t>
            </w:r>
          </w:p>
        </w:tc>
      </w:tr>
      <w:tr>
        <w:trPr>
          <w:trHeight w:val="396"/>
        </w:trPr>
        <w:tc>
          <w:tcPr>
            <w:tcW w:w="120" w:type="dxa"/>
            <w:vAlign w:val="bottom"/>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9200"/>
          </w:cols>
          <w:pgMar w:left="1340" w:top="753" w:right="1359" w:bottom="1440" w:gutter="0" w:footer="0" w:header="0"/>
        </w:sectPr>
      </w:pPr>
    </w:p>
    <w:bookmarkStart w:id="15" w:name="page16"/>
    <w:bookmarkEnd w:id="1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98"/>
        </w:trPr>
        <w:tc>
          <w:tcPr>
            <w:tcW w:w="660" w:type="dxa"/>
            <w:vAlign w:val="bottom"/>
            <w:tcBorders>
              <w:top w:val="single" w:sz="8" w:color="auto"/>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Tin</w:t>
            </w:r>
          </w:p>
        </w:tc>
        <w:tc>
          <w:tcPr>
            <w:tcW w:w="78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CID001182</w:t>
            </w:r>
          </w:p>
        </w:tc>
        <w:tc>
          <w:tcPr>
            <w:tcW w:w="454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Minsur</w:t>
            </w:r>
          </w:p>
        </w:tc>
        <w:tc>
          <w:tcPr>
            <w:tcW w:w="180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Peru</w:t>
            </w:r>
          </w:p>
        </w:tc>
        <w:tc>
          <w:tcPr>
            <w:tcW w:w="2540" w:type="dxa"/>
            <w:vAlign w:val="bottom"/>
            <w:tcBorders>
              <w:top w:val="single" w:sz="8" w:color="auto"/>
              <w:bottom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Conformant</w:t>
            </w:r>
          </w:p>
        </w:tc>
      </w:tr>
      <w:tr>
        <w:trPr>
          <w:trHeight w:val="178"/>
        </w:trPr>
        <w:tc>
          <w:tcPr>
            <w:tcW w:w="66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Gold</w:t>
            </w:r>
          </w:p>
        </w:tc>
        <w:tc>
          <w:tcPr>
            <w:tcW w:w="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CID001188</w:t>
            </w:r>
          </w:p>
        </w:tc>
        <w:tc>
          <w:tcPr>
            <w:tcW w:w="45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Mitsubishi Materials Corporation</w:t>
            </w:r>
          </w:p>
        </w:tc>
        <w:tc>
          <w:tcPr>
            <w:tcW w:w="1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Japan</w:t>
            </w:r>
          </w:p>
        </w:tc>
        <w:tc>
          <w:tcPr>
            <w:tcW w:w="25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Conformant</w:t>
            </w:r>
          </w:p>
        </w:tc>
      </w:tr>
      <w:tr>
        <w:trPr>
          <w:trHeight w:val="178"/>
        </w:trPr>
        <w:tc>
          <w:tcPr>
            <w:tcW w:w="66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Tin</w:t>
            </w:r>
          </w:p>
        </w:tc>
        <w:tc>
          <w:tcPr>
            <w:tcW w:w="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CID001191</w:t>
            </w:r>
          </w:p>
        </w:tc>
        <w:tc>
          <w:tcPr>
            <w:tcW w:w="45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Mitsubishi Materials Corporation</w:t>
            </w:r>
          </w:p>
        </w:tc>
        <w:tc>
          <w:tcPr>
            <w:tcW w:w="1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Japan</w:t>
            </w:r>
          </w:p>
        </w:tc>
        <w:tc>
          <w:tcPr>
            <w:tcW w:w="25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Conformant</w:t>
            </w:r>
          </w:p>
        </w:tc>
      </w:tr>
      <w:tr>
        <w:trPr>
          <w:trHeight w:val="178"/>
        </w:trPr>
        <w:tc>
          <w:tcPr>
            <w:tcW w:w="66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Tantalum</w:t>
            </w:r>
          </w:p>
        </w:tc>
        <w:tc>
          <w:tcPr>
            <w:tcW w:w="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CID001192</w:t>
            </w:r>
          </w:p>
        </w:tc>
        <w:tc>
          <w:tcPr>
            <w:tcW w:w="45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Mitsui Mining and Smelting Co., Ltd.</w:t>
            </w:r>
          </w:p>
        </w:tc>
        <w:tc>
          <w:tcPr>
            <w:tcW w:w="1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Japan</w:t>
            </w:r>
          </w:p>
        </w:tc>
        <w:tc>
          <w:tcPr>
            <w:tcW w:w="25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Conformant</w:t>
            </w:r>
          </w:p>
        </w:tc>
      </w:tr>
      <w:tr>
        <w:trPr>
          <w:trHeight w:val="178"/>
        </w:trPr>
        <w:tc>
          <w:tcPr>
            <w:tcW w:w="66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Gold</w:t>
            </w:r>
          </w:p>
        </w:tc>
        <w:tc>
          <w:tcPr>
            <w:tcW w:w="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CID001193</w:t>
            </w:r>
          </w:p>
        </w:tc>
        <w:tc>
          <w:tcPr>
            <w:tcW w:w="45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Mitsui Mining and Smelting Co., Ltd.</w:t>
            </w:r>
          </w:p>
        </w:tc>
        <w:tc>
          <w:tcPr>
            <w:tcW w:w="1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Japan</w:t>
            </w:r>
          </w:p>
        </w:tc>
        <w:tc>
          <w:tcPr>
            <w:tcW w:w="25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Conformant</w:t>
            </w:r>
          </w:p>
        </w:tc>
      </w:tr>
      <w:tr>
        <w:trPr>
          <w:trHeight w:val="178"/>
        </w:trPr>
        <w:tc>
          <w:tcPr>
            <w:tcW w:w="66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Tantalum</w:t>
            </w:r>
          </w:p>
        </w:tc>
        <w:tc>
          <w:tcPr>
            <w:tcW w:w="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CID001200</w:t>
            </w:r>
          </w:p>
        </w:tc>
        <w:tc>
          <w:tcPr>
            <w:tcW w:w="45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NPM Silmet AS</w:t>
            </w:r>
          </w:p>
        </w:tc>
        <w:tc>
          <w:tcPr>
            <w:tcW w:w="1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Estonia</w:t>
            </w:r>
          </w:p>
        </w:tc>
        <w:tc>
          <w:tcPr>
            <w:tcW w:w="25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Conformant</w:t>
            </w:r>
          </w:p>
        </w:tc>
      </w:tr>
      <w:tr>
        <w:trPr>
          <w:trHeight w:val="178"/>
        </w:trPr>
        <w:tc>
          <w:tcPr>
            <w:tcW w:w="66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Gold</w:t>
            </w:r>
          </w:p>
        </w:tc>
        <w:tc>
          <w:tcPr>
            <w:tcW w:w="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CID001204</w:t>
            </w:r>
          </w:p>
        </w:tc>
        <w:tc>
          <w:tcPr>
            <w:tcW w:w="45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Moscow Special Alloys Processing Plant</w:t>
            </w:r>
          </w:p>
        </w:tc>
        <w:tc>
          <w:tcPr>
            <w:tcW w:w="1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Russian Federation</w:t>
            </w:r>
          </w:p>
        </w:tc>
        <w:tc>
          <w:tcPr>
            <w:tcW w:w="25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w w:val="99"/>
              </w:rPr>
              <w:t>RMI Due Diligence Review - Unable to Procee</w:t>
            </w:r>
          </w:p>
        </w:tc>
      </w:tr>
      <w:tr>
        <w:trPr>
          <w:trHeight w:val="178"/>
        </w:trPr>
        <w:tc>
          <w:tcPr>
            <w:tcW w:w="66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Gold</w:t>
            </w:r>
          </w:p>
        </w:tc>
        <w:tc>
          <w:tcPr>
            <w:tcW w:w="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CID001220</w:t>
            </w:r>
          </w:p>
        </w:tc>
        <w:tc>
          <w:tcPr>
            <w:tcW w:w="45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Nadir Metal Rafineri San. Ve Tic. A.S.</w:t>
            </w:r>
          </w:p>
        </w:tc>
        <w:tc>
          <w:tcPr>
            <w:tcW w:w="1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Turkey</w:t>
            </w:r>
          </w:p>
        </w:tc>
        <w:tc>
          <w:tcPr>
            <w:tcW w:w="25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Conformant</w:t>
            </w:r>
          </w:p>
        </w:tc>
      </w:tr>
      <w:tr>
        <w:trPr>
          <w:trHeight w:val="178"/>
        </w:trPr>
        <w:tc>
          <w:tcPr>
            <w:tcW w:w="66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Tin</w:t>
            </w:r>
          </w:p>
        </w:tc>
        <w:tc>
          <w:tcPr>
            <w:tcW w:w="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CID001231</w:t>
            </w:r>
          </w:p>
        </w:tc>
        <w:tc>
          <w:tcPr>
            <w:tcW w:w="45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Jiangxi New Nanshan Technology Ltd.</w:t>
            </w:r>
          </w:p>
        </w:tc>
        <w:tc>
          <w:tcPr>
            <w:tcW w:w="1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China</w:t>
            </w:r>
          </w:p>
        </w:tc>
        <w:tc>
          <w:tcPr>
            <w:tcW w:w="25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Active</w:t>
            </w:r>
          </w:p>
        </w:tc>
      </w:tr>
      <w:tr>
        <w:trPr>
          <w:trHeight w:val="178"/>
        </w:trPr>
        <w:tc>
          <w:tcPr>
            <w:tcW w:w="66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Gold</w:t>
            </w:r>
          </w:p>
        </w:tc>
        <w:tc>
          <w:tcPr>
            <w:tcW w:w="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CID001236</w:t>
            </w:r>
          </w:p>
        </w:tc>
        <w:tc>
          <w:tcPr>
            <w:tcW w:w="45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Navoi Mining and Metallurgical Combinat</w:t>
            </w:r>
          </w:p>
        </w:tc>
        <w:tc>
          <w:tcPr>
            <w:tcW w:w="1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Uzbekistan</w:t>
            </w:r>
          </w:p>
        </w:tc>
        <w:tc>
          <w:tcPr>
            <w:tcW w:w="25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Conformant</w:t>
            </w:r>
          </w:p>
        </w:tc>
      </w:tr>
      <w:tr>
        <w:trPr>
          <w:trHeight w:val="178"/>
        </w:trPr>
        <w:tc>
          <w:tcPr>
            <w:tcW w:w="66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Gold</w:t>
            </w:r>
          </w:p>
        </w:tc>
        <w:tc>
          <w:tcPr>
            <w:tcW w:w="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CID001259</w:t>
            </w:r>
          </w:p>
        </w:tc>
        <w:tc>
          <w:tcPr>
            <w:tcW w:w="45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Nihon Material Co., Ltd.</w:t>
            </w:r>
          </w:p>
        </w:tc>
        <w:tc>
          <w:tcPr>
            <w:tcW w:w="1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Japan</w:t>
            </w:r>
          </w:p>
        </w:tc>
        <w:tc>
          <w:tcPr>
            <w:tcW w:w="25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Conformant</w:t>
            </w:r>
          </w:p>
        </w:tc>
      </w:tr>
      <w:tr>
        <w:trPr>
          <w:trHeight w:val="178"/>
        </w:trPr>
        <w:tc>
          <w:tcPr>
            <w:tcW w:w="66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Tantalum</w:t>
            </w:r>
          </w:p>
        </w:tc>
        <w:tc>
          <w:tcPr>
            <w:tcW w:w="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CID001277</w:t>
            </w:r>
          </w:p>
        </w:tc>
        <w:tc>
          <w:tcPr>
            <w:tcW w:w="45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Ningxia Orient Tantalum Industry Co., Ltd.</w:t>
            </w:r>
          </w:p>
        </w:tc>
        <w:tc>
          <w:tcPr>
            <w:tcW w:w="1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China</w:t>
            </w:r>
          </w:p>
        </w:tc>
        <w:tc>
          <w:tcPr>
            <w:tcW w:w="25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Conformant</w:t>
            </w:r>
          </w:p>
        </w:tc>
      </w:tr>
      <w:tr>
        <w:trPr>
          <w:trHeight w:val="178"/>
        </w:trPr>
        <w:tc>
          <w:tcPr>
            <w:tcW w:w="66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Tin</w:t>
            </w:r>
          </w:p>
        </w:tc>
        <w:tc>
          <w:tcPr>
            <w:tcW w:w="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CID001305</w:t>
            </w:r>
          </w:p>
        </w:tc>
        <w:tc>
          <w:tcPr>
            <w:tcW w:w="45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Novosibirsk Tin Combine</w:t>
            </w:r>
          </w:p>
        </w:tc>
        <w:tc>
          <w:tcPr>
            <w:tcW w:w="1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Russian Federation</w:t>
            </w:r>
          </w:p>
        </w:tc>
        <w:tc>
          <w:tcPr>
            <w:tcW w:w="25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w w:val="99"/>
              </w:rPr>
              <w:t>RMI Due Diligence Review - Unable to Procee</w:t>
            </w:r>
          </w:p>
        </w:tc>
      </w:tr>
      <w:tr>
        <w:trPr>
          <w:trHeight w:val="178"/>
        </w:trPr>
        <w:tc>
          <w:tcPr>
            <w:tcW w:w="66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Tin</w:t>
            </w:r>
          </w:p>
        </w:tc>
        <w:tc>
          <w:tcPr>
            <w:tcW w:w="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CID001314</w:t>
            </w:r>
          </w:p>
        </w:tc>
        <w:tc>
          <w:tcPr>
            <w:tcW w:w="45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O.M. Manufacturing (Thailand) Co., Ltd.</w:t>
            </w:r>
          </w:p>
        </w:tc>
        <w:tc>
          <w:tcPr>
            <w:tcW w:w="1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Thailand</w:t>
            </w:r>
          </w:p>
        </w:tc>
        <w:tc>
          <w:tcPr>
            <w:tcW w:w="25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Conformant</w:t>
            </w:r>
          </w:p>
        </w:tc>
      </w:tr>
      <w:tr>
        <w:trPr>
          <w:trHeight w:val="178"/>
        </w:trPr>
        <w:tc>
          <w:tcPr>
            <w:tcW w:w="66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Gold</w:t>
            </w:r>
          </w:p>
        </w:tc>
        <w:tc>
          <w:tcPr>
            <w:tcW w:w="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CID001325</w:t>
            </w:r>
          </w:p>
        </w:tc>
        <w:tc>
          <w:tcPr>
            <w:tcW w:w="45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Ohura Precious Metal Industry Co., Ltd.</w:t>
            </w:r>
          </w:p>
        </w:tc>
        <w:tc>
          <w:tcPr>
            <w:tcW w:w="1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Japan</w:t>
            </w:r>
          </w:p>
        </w:tc>
        <w:tc>
          <w:tcPr>
            <w:tcW w:w="25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Conformant</w:t>
            </w:r>
          </w:p>
        </w:tc>
      </w:tr>
      <w:tr>
        <w:trPr>
          <w:trHeight w:val="178"/>
        </w:trPr>
        <w:tc>
          <w:tcPr>
            <w:tcW w:w="66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Gold</w:t>
            </w:r>
          </w:p>
        </w:tc>
        <w:tc>
          <w:tcPr>
            <w:tcW w:w="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CID001326</w:t>
            </w:r>
          </w:p>
        </w:tc>
        <w:tc>
          <w:tcPr>
            <w:tcW w:w="45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OJSC "The Gulidov Krasnoyarsk Non-Ferrous Metals Plant" (OJSC Krastsvetmet)</w:t>
            </w:r>
          </w:p>
        </w:tc>
        <w:tc>
          <w:tcPr>
            <w:tcW w:w="1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Russian Federation</w:t>
            </w:r>
          </w:p>
        </w:tc>
        <w:tc>
          <w:tcPr>
            <w:tcW w:w="25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w w:val="99"/>
              </w:rPr>
              <w:t>RMI Due Diligence Review - Unable to Procee</w:t>
            </w:r>
          </w:p>
        </w:tc>
      </w:tr>
      <w:tr>
        <w:trPr>
          <w:trHeight w:val="178"/>
        </w:trPr>
        <w:tc>
          <w:tcPr>
            <w:tcW w:w="66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Tin</w:t>
            </w:r>
          </w:p>
        </w:tc>
        <w:tc>
          <w:tcPr>
            <w:tcW w:w="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CID001337</w:t>
            </w:r>
          </w:p>
        </w:tc>
        <w:tc>
          <w:tcPr>
            <w:tcW w:w="45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Operaciones Metalurgicas S.A.</w:t>
            </w:r>
          </w:p>
        </w:tc>
        <w:tc>
          <w:tcPr>
            <w:tcW w:w="1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Bolivia (Plurinational State Of)</w:t>
            </w:r>
          </w:p>
        </w:tc>
        <w:tc>
          <w:tcPr>
            <w:tcW w:w="25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Conformant</w:t>
            </w:r>
          </w:p>
        </w:tc>
      </w:tr>
      <w:tr>
        <w:trPr>
          <w:trHeight w:val="178"/>
        </w:trPr>
        <w:tc>
          <w:tcPr>
            <w:tcW w:w="66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Gold</w:t>
            </w:r>
          </w:p>
        </w:tc>
        <w:tc>
          <w:tcPr>
            <w:tcW w:w="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CID001352</w:t>
            </w:r>
          </w:p>
        </w:tc>
        <w:tc>
          <w:tcPr>
            <w:tcW w:w="45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MKS PAMP SA</w:t>
            </w:r>
          </w:p>
        </w:tc>
        <w:tc>
          <w:tcPr>
            <w:tcW w:w="1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Switzerland</w:t>
            </w:r>
          </w:p>
        </w:tc>
        <w:tc>
          <w:tcPr>
            <w:tcW w:w="25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Conformant</w:t>
            </w:r>
          </w:p>
        </w:tc>
      </w:tr>
      <w:tr>
        <w:trPr>
          <w:trHeight w:val="178"/>
        </w:trPr>
        <w:tc>
          <w:tcPr>
            <w:tcW w:w="66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Gold</w:t>
            </w:r>
          </w:p>
        </w:tc>
        <w:tc>
          <w:tcPr>
            <w:tcW w:w="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CID001362</w:t>
            </w:r>
          </w:p>
        </w:tc>
        <w:tc>
          <w:tcPr>
            <w:tcW w:w="45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Penglai Penggang Gold Industry Co., Ltd.</w:t>
            </w:r>
          </w:p>
        </w:tc>
        <w:tc>
          <w:tcPr>
            <w:tcW w:w="1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China</w:t>
            </w:r>
          </w:p>
        </w:tc>
        <w:tc>
          <w:tcPr>
            <w:tcW w:w="25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Outreach Required</w:t>
            </w:r>
          </w:p>
        </w:tc>
      </w:tr>
      <w:tr>
        <w:trPr>
          <w:trHeight w:val="178"/>
        </w:trPr>
        <w:tc>
          <w:tcPr>
            <w:tcW w:w="66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Gold</w:t>
            </w:r>
          </w:p>
        </w:tc>
        <w:tc>
          <w:tcPr>
            <w:tcW w:w="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CID001386</w:t>
            </w:r>
          </w:p>
        </w:tc>
        <w:tc>
          <w:tcPr>
            <w:tcW w:w="45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Prioksky Plant of Non-Ferrous Metals</w:t>
            </w:r>
          </w:p>
        </w:tc>
        <w:tc>
          <w:tcPr>
            <w:tcW w:w="1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Russian Federation</w:t>
            </w:r>
          </w:p>
        </w:tc>
        <w:tc>
          <w:tcPr>
            <w:tcW w:w="25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w w:val="99"/>
              </w:rPr>
              <w:t>RMI Due Diligence Review - Unable to Procee</w:t>
            </w:r>
          </w:p>
        </w:tc>
      </w:tr>
      <w:tr>
        <w:trPr>
          <w:trHeight w:val="178"/>
        </w:trPr>
        <w:tc>
          <w:tcPr>
            <w:tcW w:w="66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Gold</w:t>
            </w:r>
          </w:p>
        </w:tc>
        <w:tc>
          <w:tcPr>
            <w:tcW w:w="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CID001397</w:t>
            </w:r>
          </w:p>
        </w:tc>
        <w:tc>
          <w:tcPr>
            <w:tcW w:w="45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PT Aneka Tambang (Persero) Tbk</w:t>
            </w:r>
          </w:p>
        </w:tc>
        <w:tc>
          <w:tcPr>
            <w:tcW w:w="1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Indonesia</w:t>
            </w:r>
          </w:p>
        </w:tc>
        <w:tc>
          <w:tcPr>
            <w:tcW w:w="25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Conformant</w:t>
            </w:r>
          </w:p>
        </w:tc>
      </w:tr>
      <w:tr>
        <w:trPr>
          <w:trHeight w:val="178"/>
        </w:trPr>
        <w:tc>
          <w:tcPr>
            <w:tcW w:w="66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Tin</w:t>
            </w:r>
          </w:p>
        </w:tc>
        <w:tc>
          <w:tcPr>
            <w:tcW w:w="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CID001453</w:t>
            </w:r>
          </w:p>
        </w:tc>
        <w:tc>
          <w:tcPr>
            <w:tcW w:w="45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PT Mitra Stania Prima</w:t>
            </w:r>
          </w:p>
        </w:tc>
        <w:tc>
          <w:tcPr>
            <w:tcW w:w="1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Indonesia</w:t>
            </w:r>
          </w:p>
        </w:tc>
        <w:tc>
          <w:tcPr>
            <w:tcW w:w="25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Conformant</w:t>
            </w:r>
          </w:p>
        </w:tc>
      </w:tr>
      <w:tr>
        <w:trPr>
          <w:trHeight w:val="178"/>
        </w:trPr>
        <w:tc>
          <w:tcPr>
            <w:tcW w:w="66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Tin</w:t>
            </w:r>
          </w:p>
        </w:tc>
        <w:tc>
          <w:tcPr>
            <w:tcW w:w="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CID001458</w:t>
            </w:r>
          </w:p>
        </w:tc>
        <w:tc>
          <w:tcPr>
            <w:tcW w:w="45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PT Prima Timah Utama</w:t>
            </w:r>
          </w:p>
        </w:tc>
        <w:tc>
          <w:tcPr>
            <w:tcW w:w="1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Indonesia</w:t>
            </w:r>
          </w:p>
        </w:tc>
        <w:tc>
          <w:tcPr>
            <w:tcW w:w="25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Conformant</w:t>
            </w:r>
          </w:p>
        </w:tc>
      </w:tr>
      <w:tr>
        <w:trPr>
          <w:trHeight w:val="178"/>
        </w:trPr>
        <w:tc>
          <w:tcPr>
            <w:tcW w:w="66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Tin</w:t>
            </w:r>
          </w:p>
        </w:tc>
        <w:tc>
          <w:tcPr>
            <w:tcW w:w="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CID001477</w:t>
            </w:r>
          </w:p>
        </w:tc>
        <w:tc>
          <w:tcPr>
            <w:tcW w:w="45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PT Timah Tbk Kundur</w:t>
            </w:r>
          </w:p>
        </w:tc>
        <w:tc>
          <w:tcPr>
            <w:tcW w:w="1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Indonesia</w:t>
            </w:r>
          </w:p>
        </w:tc>
        <w:tc>
          <w:tcPr>
            <w:tcW w:w="25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Conformant</w:t>
            </w:r>
          </w:p>
        </w:tc>
      </w:tr>
      <w:tr>
        <w:trPr>
          <w:trHeight w:val="178"/>
        </w:trPr>
        <w:tc>
          <w:tcPr>
            <w:tcW w:w="66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Tin</w:t>
            </w:r>
          </w:p>
        </w:tc>
        <w:tc>
          <w:tcPr>
            <w:tcW w:w="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CID001482</w:t>
            </w:r>
          </w:p>
        </w:tc>
        <w:tc>
          <w:tcPr>
            <w:tcW w:w="45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PT Timah Tbk Mentok</w:t>
            </w:r>
          </w:p>
        </w:tc>
        <w:tc>
          <w:tcPr>
            <w:tcW w:w="1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Indonesia</w:t>
            </w:r>
          </w:p>
        </w:tc>
        <w:tc>
          <w:tcPr>
            <w:tcW w:w="25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Conformant</w:t>
            </w:r>
          </w:p>
        </w:tc>
      </w:tr>
      <w:tr>
        <w:trPr>
          <w:trHeight w:val="178"/>
        </w:trPr>
        <w:tc>
          <w:tcPr>
            <w:tcW w:w="66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Gold</w:t>
            </w:r>
          </w:p>
        </w:tc>
        <w:tc>
          <w:tcPr>
            <w:tcW w:w="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CID001498</w:t>
            </w:r>
          </w:p>
        </w:tc>
        <w:tc>
          <w:tcPr>
            <w:tcW w:w="45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PX Precinox S.A.</w:t>
            </w:r>
          </w:p>
        </w:tc>
        <w:tc>
          <w:tcPr>
            <w:tcW w:w="1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Switzerland</w:t>
            </w:r>
          </w:p>
        </w:tc>
        <w:tc>
          <w:tcPr>
            <w:tcW w:w="25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Conformant</w:t>
            </w:r>
          </w:p>
        </w:tc>
      </w:tr>
      <w:tr>
        <w:trPr>
          <w:trHeight w:val="178"/>
        </w:trPr>
        <w:tc>
          <w:tcPr>
            <w:tcW w:w="66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Gold</w:t>
            </w:r>
          </w:p>
        </w:tc>
        <w:tc>
          <w:tcPr>
            <w:tcW w:w="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CID001512</w:t>
            </w:r>
          </w:p>
        </w:tc>
        <w:tc>
          <w:tcPr>
            <w:tcW w:w="45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Rand Refinery (Pty) Ltd.</w:t>
            </w:r>
          </w:p>
        </w:tc>
        <w:tc>
          <w:tcPr>
            <w:tcW w:w="1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South Africa</w:t>
            </w:r>
          </w:p>
        </w:tc>
        <w:tc>
          <w:tcPr>
            <w:tcW w:w="25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Conformant</w:t>
            </w:r>
          </w:p>
        </w:tc>
      </w:tr>
      <w:tr>
        <w:trPr>
          <w:trHeight w:val="178"/>
        </w:trPr>
        <w:tc>
          <w:tcPr>
            <w:tcW w:w="66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Tantalum</w:t>
            </w:r>
          </w:p>
        </w:tc>
        <w:tc>
          <w:tcPr>
            <w:tcW w:w="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CID001522</w:t>
            </w:r>
          </w:p>
        </w:tc>
        <w:tc>
          <w:tcPr>
            <w:tcW w:w="45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Yanling Jincheng Tantalum &amp; Niobium Co., Ltd.</w:t>
            </w:r>
          </w:p>
        </w:tc>
        <w:tc>
          <w:tcPr>
            <w:tcW w:w="1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China</w:t>
            </w:r>
          </w:p>
        </w:tc>
        <w:tc>
          <w:tcPr>
            <w:tcW w:w="25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Conformant</w:t>
            </w:r>
          </w:p>
        </w:tc>
      </w:tr>
      <w:tr>
        <w:trPr>
          <w:trHeight w:val="178"/>
        </w:trPr>
        <w:tc>
          <w:tcPr>
            <w:tcW w:w="66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Gold</w:t>
            </w:r>
          </w:p>
        </w:tc>
        <w:tc>
          <w:tcPr>
            <w:tcW w:w="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CID001534</w:t>
            </w:r>
          </w:p>
        </w:tc>
        <w:tc>
          <w:tcPr>
            <w:tcW w:w="45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Royal Canadian Mint</w:t>
            </w:r>
          </w:p>
        </w:tc>
        <w:tc>
          <w:tcPr>
            <w:tcW w:w="1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Canada</w:t>
            </w:r>
          </w:p>
        </w:tc>
        <w:tc>
          <w:tcPr>
            <w:tcW w:w="25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Conformant</w:t>
            </w:r>
          </w:p>
        </w:tc>
      </w:tr>
      <w:tr>
        <w:trPr>
          <w:trHeight w:val="178"/>
        </w:trPr>
        <w:tc>
          <w:tcPr>
            <w:tcW w:w="66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Tin</w:t>
            </w:r>
          </w:p>
        </w:tc>
        <w:tc>
          <w:tcPr>
            <w:tcW w:w="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CID001539</w:t>
            </w:r>
          </w:p>
        </w:tc>
        <w:tc>
          <w:tcPr>
            <w:tcW w:w="45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Rui Da Hung</w:t>
            </w:r>
          </w:p>
        </w:tc>
        <w:tc>
          <w:tcPr>
            <w:tcW w:w="1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Taiwan, Province Of China</w:t>
            </w:r>
          </w:p>
        </w:tc>
        <w:tc>
          <w:tcPr>
            <w:tcW w:w="25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Conformant</w:t>
            </w:r>
          </w:p>
        </w:tc>
      </w:tr>
      <w:tr>
        <w:trPr>
          <w:trHeight w:val="178"/>
        </w:trPr>
        <w:tc>
          <w:tcPr>
            <w:tcW w:w="66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Gold</w:t>
            </w:r>
          </w:p>
        </w:tc>
        <w:tc>
          <w:tcPr>
            <w:tcW w:w="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CID001546</w:t>
            </w:r>
          </w:p>
        </w:tc>
        <w:tc>
          <w:tcPr>
            <w:tcW w:w="45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Sabin Metal Corp.</w:t>
            </w:r>
          </w:p>
        </w:tc>
        <w:tc>
          <w:tcPr>
            <w:tcW w:w="1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United States Of America</w:t>
            </w:r>
          </w:p>
        </w:tc>
        <w:tc>
          <w:tcPr>
            <w:tcW w:w="25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Communication Suspended - Not Interested</w:t>
            </w:r>
          </w:p>
        </w:tc>
      </w:tr>
      <w:tr>
        <w:trPr>
          <w:trHeight w:val="178"/>
        </w:trPr>
        <w:tc>
          <w:tcPr>
            <w:tcW w:w="66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Gold</w:t>
            </w:r>
          </w:p>
        </w:tc>
        <w:tc>
          <w:tcPr>
            <w:tcW w:w="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CID001555</w:t>
            </w:r>
          </w:p>
        </w:tc>
        <w:tc>
          <w:tcPr>
            <w:tcW w:w="45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Samduck Precious Metals</w:t>
            </w:r>
          </w:p>
        </w:tc>
        <w:tc>
          <w:tcPr>
            <w:tcW w:w="1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Korea, Republic Of</w:t>
            </w:r>
          </w:p>
        </w:tc>
        <w:tc>
          <w:tcPr>
            <w:tcW w:w="25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Non Conformant</w:t>
            </w:r>
          </w:p>
        </w:tc>
      </w:tr>
      <w:tr>
        <w:trPr>
          <w:trHeight w:val="178"/>
        </w:trPr>
        <w:tc>
          <w:tcPr>
            <w:tcW w:w="66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Gold</w:t>
            </w:r>
          </w:p>
        </w:tc>
        <w:tc>
          <w:tcPr>
            <w:tcW w:w="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CID001562</w:t>
            </w:r>
          </w:p>
        </w:tc>
        <w:tc>
          <w:tcPr>
            <w:tcW w:w="45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Samwon Metals Corp.</w:t>
            </w:r>
          </w:p>
        </w:tc>
        <w:tc>
          <w:tcPr>
            <w:tcW w:w="1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Korea, Republic Of</w:t>
            </w:r>
          </w:p>
        </w:tc>
        <w:tc>
          <w:tcPr>
            <w:tcW w:w="25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Communication Suspended - Not Interested</w:t>
            </w:r>
          </w:p>
        </w:tc>
      </w:tr>
      <w:tr>
        <w:trPr>
          <w:trHeight w:val="396"/>
        </w:trPr>
        <w:tc>
          <w:tcPr>
            <w:tcW w:w="12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454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240" w:type="dxa"/>
            <w:vAlign w:val="bottom"/>
          </w:tcPr>
          <w:p>
            <w:pPr>
              <w:spacing w:after="0"/>
              <w:rPr>
                <w:sz w:val="24"/>
                <w:szCs w:val="24"/>
                <w:color w:val="auto"/>
              </w:rPr>
            </w:pPr>
          </w:p>
        </w:tc>
      </w:tr>
    </w:tbl>
    <w:p>
      <w:pPr>
        <w:sectPr>
          <w:pgSz w:w="11900" w:h="16838" w:orient="portrait"/>
          <w:cols w:equalWidth="0" w:num="1">
            <w:col w:w="10320"/>
          </w:cols>
          <w:pgMar w:left="1340" w:top="753" w:right="239" w:bottom="1440" w:gutter="0" w:footer="0" w:header="0"/>
        </w:sectPr>
      </w:pPr>
    </w:p>
    <w:bookmarkStart w:id="16" w:name="page17"/>
    <w:bookmarkEnd w:id="16"/>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98"/>
        </w:trPr>
        <w:tc>
          <w:tcPr>
            <w:tcW w:w="720" w:type="dxa"/>
            <w:vAlign w:val="bottom"/>
            <w:tcBorders>
              <w:top w:val="single" w:sz="8" w:color="auto"/>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Gold</w:t>
            </w:r>
          </w:p>
        </w:tc>
        <w:tc>
          <w:tcPr>
            <w:tcW w:w="84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CID001585</w:t>
            </w:r>
          </w:p>
        </w:tc>
        <w:tc>
          <w:tcPr>
            <w:tcW w:w="326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SEMPSA Joyeria Plateria S.A.</w:t>
            </w:r>
          </w:p>
        </w:tc>
        <w:tc>
          <w:tcPr>
            <w:tcW w:w="166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Spain</w:t>
            </w:r>
          </w:p>
        </w:tc>
        <w:tc>
          <w:tcPr>
            <w:tcW w:w="2720" w:type="dxa"/>
            <w:vAlign w:val="bottom"/>
            <w:tcBorders>
              <w:top w:val="single" w:sz="8" w:color="auto"/>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Conformant</w:t>
            </w:r>
          </w:p>
        </w:tc>
      </w:tr>
      <w:tr>
        <w:trPr>
          <w:trHeight w:val="178"/>
        </w:trPr>
        <w:tc>
          <w:tcPr>
            <w:tcW w:w="72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Gold</w:t>
            </w:r>
          </w:p>
        </w:tc>
        <w:tc>
          <w:tcPr>
            <w:tcW w:w="8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CID001619</w:t>
            </w:r>
          </w:p>
        </w:tc>
        <w:tc>
          <w:tcPr>
            <w:tcW w:w="32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Shandong Tiancheng Biological Gold Industrial Co., Ltd.</w:t>
            </w:r>
          </w:p>
        </w:tc>
        <w:tc>
          <w:tcPr>
            <w:tcW w:w="16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China</w:t>
            </w:r>
          </w:p>
        </w:tc>
        <w:tc>
          <w:tcPr>
            <w:tcW w:w="272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Outreach Required</w:t>
            </w:r>
          </w:p>
        </w:tc>
      </w:tr>
      <w:tr>
        <w:trPr>
          <w:trHeight w:val="178"/>
        </w:trPr>
        <w:tc>
          <w:tcPr>
            <w:tcW w:w="72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Gold</w:t>
            </w:r>
          </w:p>
        </w:tc>
        <w:tc>
          <w:tcPr>
            <w:tcW w:w="8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CID001622</w:t>
            </w:r>
          </w:p>
        </w:tc>
        <w:tc>
          <w:tcPr>
            <w:tcW w:w="32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Shandong Zhaojin Gold &amp; Silver Refinery Co., Ltd.</w:t>
            </w:r>
          </w:p>
        </w:tc>
        <w:tc>
          <w:tcPr>
            <w:tcW w:w="16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China</w:t>
            </w:r>
          </w:p>
        </w:tc>
        <w:tc>
          <w:tcPr>
            <w:tcW w:w="272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Conformant</w:t>
            </w:r>
          </w:p>
        </w:tc>
      </w:tr>
      <w:tr>
        <w:trPr>
          <w:trHeight w:val="178"/>
        </w:trPr>
        <w:tc>
          <w:tcPr>
            <w:tcW w:w="72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Gold</w:t>
            </w:r>
          </w:p>
        </w:tc>
        <w:tc>
          <w:tcPr>
            <w:tcW w:w="8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CID001736</w:t>
            </w:r>
          </w:p>
        </w:tc>
        <w:tc>
          <w:tcPr>
            <w:tcW w:w="32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Sichuan Tianze Precious Metals Co., Ltd.</w:t>
            </w:r>
          </w:p>
        </w:tc>
        <w:tc>
          <w:tcPr>
            <w:tcW w:w="16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China</w:t>
            </w:r>
          </w:p>
        </w:tc>
        <w:tc>
          <w:tcPr>
            <w:tcW w:w="272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Conformant</w:t>
            </w:r>
          </w:p>
        </w:tc>
      </w:tr>
      <w:tr>
        <w:trPr>
          <w:trHeight w:val="178"/>
        </w:trPr>
        <w:tc>
          <w:tcPr>
            <w:tcW w:w="72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Gold</w:t>
            </w:r>
          </w:p>
        </w:tc>
        <w:tc>
          <w:tcPr>
            <w:tcW w:w="8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CID001756</w:t>
            </w:r>
          </w:p>
        </w:tc>
        <w:tc>
          <w:tcPr>
            <w:tcW w:w="32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SOE Shyolkovsky Factory of Secondary Precious Metals</w:t>
            </w:r>
          </w:p>
        </w:tc>
        <w:tc>
          <w:tcPr>
            <w:tcW w:w="16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Russian Federation</w:t>
            </w:r>
          </w:p>
        </w:tc>
        <w:tc>
          <w:tcPr>
            <w:tcW w:w="272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RMI Due Diligence Review - Unable to Proceed</w:t>
            </w:r>
          </w:p>
        </w:tc>
      </w:tr>
      <w:tr>
        <w:trPr>
          <w:trHeight w:val="178"/>
        </w:trPr>
        <w:tc>
          <w:tcPr>
            <w:tcW w:w="72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Gold</w:t>
            </w:r>
          </w:p>
        </w:tc>
        <w:tc>
          <w:tcPr>
            <w:tcW w:w="8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CID001761</w:t>
            </w:r>
          </w:p>
        </w:tc>
        <w:tc>
          <w:tcPr>
            <w:tcW w:w="32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Solar Applied Materials Technology Corp.</w:t>
            </w:r>
          </w:p>
        </w:tc>
        <w:tc>
          <w:tcPr>
            <w:tcW w:w="16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Taiwan, Province Of China</w:t>
            </w:r>
          </w:p>
        </w:tc>
        <w:tc>
          <w:tcPr>
            <w:tcW w:w="272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Conformant</w:t>
            </w:r>
          </w:p>
        </w:tc>
      </w:tr>
      <w:tr>
        <w:trPr>
          <w:trHeight w:val="178"/>
        </w:trPr>
        <w:tc>
          <w:tcPr>
            <w:tcW w:w="72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Tantalum</w:t>
            </w:r>
          </w:p>
        </w:tc>
        <w:tc>
          <w:tcPr>
            <w:tcW w:w="8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CID001769</w:t>
            </w:r>
          </w:p>
        </w:tc>
        <w:tc>
          <w:tcPr>
            <w:tcW w:w="32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Solikamsk Magnesium Works OAO</w:t>
            </w:r>
          </w:p>
        </w:tc>
        <w:tc>
          <w:tcPr>
            <w:tcW w:w="16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Russian Federation</w:t>
            </w:r>
          </w:p>
        </w:tc>
        <w:tc>
          <w:tcPr>
            <w:tcW w:w="272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RMI Due Diligence Review - Unable to Proceed</w:t>
            </w:r>
          </w:p>
        </w:tc>
      </w:tr>
      <w:tr>
        <w:trPr>
          <w:trHeight w:val="178"/>
        </w:trPr>
        <w:tc>
          <w:tcPr>
            <w:tcW w:w="72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Gold</w:t>
            </w:r>
          </w:p>
        </w:tc>
        <w:tc>
          <w:tcPr>
            <w:tcW w:w="8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CID001798</w:t>
            </w:r>
          </w:p>
        </w:tc>
        <w:tc>
          <w:tcPr>
            <w:tcW w:w="32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Sumitomo Metal Mining Co., Ltd.</w:t>
            </w:r>
          </w:p>
        </w:tc>
        <w:tc>
          <w:tcPr>
            <w:tcW w:w="16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Japan</w:t>
            </w:r>
          </w:p>
        </w:tc>
        <w:tc>
          <w:tcPr>
            <w:tcW w:w="272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Conformant</w:t>
            </w:r>
          </w:p>
        </w:tc>
      </w:tr>
      <w:tr>
        <w:trPr>
          <w:trHeight w:val="178"/>
        </w:trPr>
        <w:tc>
          <w:tcPr>
            <w:tcW w:w="72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Gold</w:t>
            </w:r>
          </w:p>
        </w:tc>
        <w:tc>
          <w:tcPr>
            <w:tcW w:w="8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CID001810</w:t>
            </w:r>
          </w:p>
        </w:tc>
        <w:tc>
          <w:tcPr>
            <w:tcW w:w="32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Super Dragon Technology Co., Ltd.</w:t>
            </w:r>
          </w:p>
        </w:tc>
        <w:tc>
          <w:tcPr>
            <w:tcW w:w="16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Taiwan, Province Of China</w:t>
            </w:r>
          </w:p>
        </w:tc>
        <w:tc>
          <w:tcPr>
            <w:tcW w:w="272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Outreach Required</w:t>
            </w:r>
          </w:p>
        </w:tc>
      </w:tr>
      <w:tr>
        <w:trPr>
          <w:trHeight w:val="178"/>
        </w:trPr>
        <w:tc>
          <w:tcPr>
            <w:tcW w:w="72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Tantalum</w:t>
            </w:r>
          </w:p>
        </w:tc>
        <w:tc>
          <w:tcPr>
            <w:tcW w:w="8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CID001869</w:t>
            </w:r>
          </w:p>
        </w:tc>
        <w:tc>
          <w:tcPr>
            <w:tcW w:w="32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Taki Chemical Co., Ltd.</w:t>
            </w:r>
          </w:p>
        </w:tc>
        <w:tc>
          <w:tcPr>
            <w:tcW w:w="16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Japan</w:t>
            </w:r>
          </w:p>
        </w:tc>
        <w:tc>
          <w:tcPr>
            <w:tcW w:w="272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Conformant</w:t>
            </w:r>
          </w:p>
        </w:tc>
      </w:tr>
      <w:tr>
        <w:trPr>
          <w:trHeight w:val="178"/>
        </w:trPr>
        <w:tc>
          <w:tcPr>
            <w:tcW w:w="72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Gold</w:t>
            </w:r>
          </w:p>
        </w:tc>
        <w:tc>
          <w:tcPr>
            <w:tcW w:w="8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CID001875</w:t>
            </w:r>
          </w:p>
        </w:tc>
        <w:tc>
          <w:tcPr>
            <w:tcW w:w="32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Tanaka Kikinzoku Kogyo K.K.</w:t>
            </w:r>
          </w:p>
        </w:tc>
        <w:tc>
          <w:tcPr>
            <w:tcW w:w="16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Japan</w:t>
            </w:r>
          </w:p>
        </w:tc>
        <w:tc>
          <w:tcPr>
            <w:tcW w:w="272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Conformant</w:t>
            </w:r>
          </w:p>
        </w:tc>
      </w:tr>
      <w:tr>
        <w:trPr>
          <w:trHeight w:val="178"/>
        </w:trPr>
        <w:tc>
          <w:tcPr>
            <w:tcW w:w="72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Tantalum</w:t>
            </w:r>
          </w:p>
        </w:tc>
        <w:tc>
          <w:tcPr>
            <w:tcW w:w="8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CID001891</w:t>
            </w:r>
          </w:p>
        </w:tc>
        <w:tc>
          <w:tcPr>
            <w:tcW w:w="32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Telex Metals</w:t>
            </w:r>
          </w:p>
        </w:tc>
        <w:tc>
          <w:tcPr>
            <w:tcW w:w="16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United States Of America</w:t>
            </w:r>
          </w:p>
        </w:tc>
        <w:tc>
          <w:tcPr>
            <w:tcW w:w="272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Conformant</w:t>
            </w:r>
          </w:p>
        </w:tc>
      </w:tr>
      <w:tr>
        <w:trPr>
          <w:trHeight w:val="178"/>
        </w:trPr>
        <w:tc>
          <w:tcPr>
            <w:tcW w:w="72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Tin</w:t>
            </w:r>
          </w:p>
        </w:tc>
        <w:tc>
          <w:tcPr>
            <w:tcW w:w="8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CID001898</w:t>
            </w:r>
          </w:p>
        </w:tc>
        <w:tc>
          <w:tcPr>
            <w:tcW w:w="32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Thaisarco</w:t>
            </w:r>
          </w:p>
        </w:tc>
        <w:tc>
          <w:tcPr>
            <w:tcW w:w="16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Thailand</w:t>
            </w:r>
          </w:p>
        </w:tc>
        <w:tc>
          <w:tcPr>
            <w:tcW w:w="272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Conformant</w:t>
            </w:r>
          </w:p>
        </w:tc>
      </w:tr>
      <w:tr>
        <w:trPr>
          <w:trHeight w:val="178"/>
        </w:trPr>
        <w:tc>
          <w:tcPr>
            <w:tcW w:w="72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Tin</w:t>
            </w:r>
          </w:p>
        </w:tc>
        <w:tc>
          <w:tcPr>
            <w:tcW w:w="8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CID001908</w:t>
            </w:r>
          </w:p>
        </w:tc>
        <w:tc>
          <w:tcPr>
            <w:tcW w:w="32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Gejiu Yunxin Nonferrous Electrolysis Co., Ltd.</w:t>
            </w:r>
          </w:p>
        </w:tc>
        <w:tc>
          <w:tcPr>
            <w:tcW w:w="16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China</w:t>
            </w:r>
          </w:p>
        </w:tc>
        <w:tc>
          <w:tcPr>
            <w:tcW w:w="272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Non Conformant</w:t>
            </w:r>
          </w:p>
        </w:tc>
      </w:tr>
      <w:tr>
        <w:trPr>
          <w:trHeight w:val="178"/>
        </w:trPr>
        <w:tc>
          <w:tcPr>
            <w:tcW w:w="72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Gold</w:t>
            </w:r>
          </w:p>
        </w:tc>
        <w:tc>
          <w:tcPr>
            <w:tcW w:w="8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CID001909</w:t>
            </w:r>
          </w:p>
        </w:tc>
        <w:tc>
          <w:tcPr>
            <w:tcW w:w="32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Great Wall Precious Metals Co., Ltd. of CBPM</w:t>
            </w:r>
          </w:p>
        </w:tc>
        <w:tc>
          <w:tcPr>
            <w:tcW w:w="16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China</w:t>
            </w:r>
          </w:p>
        </w:tc>
        <w:tc>
          <w:tcPr>
            <w:tcW w:w="272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Outreach Required</w:t>
            </w:r>
          </w:p>
        </w:tc>
      </w:tr>
      <w:tr>
        <w:trPr>
          <w:trHeight w:val="178"/>
        </w:trPr>
        <w:tc>
          <w:tcPr>
            <w:tcW w:w="72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Gold</w:t>
            </w:r>
          </w:p>
        </w:tc>
        <w:tc>
          <w:tcPr>
            <w:tcW w:w="8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CID001916</w:t>
            </w:r>
          </w:p>
        </w:tc>
        <w:tc>
          <w:tcPr>
            <w:tcW w:w="32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Shandong Gold Smelting Co., Ltd.</w:t>
            </w:r>
          </w:p>
        </w:tc>
        <w:tc>
          <w:tcPr>
            <w:tcW w:w="16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China</w:t>
            </w:r>
          </w:p>
        </w:tc>
        <w:tc>
          <w:tcPr>
            <w:tcW w:w="272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Conformant</w:t>
            </w:r>
          </w:p>
        </w:tc>
      </w:tr>
      <w:tr>
        <w:trPr>
          <w:trHeight w:val="178"/>
        </w:trPr>
        <w:tc>
          <w:tcPr>
            <w:tcW w:w="72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Gold</w:t>
            </w:r>
          </w:p>
        </w:tc>
        <w:tc>
          <w:tcPr>
            <w:tcW w:w="8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CID001938</w:t>
            </w:r>
          </w:p>
        </w:tc>
        <w:tc>
          <w:tcPr>
            <w:tcW w:w="32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Tokuriki Honten Co., Ltd.</w:t>
            </w:r>
          </w:p>
        </w:tc>
        <w:tc>
          <w:tcPr>
            <w:tcW w:w="16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Japan</w:t>
            </w:r>
          </w:p>
        </w:tc>
        <w:tc>
          <w:tcPr>
            <w:tcW w:w="272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Conformant</w:t>
            </w:r>
          </w:p>
        </w:tc>
      </w:tr>
      <w:tr>
        <w:trPr>
          <w:trHeight w:val="178"/>
        </w:trPr>
        <w:tc>
          <w:tcPr>
            <w:tcW w:w="72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Gold</w:t>
            </w:r>
          </w:p>
        </w:tc>
        <w:tc>
          <w:tcPr>
            <w:tcW w:w="8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CID001947</w:t>
            </w:r>
          </w:p>
        </w:tc>
        <w:tc>
          <w:tcPr>
            <w:tcW w:w="32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Tongling Nonferrous Metals Group Co., Ltd.</w:t>
            </w:r>
          </w:p>
        </w:tc>
        <w:tc>
          <w:tcPr>
            <w:tcW w:w="16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China</w:t>
            </w:r>
          </w:p>
        </w:tc>
        <w:tc>
          <w:tcPr>
            <w:tcW w:w="272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Outreach Required</w:t>
            </w:r>
          </w:p>
        </w:tc>
      </w:tr>
      <w:tr>
        <w:trPr>
          <w:trHeight w:val="178"/>
        </w:trPr>
        <w:tc>
          <w:tcPr>
            <w:tcW w:w="72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Gold</w:t>
            </w:r>
          </w:p>
        </w:tc>
        <w:tc>
          <w:tcPr>
            <w:tcW w:w="8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CID001955</w:t>
            </w:r>
          </w:p>
        </w:tc>
        <w:tc>
          <w:tcPr>
            <w:tcW w:w="32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Torecom</w:t>
            </w:r>
          </w:p>
        </w:tc>
        <w:tc>
          <w:tcPr>
            <w:tcW w:w="16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Korea, Republic Of</w:t>
            </w:r>
          </w:p>
        </w:tc>
        <w:tc>
          <w:tcPr>
            <w:tcW w:w="272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Non Conformant</w:t>
            </w:r>
          </w:p>
        </w:tc>
      </w:tr>
      <w:tr>
        <w:trPr>
          <w:trHeight w:val="178"/>
        </w:trPr>
        <w:tc>
          <w:tcPr>
            <w:tcW w:w="72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Tantalum</w:t>
            </w:r>
          </w:p>
        </w:tc>
        <w:tc>
          <w:tcPr>
            <w:tcW w:w="8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CID001969</w:t>
            </w:r>
          </w:p>
        </w:tc>
        <w:tc>
          <w:tcPr>
            <w:tcW w:w="32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Ulba Metallurgical Plant JSC</w:t>
            </w:r>
          </w:p>
        </w:tc>
        <w:tc>
          <w:tcPr>
            <w:tcW w:w="16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Kazakhstan</w:t>
            </w:r>
          </w:p>
        </w:tc>
        <w:tc>
          <w:tcPr>
            <w:tcW w:w="272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Conformant</w:t>
            </w:r>
          </w:p>
        </w:tc>
      </w:tr>
      <w:tr>
        <w:trPr>
          <w:trHeight w:val="178"/>
        </w:trPr>
        <w:tc>
          <w:tcPr>
            <w:tcW w:w="72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Gold</w:t>
            </w:r>
          </w:p>
        </w:tc>
        <w:tc>
          <w:tcPr>
            <w:tcW w:w="8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CID001980</w:t>
            </w:r>
          </w:p>
        </w:tc>
        <w:tc>
          <w:tcPr>
            <w:tcW w:w="32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Umicore S.A. Business Unit Precious Metals Refining</w:t>
            </w:r>
          </w:p>
        </w:tc>
        <w:tc>
          <w:tcPr>
            <w:tcW w:w="16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Belgium</w:t>
            </w:r>
          </w:p>
        </w:tc>
        <w:tc>
          <w:tcPr>
            <w:tcW w:w="272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Conformant</w:t>
            </w:r>
          </w:p>
        </w:tc>
      </w:tr>
      <w:tr>
        <w:trPr>
          <w:trHeight w:val="178"/>
        </w:trPr>
        <w:tc>
          <w:tcPr>
            <w:tcW w:w="72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Gold</w:t>
            </w:r>
          </w:p>
        </w:tc>
        <w:tc>
          <w:tcPr>
            <w:tcW w:w="8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CID001993</w:t>
            </w:r>
          </w:p>
        </w:tc>
        <w:tc>
          <w:tcPr>
            <w:tcW w:w="32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United Precious Metal Refining, Inc.</w:t>
            </w:r>
          </w:p>
        </w:tc>
        <w:tc>
          <w:tcPr>
            <w:tcW w:w="16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United States Of America</w:t>
            </w:r>
          </w:p>
        </w:tc>
        <w:tc>
          <w:tcPr>
            <w:tcW w:w="272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Conformant</w:t>
            </w:r>
          </w:p>
        </w:tc>
      </w:tr>
      <w:tr>
        <w:trPr>
          <w:trHeight w:val="178"/>
        </w:trPr>
        <w:tc>
          <w:tcPr>
            <w:tcW w:w="72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Gold</w:t>
            </w:r>
          </w:p>
        </w:tc>
        <w:tc>
          <w:tcPr>
            <w:tcW w:w="8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CID002003</w:t>
            </w:r>
          </w:p>
        </w:tc>
        <w:tc>
          <w:tcPr>
            <w:tcW w:w="32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Valcambi S.A.</w:t>
            </w:r>
          </w:p>
        </w:tc>
        <w:tc>
          <w:tcPr>
            <w:tcW w:w="16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Switzerland</w:t>
            </w:r>
          </w:p>
        </w:tc>
        <w:tc>
          <w:tcPr>
            <w:tcW w:w="272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Conformant</w:t>
            </w:r>
          </w:p>
        </w:tc>
      </w:tr>
      <w:tr>
        <w:trPr>
          <w:trHeight w:val="178"/>
        </w:trPr>
        <w:tc>
          <w:tcPr>
            <w:tcW w:w="72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Tin</w:t>
            </w:r>
          </w:p>
        </w:tc>
        <w:tc>
          <w:tcPr>
            <w:tcW w:w="8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CID002015</w:t>
            </w:r>
          </w:p>
        </w:tc>
        <w:tc>
          <w:tcPr>
            <w:tcW w:w="32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VQB Mineral and Trading Group JSC</w:t>
            </w:r>
          </w:p>
        </w:tc>
        <w:tc>
          <w:tcPr>
            <w:tcW w:w="16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Viet Nam</w:t>
            </w:r>
          </w:p>
        </w:tc>
        <w:tc>
          <w:tcPr>
            <w:tcW w:w="272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Outreach Required</w:t>
            </w:r>
          </w:p>
        </w:tc>
      </w:tr>
      <w:tr>
        <w:trPr>
          <w:trHeight w:val="178"/>
        </w:trPr>
        <w:tc>
          <w:tcPr>
            <w:tcW w:w="72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Gold</w:t>
            </w:r>
          </w:p>
        </w:tc>
        <w:tc>
          <w:tcPr>
            <w:tcW w:w="8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CID002030</w:t>
            </w:r>
          </w:p>
        </w:tc>
        <w:tc>
          <w:tcPr>
            <w:tcW w:w="32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Western Australian Mint (T/a The Perth Mint)</w:t>
            </w:r>
          </w:p>
        </w:tc>
        <w:tc>
          <w:tcPr>
            <w:tcW w:w="16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Australia</w:t>
            </w:r>
          </w:p>
        </w:tc>
        <w:tc>
          <w:tcPr>
            <w:tcW w:w="272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Conformant</w:t>
            </w:r>
          </w:p>
        </w:tc>
      </w:tr>
      <w:tr>
        <w:trPr>
          <w:trHeight w:val="178"/>
        </w:trPr>
        <w:tc>
          <w:tcPr>
            <w:tcW w:w="72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Tin</w:t>
            </w:r>
          </w:p>
        </w:tc>
        <w:tc>
          <w:tcPr>
            <w:tcW w:w="8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CID002036</w:t>
            </w:r>
          </w:p>
        </w:tc>
        <w:tc>
          <w:tcPr>
            <w:tcW w:w="32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White Solder Metalurgia e Mineracao Ltda.</w:t>
            </w:r>
          </w:p>
        </w:tc>
        <w:tc>
          <w:tcPr>
            <w:tcW w:w="16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Brazil</w:t>
            </w:r>
          </w:p>
        </w:tc>
        <w:tc>
          <w:tcPr>
            <w:tcW w:w="272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Conformant</w:t>
            </w:r>
          </w:p>
        </w:tc>
      </w:tr>
      <w:tr>
        <w:trPr>
          <w:trHeight w:val="178"/>
        </w:trPr>
        <w:tc>
          <w:tcPr>
            <w:tcW w:w="72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Tungsten</w:t>
            </w:r>
          </w:p>
        </w:tc>
        <w:tc>
          <w:tcPr>
            <w:tcW w:w="8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CID002044</w:t>
            </w:r>
          </w:p>
        </w:tc>
        <w:tc>
          <w:tcPr>
            <w:tcW w:w="32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Wolfram Bergbau und Hutten AG</w:t>
            </w:r>
          </w:p>
        </w:tc>
        <w:tc>
          <w:tcPr>
            <w:tcW w:w="16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Austria</w:t>
            </w:r>
          </w:p>
        </w:tc>
        <w:tc>
          <w:tcPr>
            <w:tcW w:w="272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Conformant</w:t>
            </w:r>
          </w:p>
        </w:tc>
      </w:tr>
      <w:tr>
        <w:trPr>
          <w:trHeight w:val="178"/>
        </w:trPr>
        <w:tc>
          <w:tcPr>
            <w:tcW w:w="72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Tungsten</w:t>
            </w:r>
          </w:p>
        </w:tc>
        <w:tc>
          <w:tcPr>
            <w:tcW w:w="8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CID002082</w:t>
            </w:r>
          </w:p>
        </w:tc>
        <w:tc>
          <w:tcPr>
            <w:tcW w:w="32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Xiamen Tungsten Co., Ltd.</w:t>
            </w:r>
          </w:p>
        </w:tc>
        <w:tc>
          <w:tcPr>
            <w:tcW w:w="16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China</w:t>
            </w:r>
          </w:p>
        </w:tc>
        <w:tc>
          <w:tcPr>
            <w:tcW w:w="272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Conformant</w:t>
            </w:r>
          </w:p>
        </w:tc>
      </w:tr>
      <w:tr>
        <w:trPr>
          <w:trHeight w:val="178"/>
        </w:trPr>
        <w:tc>
          <w:tcPr>
            <w:tcW w:w="72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Gold</w:t>
            </w:r>
          </w:p>
        </w:tc>
        <w:tc>
          <w:tcPr>
            <w:tcW w:w="8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CID002100</w:t>
            </w:r>
          </w:p>
        </w:tc>
        <w:tc>
          <w:tcPr>
            <w:tcW w:w="32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Yamakin Co., Ltd.</w:t>
            </w:r>
          </w:p>
        </w:tc>
        <w:tc>
          <w:tcPr>
            <w:tcW w:w="16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Japan</w:t>
            </w:r>
          </w:p>
        </w:tc>
        <w:tc>
          <w:tcPr>
            <w:tcW w:w="272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Conformant</w:t>
            </w:r>
          </w:p>
        </w:tc>
      </w:tr>
      <w:tr>
        <w:trPr>
          <w:trHeight w:val="178"/>
        </w:trPr>
        <w:tc>
          <w:tcPr>
            <w:tcW w:w="72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Gold</w:t>
            </w:r>
          </w:p>
        </w:tc>
        <w:tc>
          <w:tcPr>
            <w:tcW w:w="8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CID002129</w:t>
            </w:r>
          </w:p>
        </w:tc>
        <w:tc>
          <w:tcPr>
            <w:tcW w:w="32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Yokohama Metal Co., Ltd.</w:t>
            </w:r>
          </w:p>
        </w:tc>
        <w:tc>
          <w:tcPr>
            <w:tcW w:w="16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Japan</w:t>
            </w:r>
          </w:p>
        </w:tc>
        <w:tc>
          <w:tcPr>
            <w:tcW w:w="272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Conformant</w:t>
            </w:r>
          </w:p>
        </w:tc>
      </w:tr>
      <w:tr>
        <w:trPr>
          <w:trHeight w:val="178"/>
        </w:trPr>
        <w:tc>
          <w:tcPr>
            <w:tcW w:w="72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Tin</w:t>
            </w:r>
          </w:p>
        </w:tc>
        <w:tc>
          <w:tcPr>
            <w:tcW w:w="8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CID002158</w:t>
            </w:r>
          </w:p>
        </w:tc>
        <w:tc>
          <w:tcPr>
            <w:tcW w:w="32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Yunnan Chengfeng Non-ferrous Metals Co., Ltd.</w:t>
            </w:r>
          </w:p>
        </w:tc>
        <w:tc>
          <w:tcPr>
            <w:tcW w:w="16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China</w:t>
            </w:r>
          </w:p>
        </w:tc>
        <w:tc>
          <w:tcPr>
            <w:tcW w:w="272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Non Conformant</w:t>
            </w:r>
          </w:p>
        </w:tc>
      </w:tr>
      <w:tr>
        <w:trPr>
          <w:trHeight w:val="178"/>
        </w:trPr>
        <w:tc>
          <w:tcPr>
            <w:tcW w:w="72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Tin</w:t>
            </w:r>
          </w:p>
        </w:tc>
        <w:tc>
          <w:tcPr>
            <w:tcW w:w="8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CID002180</w:t>
            </w:r>
          </w:p>
        </w:tc>
        <w:tc>
          <w:tcPr>
            <w:tcW w:w="32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Tin Smelting Branch of Yunnan Tin Co., Ltd.</w:t>
            </w:r>
          </w:p>
        </w:tc>
        <w:tc>
          <w:tcPr>
            <w:tcW w:w="16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China</w:t>
            </w:r>
          </w:p>
        </w:tc>
        <w:tc>
          <w:tcPr>
            <w:tcW w:w="272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Conformant</w:t>
            </w:r>
          </w:p>
        </w:tc>
      </w:tr>
      <w:tr>
        <w:trPr>
          <w:trHeight w:val="178"/>
        </w:trPr>
        <w:tc>
          <w:tcPr>
            <w:tcW w:w="72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Gold</w:t>
            </w:r>
          </w:p>
        </w:tc>
        <w:tc>
          <w:tcPr>
            <w:tcW w:w="8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CID002224</w:t>
            </w:r>
          </w:p>
        </w:tc>
        <w:tc>
          <w:tcPr>
            <w:tcW w:w="32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Zhongyuan Gold Smelter of Zhongjin Gold Corporation</w:t>
            </w:r>
          </w:p>
        </w:tc>
        <w:tc>
          <w:tcPr>
            <w:tcW w:w="16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China</w:t>
            </w:r>
          </w:p>
        </w:tc>
        <w:tc>
          <w:tcPr>
            <w:tcW w:w="272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Conformant</w:t>
            </w:r>
          </w:p>
        </w:tc>
      </w:tr>
      <w:tr>
        <w:trPr>
          <w:trHeight w:val="396"/>
        </w:trPr>
        <w:tc>
          <w:tcPr>
            <w:tcW w:w="12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9200"/>
          </w:cols>
          <w:pgMar w:left="1340" w:top="753" w:right="1359" w:bottom="1440" w:gutter="0" w:footer="0" w:header="0"/>
        </w:sectPr>
      </w:pPr>
    </w:p>
    <w:bookmarkStart w:id="17" w:name="page18"/>
    <w:bookmarkEnd w:id="17"/>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98"/>
        </w:trPr>
        <w:tc>
          <w:tcPr>
            <w:tcW w:w="660" w:type="dxa"/>
            <w:vAlign w:val="bottom"/>
            <w:tcBorders>
              <w:top w:val="single" w:sz="8" w:color="auto"/>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Gold</w:t>
            </w:r>
          </w:p>
        </w:tc>
        <w:tc>
          <w:tcPr>
            <w:tcW w:w="78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CID002243</w:t>
            </w:r>
          </w:p>
        </w:tc>
        <w:tc>
          <w:tcPr>
            <w:tcW w:w="468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Gold Refinery of Zijin Mining Group Co., Ltd.</w:t>
            </w:r>
          </w:p>
        </w:tc>
        <w:tc>
          <w:tcPr>
            <w:tcW w:w="160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China</w:t>
            </w:r>
          </w:p>
        </w:tc>
        <w:tc>
          <w:tcPr>
            <w:tcW w:w="2600" w:type="dxa"/>
            <w:vAlign w:val="bottom"/>
            <w:tcBorders>
              <w:top w:val="single" w:sz="8" w:color="auto"/>
              <w:bottom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Conformant</w:t>
            </w:r>
          </w:p>
        </w:tc>
      </w:tr>
      <w:tr>
        <w:trPr>
          <w:trHeight w:val="178"/>
        </w:trPr>
        <w:tc>
          <w:tcPr>
            <w:tcW w:w="66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Gold</w:t>
            </w:r>
          </w:p>
        </w:tc>
        <w:tc>
          <w:tcPr>
            <w:tcW w:w="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CID002282</w:t>
            </w:r>
          </w:p>
        </w:tc>
        <w:tc>
          <w:tcPr>
            <w:tcW w:w="46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Morris and Watson</w:t>
            </w:r>
          </w:p>
        </w:tc>
        <w:tc>
          <w:tcPr>
            <w:tcW w:w="16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New Zealand</w:t>
            </w:r>
          </w:p>
        </w:tc>
        <w:tc>
          <w:tcPr>
            <w:tcW w:w="26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Outreach Required</w:t>
            </w:r>
          </w:p>
        </w:tc>
      </w:tr>
      <w:tr>
        <w:trPr>
          <w:trHeight w:val="178"/>
        </w:trPr>
        <w:tc>
          <w:tcPr>
            <w:tcW w:w="66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Gold</w:t>
            </w:r>
          </w:p>
        </w:tc>
        <w:tc>
          <w:tcPr>
            <w:tcW w:w="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CID002290</w:t>
            </w:r>
          </w:p>
        </w:tc>
        <w:tc>
          <w:tcPr>
            <w:tcW w:w="46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SAFINA A.S.</w:t>
            </w:r>
          </w:p>
        </w:tc>
        <w:tc>
          <w:tcPr>
            <w:tcW w:w="16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Czechia</w:t>
            </w:r>
          </w:p>
        </w:tc>
        <w:tc>
          <w:tcPr>
            <w:tcW w:w="26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Conformant</w:t>
            </w:r>
          </w:p>
        </w:tc>
      </w:tr>
      <w:tr>
        <w:trPr>
          <w:trHeight w:val="178"/>
        </w:trPr>
        <w:tc>
          <w:tcPr>
            <w:tcW w:w="66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Tungsten</w:t>
            </w:r>
          </w:p>
        </w:tc>
        <w:tc>
          <w:tcPr>
            <w:tcW w:w="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CID002313</w:t>
            </w:r>
          </w:p>
        </w:tc>
        <w:tc>
          <w:tcPr>
            <w:tcW w:w="46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Jiangxi Minmetals Gao'an Non-ferrous Metals Co., Ltd.</w:t>
            </w:r>
          </w:p>
        </w:tc>
        <w:tc>
          <w:tcPr>
            <w:tcW w:w="16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China</w:t>
            </w:r>
          </w:p>
        </w:tc>
        <w:tc>
          <w:tcPr>
            <w:tcW w:w="26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Communication Suspended - Not Interested</w:t>
            </w:r>
          </w:p>
        </w:tc>
      </w:tr>
      <w:tr>
        <w:trPr>
          <w:trHeight w:val="178"/>
        </w:trPr>
        <w:tc>
          <w:tcPr>
            <w:tcW w:w="66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Gold</w:t>
            </w:r>
          </w:p>
        </w:tc>
        <w:tc>
          <w:tcPr>
            <w:tcW w:w="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CID002314</w:t>
            </w:r>
          </w:p>
        </w:tc>
        <w:tc>
          <w:tcPr>
            <w:tcW w:w="46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Umicore Precious Metals Thailand</w:t>
            </w:r>
          </w:p>
        </w:tc>
        <w:tc>
          <w:tcPr>
            <w:tcW w:w="16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Thailand</w:t>
            </w:r>
          </w:p>
        </w:tc>
        <w:tc>
          <w:tcPr>
            <w:tcW w:w="26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Non Conformant</w:t>
            </w:r>
          </w:p>
        </w:tc>
      </w:tr>
      <w:tr>
        <w:trPr>
          <w:trHeight w:val="178"/>
        </w:trPr>
        <w:tc>
          <w:tcPr>
            <w:tcW w:w="66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Tungsten</w:t>
            </w:r>
          </w:p>
        </w:tc>
        <w:tc>
          <w:tcPr>
            <w:tcW w:w="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CID002315</w:t>
            </w:r>
          </w:p>
        </w:tc>
        <w:tc>
          <w:tcPr>
            <w:tcW w:w="46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Ganzhou Jiangwu Ferrotungsten Co., Ltd.</w:t>
            </w:r>
          </w:p>
        </w:tc>
        <w:tc>
          <w:tcPr>
            <w:tcW w:w="16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China</w:t>
            </w:r>
          </w:p>
        </w:tc>
        <w:tc>
          <w:tcPr>
            <w:tcW w:w="26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Active</w:t>
            </w:r>
          </w:p>
        </w:tc>
      </w:tr>
      <w:tr>
        <w:trPr>
          <w:trHeight w:val="178"/>
        </w:trPr>
        <w:tc>
          <w:tcPr>
            <w:tcW w:w="66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Tungsten</w:t>
            </w:r>
          </w:p>
        </w:tc>
        <w:tc>
          <w:tcPr>
            <w:tcW w:w="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CID002316</w:t>
            </w:r>
          </w:p>
        </w:tc>
        <w:tc>
          <w:tcPr>
            <w:tcW w:w="46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Jiangxi Yaosheng Tungsten Co., Ltd.</w:t>
            </w:r>
          </w:p>
        </w:tc>
        <w:tc>
          <w:tcPr>
            <w:tcW w:w="16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China</w:t>
            </w:r>
          </w:p>
        </w:tc>
        <w:tc>
          <w:tcPr>
            <w:tcW w:w="26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Conformant</w:t>
            </w:r>
          </w:p>
        </w:tc>
      </w:tr>
      <w:tr>
        <w:trPr>
          <w:trHeight w:val="178"/>
        </w:trPr>
        <w:tc>
          <w:tcPr>
            <w:tcW w:w="66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Tungsten</w:t>
            </w:r>
          </w:p>
        </w:tc>
        <w:tc>
          <w:tcPr>
            <w:tcW w:w="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CID002317</w:t>
            </w:r>
          </w:p>
        </w:tc>
        <w:tc>
          <w:tcPr>
            <w:tcW w:w="46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Jiangxi Xinsheng Tungsten Industry Co., Ltd.</w:t>
            </w:r>
          </w:p>
        </w:tc>
        <w:tc>
          <w:tcPr>
            <w:tcW w:w="16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China</w:t>
            </w:r>
          </w:p>
        </w:tc>
        <w:tc>
          <w:tcPr>
            <w:tcW w:w="26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Conformant</w:t>
            </w:r>
          </w:p>
        </w:tc>
      </w:tr>
      <w:tr>
        <w:trPr>
          <w:trHeight w:val="178"/>
        </w:trPr>
        <w:tc>
          <w:tcPr>
            <w:tcW w:w="66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Tungsten</w:t>
            </w:r>
          </w:p>
        </w:tc>
        <w:tc>
          <w:tcPr>
            <w:tcW w:w="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CID002319</w:t>
            </w:r>
          </w:p>
        </w:tc>
        <w:tc>
          <w:tcPr>
            <w:tcW w:w="46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Malipo Haiyu Tungsten Co., Ltd.</w:t>
            </w:r>
          </w:p>
        </w:tc>
        <w:tc>
          <w:tcPr>
            <w:tcW w:w="16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China</w:t>
            </w:r>
          </w:p>
        </w:tc>
        <w:tc>
          <w:tcPr>
            <w:tcW w:w="26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Conformant</w:t>
            </w:r>
          </w:p>
        </w:tc>
      </w:tr>
      <w:tr>
        <w:trPr>
          <w:trHeight w:val="178"/>
        </w:trPr>
        <w:tc>
          <w:tcPr>
            <w:tcW w:w="66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Tungsten</w:t>
            </w:r>
          </w:p>
        </w:tc>
        <w:tc>
          <w:tcPr>
            <w:tcW w:w="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CID002320</w:t>
            </w:r>
          </w:p>
        </w:tc>
        <w:tc>
          <w:tcPr>
            <w:tcW w:w="46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Xiamen Tungsten (H.C.) Co., Ltd.</w:t>
            </w:r>
          </w:p>
        </w:tc>
        <w:tc>
          <w:tcPr>
            <w:tcW w:w="16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China</w:t>
            </w:r>
          </w:p>
        </w:tc>
        <w:tc>
          <w:tcPr>
            <w:tcW w:w="26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Conformant</w:t>
            </w:r>
          </w:p>
        </w:tc>
      </w:tr>
      <w:tr>
        <w:trPr>
          <w:trHeight w:val="178"/>
        </w:trPr>
        <w:tc>
          <w:tcPr>
            <w:tcW w:w="66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Tungsten</w:t>
            </w:r>
          </w:p>
        </w:tc>
        <w:tc>
          <w:tcPr>
            <w:tcW w:w="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CID002321</w:t>
            </w:r>
          </w:p>
        </w:tc>
        <w:tc>
          <w:tcPr>
            <w:tcW w:w="46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Jiangxi Gan Bei Tungsten Co., Ltd.</w:t>
            </w:r>
          </w:p>
        </w:tc>
        <w:tc>
          <w:tcPr>
            <w:tcW w:w="16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China</w:t>
            </w:r>
          </w:p>
        </w:tc>
        <w:tc>
          <w:tcPr>
            <w:tcW w:w="26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Conformant</w:t>
            </w:r>
          </w:p>
        </w:tc>
      </w:tr>
      <w:tr>
        <w:trPr>
          <w:trHeight w:val="178"/>
        </w:trPr>
        <w:tc>
          <w:tcPr>
            <w:tcW w:w="66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Tin</w:t>
            </w:r>
          </w:p>
        </w:tc>
        <w:tc>
          <w:tcPr>
            <w:tcW w:w="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CID002468</w:t>
            </w:r>
          </w:p>
        </w:tc>
        <w:tc>
          <w:tcPr>
            <w:tcW w:w="46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Magnu's Minerais Metais e Ligas Ltda.</w:t>
            </w:r>
          </w:p>
        </w:tc>
        <w:tc>
          <w:tcPr>
            <w:tcW w:w="16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Brazil</w:t>
            </w:r>
          </w:p>
        </w:tc>
        <w:tc>
          <w:tcPr>
            <w:tcW w:w="26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Conformant</w:t>
            </w:r>
          </w:p>
        </w:tc>
      </w:tr>
      <w:tr>
        <w:trPr>
          <w:trHeight w:val="178"/>
        </w:trPr>
        <w:tc>
          <w:tcPr>
            <w:tcW w:w="66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Tantalum</w:t>
            </w:r>
          </w:p>
        </w:tc>
        <w:tc>
          <w:tcPr>
            <w:tcW w:w="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CID002492</w:t>
            </w:r>
          </w:p>
        </w:tc>
        <w:tc>
          <w:tcPr>
            <w:tcW w:w="46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Hengyang King Xing Lifeng New Materials Co., Ltd.</w:t>
            </w:r>
          </w:p>
        </w:tc>
        <w:tc>
          <w:tcPr>
            <w:tcW w:w="16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China</w:t>
            </w:r>
          </w:p>
        </w:tc>
        <w:tc>
          <w:tcPr>
            <w:tcW w:w="26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Conformant</w:t>
            </w:r>
          </w:p>
        </w:tc>
      </w:tr>
      <w:tr>
        <w:trPr>
          <w:trHeight w:val="178"/>
        </w:trPr>
        <w:tc>
          <w:tcPr>
            <w:tcW w:w="66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Tungsten</w:t>
            </w:r>
          </w:p>
        </w:tc>
        <w:tc>
          <w:tcPr>
            <w:tcW w:w="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CID002494</w:t>
            </w:r>
          </w:p>
        </w:tc>
        <w:tc>
          <w:tcPr>
            <w:tcW w:w="46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Ganzhou Seadragon W &amp; Mo Co., Ltd.</w:t>
            </w:r>
          </w:p>
        </w:tc>
        <w:tc>
          <w:tcPr>
            <w:tcW w:w="16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China</w:t>
            </w:r>
          </w:p>
        </w:tc>
        <w:tc>
          <w:tcPr>
            <w:tcW w:w="26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Conformant</w:t>
            </w:r>
          </w:p>
        </w:tc>
      </w:tr>
      <w:tr>
        <w:trPr>
          <w:trHeight w:val="178"/>
        </w:trPr>
        <w:tc>
          <w:tcPr>
            <w:tcW w:w="66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Tin</w:t>
            </w:r>
          </w:p>
        </w:tc>
        <w:tc>
          <w:tcPr>
            <w:tcW w:w="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CID002500</w:t>
            </w:r>
          </w:p>
        </w:tc>
        <w:tc>
          <w:tcPr>
            <w:tcW w:w="46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Melt Metais e Ligas S.A.</w:t>
            </w:r>
          </w:p>
        </w:tc>
        <w:tc>
          <w:tcPr>
            <w:tcW w:w="16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Brazil</w:t>
            </w:r>
          </w:p>
        </w:tc>
        <w:tc>
          <w:tcPr>
            <w:tcW w:w="26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Non Conformant</w:t>
            </w:r>
          </w:p>
        </w:tc>
      </w:tr>
      <w:tr>
        <w:trPr>
          <w:trHeight w:val="178"/>
        </w:trPr>
        <w:tc>
          <w:tcPr>
            <w:tcW w:w="66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Tungsten</w:t>
            </w:r>
          </w:p>
        </w:tc>
        <w:tc>
          <w:tcPr>
            <w:tcW w:w="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CID002502</w:t>
            </w:r>
          </w:p>
        </w:tc>
        <w:tc>
          <w:tcPr>
            <w:tcW w:w="46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Asia Tungsten Products Vietnam Ltd.</w:t>
            </w:r>
          </w:p>
        </w:tc>
        <w:tc>
          <w:tcPr>
            <w:tcW w:w="16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Viet Nam</w:t>
            </w:r>
          </w:p>
        </w:tc>
        <w:tc>
          <w:tcPr>
            <w:tcW w:w="26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Conformant</w:t>
            </w:r>
          </w:p>
        </w:tc>
      </w:tr>
      <w:tr>
        <w:trPr>
          <w:trHeight w:val="178"/>
        </w:trPr>
        <w:tc>
          <w:tcPr>
            <w:tcW w:w="66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Tin</w:t>
            </w:r>
          </w:p>
        </w:tc>
        <w:tc>
          <w:tcPr>
            <w:tcW w:w="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CID002503</w:t>
            </w:r>
          </w:p>
        </w:tc>
        <w:tc>
          <w:tcPr>
            <w:tcW w:w="46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PT ATD Makmur Mandiri Jaya</w:t>
            </w:r>
          </w:p>
        </w:tc>
        <w:tc>
          <w:tcPr>
            <w:tcW w:w="16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Indonesia</w:t>
            </w:r>
          </w:p>
        </w:tc>
        <w:tc>
          <w:tcPr>
            <w:tcW w:w="26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Conformant</w:t>
            </w:r>
          </w:p>
        </w:tc>
      </w:tr>
      <w:tr>
        <w:trPr>
          <w:trHeight w:val="178"/>
        </w:trPr>
        <w:tc>
          <w:tcPr>
            <w:tcW w:w="66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Tantalum</w:t>
            </w:r>
          </w:p>
        </w:tc>
        <w:tc>
          <w:tcPr>
            <w:tcW w:w="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CID002504</w:t>
            </w:r>
          </w:p>
        </w:tc>
        <w:tc>
          <w:tcPr>
            <w:tcW w:w="46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D Block Metals, LLC</w:t>
            </w:r>
          </w:p>
        </w:tc>
        <w:tc>
          <w:tcPr>
            <w:tcW w:w="16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United States Of America</w:t>
            </w:r>
          </w:p>
        </w:tc>
        <w:tc>
          <w:tcPr>
            <w:tcW w:w="26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Conformant</w:t>
            </w:r>
          </w:p>
        </w:tc>
      </w:tr>
      <w:tr>
        <w:trPr>
          <w:trHeight w:val="178"/>
        </w:trPr>
        <w:tc>
          <w:tcPr>
            <w:tcW w:w="66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Tantalum</w:t>
            </w:r>
          </w:p>
        </w:tc>
        <w:tc>
          <w:tcPr>
            <w:tcW w:w="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CID002505</w:t>
            </w:r>
          </w:p>
        </w:tc>
        <w:tc>
          <w:tcPr>
            <w:tcW w:w="46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FIR Metals &amp; Resource Ltd.</w:t>
            </w:r>
          </w:p>
        </w:tc>
        <w:tc>
          <w:tcPr>
            <w:tcW w:w="16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China</w:t>
            </w:r>
          </w:p>
        </w:tc>
        <w:tc>
          <w:tcPr>
            <w:tcW w:w="26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Conformant</w:t>
            </w:r>
          </w:p>
        </w:tc>
      </w:tr>
      <w:tr>
        <w:trPr>
          <w:trHeight w:val="178"/>
        </w:trPr>
        <w:tc>
          <w:tcPr>
            <w:tcW w:w="66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Tantalum</w:t>
            </w:r>
          </w:p>
        </w:tc>
        <w:tc>
          <w:tcPr>
            <w:tcW w:w="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CID002506</w:t>
            </w:r>
          </w:p>
        </w:tc>
        <w:tc>
          <w:tcPr>
            <w:tcW w:w="46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Jiujiang Zhongao Tantalum &amp; Niobium Co., Ltd.</w:t>
            </w:r>
          </w:p>
        </w:tc>
        <w:tc>
          <w:tcPr>
            <w:tcW w:w="16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China</w:t>
            </w:r>
          </w:p>
        </w:tc>
        <w:tc>
          <w:tcPr>
            <w:tcW w:w="26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Conformant</w:t>
            </w:r>
          </w:p>
        </w:tc>
      </w:tr>
      <w:tr>
        <w:trPr>
          <w:trHeight w:val="178"/>
        </w:trPr>
        <w:tc>
          <w:tcPr>
            <w:tcW w:w="66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Tantalum</w:t>
            </w:r>
          </w:p>
        </w:tc>
        <w:tc>
          <w:tcPr>
            <w:tcW w:w="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CID002508</w:t>
            </w:r>
          </w:p>
        </w:tc>
        <w:tc>
          <w:tcPr>
            <w:tcW w:w="46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XinXing HaoRong Electronic Material Co., Ltd.</w:t>
            </w:r>
          </w:p>
        </w:tc>
        <w:tc>
          <w:tcPr>
            <w:tcW w:w="16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China</w:t>
            </w:r>
          </w:p>
        </w:tc>
        <w:tc>
          <w:tcPr>
            <w:tcW w:w="26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Conformant</w:t>
            </w:r>
          </w:p>
        </w:tc>
      </w:tr>
      <w:tr>
        <w:trPr>
          <w:trHeight w:val="178"/>
        </w:trPr>
        <w:tc>
          <w:tcPr>
            <w:tcW w:w="66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Gold</w:t>
            </w:r>
          </w:p>
        </w:tc>
        <w:tc>
          <w:tcPr>
            <w:tcW w:w="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CID002509</w:t>
            </w:r>
          </w:p>
        </w:tc>
        <w:tc>
          <w:tcPr>
            <w:tcW w:w="46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MMTC-PAMP India Pvt., Ltd.</w:t>
            </w:r>
          </w:p>
        </w:tc>
        <w:tc>
          <w:tcPr>
            <w:tcW w:w="16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India</w:t>
            </w:r>
          </w:p>
        </w:tc>
        <w:tc>
          <w:tcPr>
            <w:tcW w:w="26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Conformant</w:t>
            </w:r>
          </w:p>
        </w:tc>
      </w:tr>
      <w:tr>
        <w:trPr>
          <w:trHeight w:val="178"/>
        </w:trPr>
        <w:tc>
          <w:tcPr>
            <w:tcW w:w="66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Gold</w:t>
            </w:r>
          </w:p>
        </w:tc>
        <w:tc>
          <w:tcPr>
            <w:tcW w:w="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CID002511</w:t>
            </w:r>
          </w:p>
        </w:tc>
        <w:tc>
          <w:tcPr>
            <w:tcW w:w="46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KGHM Polska Miedz Spolka Akcyjna</w:t>
            </w:r>
          </w:p>
        </w:tc>
        <w:tc>
          <w:tcPr>
            <w:tcW w:w="16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Poland</w:t>
            </w:r>
          </w:p>
        </w:tc>
        <w:tc>
          <w:tcPr>
            <w:tcW w:w="26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Conformant</w:t>
            </w:r>
          </w:p>
        </w:tc>
      </w:tr>
      <w:tr>
        <w:trPr>
          <w:trHeight w:val="178"/>
        </w:trPr>
        <w:tc>
          <w:tcPr>
            <w:tcW w:w="66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Tantalum</w:t>
            </w:r>
          </w:p>
        </w:tc>
        <w:tc>
          <w:tcPr>
            <w:tcW w:w="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CID002512</w:t>
            </w:r>
          </w:p>
        </w:tc>
        <w:tc>
          <w:tcPr>
            <w:tcW w:w="46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Jiangxi Dinghai Tantalum &amp; Niobium Co., Ltd.</w:t>
            </w:r>
          </w:p>
        </w:tc>
        <w:tc>
          <w:tcPr>
            <w:tcW w:w="16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China</w:t>
            </w:r>
          </w:p>
        </w:tc>
        <w:tc>
          <w:tcPr>
            <w:tcW w:w="26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Conformant</w:t>
            </w:r>
          </w:p>
        </w:tc>
      </w:tr>
      <w:tr>
        <w:trPr>
          <w:trHeight w:val="178"/>
        </w:trPr>
        <w:tc>
          <w:tcPr>
            <w:tcW w:w="66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Tungsten</w:t>
            </w:r>
          </w:p>
        </w:tc>
        <w:tc>
          <w:tcPr>
            <w:tcW w:w="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CID002513</w:t>
            </w:r>
          </w:p>
        </w:tc>
        <w:tc>
          <w:tcPr>
            <w:tcW w:w="46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Hunan Shizhuyuan Nonferrous Metals Co., Ltd. Chenzhou Tungsten Products Branch</w:t>
            </w:r>
          </w:p>
        </w:tc>
        <w:tc>
          <w:tcPr>
            <w:tcW w:w="16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China</w:t>
            </w:r>
          </w:p>
        </w:tc>
        <w:tc>
          <w:tcPr>
            <w:tcW w:w="26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Non Conformant</w:t>
            </w:r>
          </w:p>
        </w:tc>
      </w:tr>
      <w:tr>
        <w:trPr>
          <w:trHeight w:val="178"/>
        </w:trPr>
        <w:tc>
          <w:tcPr>
            <w:tcW w:w="66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Gold</w:t>
            </w:r>
          </w:p>
        </w:tc>
        <w:tc>
          <w:tcPr>
            <w:tcW w:w="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CID002515</w:t>
            </w:r>
          </w:p>
        </w:tc>
        <w:tc>
          <w:tcPr>
            <w:tcW w:w="46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Fidelity Printers and Refiners Ltd.</w:t>
            </w:r>
          </w:p>
        </w:tc>
        <w:tc>
          <w:tcPr>
            <w:tcW w:w="16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Zimbabwe</w:t>
            </w:r>
          </w:p>
        </w:tc>
        <w:tc>
          <w:tcPr>
            <w:tcW w:w="26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w w:val="99"/>
              </w:rPr>
              <w:t>RMI Due Diligence Review - Unable to Proceed</w:t>
            </w:r>
          </w:p>
        </w:tc>
      </w:tr>
      <w:tr>
        <w:trPr>
          <w:trHeight w:val="178"/>
        </w:trPr>
        <w:tc>
          <w:tcPr>
            <w:tcW w:w="66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Gold</w:t>
            </w:r>
          </w:p>
        </w:tc>
        <w:tc>
          <w:tcPr>
            <w:tcW w:w="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CID002516</w:t>
            </w:r>
          </w:p>
        </w:tc>
        <w:tc>
          <w:tcPr>
            <w:tcW w:w="46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Singway Technology Co., Ltd.</w:t>
            </w:r>
          </w:p>
        </w:tc>
        <w:tc>
          <w:tcPr>
            <w:tcW w:w="16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Taiwan, Province Of China</w:t>
            </w:r>
          </w:p>
        </w:tc>
        <w:tc>
          <w:tcPr>
            <w:tcW w:w="26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Non Conformant</w:t>
            </w:r>
          </w:p>
        </w:tc>
      </w:tr>
      <w:tr>
        <w:trPr>
          <w:trHeight w:val="178"/>
        </w:trPr>
        <w:tc>
          <w:tcPr>
            <w:tcW w:w="66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Tin</w:t>
            </w:r>
          </w:p>
        </w:tc>
        <w:tc>
          <w:tcPr>
            <w:tcW w:w="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CID002517</w:t>
            </w:r>
          </w:p>
        </w:tc>
        <w:tc>
          <w:tcPr>
            <w:tcW w:w="46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O.M. Manufacturing Philippines, Inc.</w:t>
            </w:r>
          </w:p>
        </w:tc>
        <w:tc>
          <w:tcPr>
            <w:tcW w:w="16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Philippines</w:t>
            </w:r>
          </w:p>
        </w:tc>
        <w:tc>
          <w:tcPr>
            <w:tcW w:w="26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Conformant</w:t>
            </w:r>
          </w:p>
        </w:tc>
      </w:tr>
      <w:tr>
        <w:trPr>
          <w:trHeight w:val="178"/>
        </w:trPr>
        <w:tc>
          <w:tcPr>
            <w:tcW w:w="66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Gold</w:t>
            </w:r>
          </w:p>
        </w:tc>
        <w:tc>
          <w:tcPr>
            <w:tcW w:w="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CID002525</w:t>
            </w:r>
          </w:p>
        </w:tc>
        <w:tc>
          <w:tcPr>
            <w:tcW w:w="46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Shandong Humon Smelting Co., Ltd.</w:t>
            </w:r>
          </w:p>
        </w:tc>
        <w:tc>
          <w:tcPr>
            <w:tcW w:w="16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China</w:t>
            </w:r>
          </w:p>
        </w:tc>
        <w:tc>
          <w:tcPr>
            <w:tcW w:w="26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Outreach Required</w:t>
            </w:r>
          </w:p>
        </w:tc>
      </w:tr>
      <w:tr>
        <w:trPr>
          <w:trHeight w:val="178"/>
        </w:trPr>
        <w:tc>
          <w:tcPr>
            <w:tcW w:w="66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Gold</w:t>
            </w:r>
          </w:p>
        </w:tc>
        <w:tc>
          <w:tcPr>
            <w:tcW w:w="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CID002527</w:t>
            </w:r>
          </w:p>
        </w:tc>
        <w:tc>
          <w:tcPr>
            <w:tcW w:w="46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Shenzhen Zhonghenglong Real Industry Co., Ltd.</w:t>
            </w:r>
          </w:p>
        </w:tc>
        <w:tc>
          <w:tcPr>
            <w:tcW w:w="16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China</w:t>
            </w:r>
          </w:p>
        </w:tc>
        <w:tc>
          <w:tcPr>
            <w:tcW w:w="26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Outreach Required</w:t>
            </w:r>
          </w:p>
        </w:tc>
      </w:tr>
      <w:tr>
        <w:trPr>
          <w:trHeight w:val="178"/>
        </w:trPr>
        <w:tc>
          <w:tcPr>
            <w:tcW w:w="66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Tantalum</w:t>
            </w:r>
          </w:p>
        </w:tc>
        <w:tc>
          <w:tcPr>
            <w:tcW w:w="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CID002539</w:t>
            </w:r>
          </w:p>
        </w:tc>
        <w:tc>
          <w:tcPr>
            <w:tcW w:w="46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KEMET de Mexico</w:t>
            </w:r>
          </w:p>
        </w:tc>
        <w:tc>
          <w:tcPr>
            <w:tcW w:w="16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Mexico</w:t>
            </w:r>
          </w:p>
        </w:tc>
        <w:tc>
          <w:tcPr>
            <w:tcW w:w="26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Conformant</w:t>
            </w:r>
          </w:p>
        </w:tc>
      </w:tr>
      <w:tr>
        <w:trPr>
          <w:trHeight w:val="178"/>
        </w:trPr>
        <w:tc>
          <w:tcPr>
            <w:tcW w:w="66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Tungsten</w:t>
            </w:r>
          </w:p>
        </w:tc>
        <w:tc>
          <w:tcPr>
            <w:tcW w:w="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CID002541</w:t>
            </w:r>
          </w:p>
        </w:tc>
        <w:tc>
          <w:tcPr>
            <w:tcW w:w="46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H.C. Starck Tungsten GmbH</w:t>
            </w:r>
          </w:p>
        </w:tc>
        <w:tc>
          <w:tcPr>
            <w:tcW w:w="16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Germany</w:t>
            </w:r>
          </w:p>
        </w:tc>
        <w:tc>
          <w:tcPr>
            <w:tcW w:w="26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Conformant</w:t>
            </w:r>
          </w:p>
        </w:tc>
      </w:tr>
      <w:tr>
        <w:trPr>
          <w:trHeight w:val="178"/>
        </w:trPr>
        <w:tc>
          <w:tcPr>
            <w:tcW w:w="66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Tungsten</w:t>
            </w:r>
          </w:p>
        </w:tc>
        <w:tc>
          <w:tcPr>
            <w:tcW w:w="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CID002542</w:t>
            </w:r>
          </w:p>
        </w:tc>
        <w:tc>
          <w:tcPr>
            <w:tcW w:w="46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TANIOBIS Smelting GmbH &amp; Co. KG</w:t>
            </w:r>
          </w:p>
        </w:tc>
        <w:tc>
          <w:tcPr>
            <w:tcW w:w="16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Germany</w:t>
            </w:r>
          </w:p>
        </w:tc>
        <w:tc>
          <w:tcPr>
            <w:tcW w:w="26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Conformant</w:t>
            </w:r>
          </w:p>
        </w:tc>
      </w:tr>
      <w:tr>
        <w:trPr>
          <w:trHeight w:val="178"/>
        </w:trPr>
        <w:tc>
          <w:tcPr>
            <w:tcW w:w="66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Tungsten</w:t>
            </w:r>
          </w:p>
        </w:tc>
        <w:tc>
          <w:tcPr>
            <w:tcW w:w="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CID002543</w:t>
            </w:r>
          </w:p>
        </w:tc>
        <w:tc>
          <w:tcPr>
            <w:tcW w:w="46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Masan High-Tech Materials</w:t>
            </w:r>
          </w:p>
        </w:tc>
        <w:tc>
          <w:tcPr>
            <w:tcW w:w="16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Viet Nam</w:t>
            </w:r>
          </w:p>
        </w:tc>
        <w:tc>
          <w:tcPr>
            <w:tcW w:w="26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Conformant</w:t>
            </w:r>
          </w:p>
        </w:tc>
      </w:tr>
      <w:tr>
        <w:trPr>
          <w:trHeight w:val="178"/>
        </w:trPr>
        <w:tc>
          <w:tcPr>
            <w:tcW w:w="66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Tantalum</w:t>
            </w:r>
          </w:p>
        </w:tc>
        <w:tc>
          <w:tcPr>
            <w:tcW w:w="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CID002544</w:t>
            </w:r>
          </w:p>
        </w:tc>
        <w:tc>
          <w:tcPr>
            <w:tcW w:w="46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TANIOBIS Co., Ltd.</w:t>
            </w:r>
          </w:p>
        </w:tc>
        <w:tc>
          <w:tcPr>
            <w:tcW w:w="16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Thailand</w:t>
            </w:r>
          </w:p>
        </w:tc>
        <w:tc>
          <w:tcPr>
            <w:tcW w:w="26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Conformant</w:t>
            </w:r>
          </w:p>
        </w:tc>
      </w:tr>
      <w:tr>
        <w:trPr>
          <w:trHeight w:val="396"/>
        </w:trPr>
        <w:tc>
          <w:tcPr>
            <w:tcW w:w="12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468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240" w:type="dxa"/>
            <w:vAlign w:val="bottom"/>
          </w:tcPr>
          <w:p>
            <w:pPr>
              <w:spacing w:after="0"/>
              <w:rPr>
                <w:sz w:val="24"/>
                <w:szCs w:val="24"/>
                <w:color w:val="auto"/>
              </w:rPr>
            </w:pPr>
          </w:p>
        </w:tc>
      </w:tr>
    </w:tbl>
    <w:p>
      <w:pPr>
        <w:sectPr>
          <w:pgSz w:w="11900" w:h="16838" w:orient="portrait"/>
          <w:cols w:equalWidth="0" w:num="1">
            <w:col w:w="10320"/>
          </w:cols>
          <w:pgMar w:left="1340" w:top="753" w:right="239" w:bottom="1440" w:gutter="0" w:footer="0" w:header="0"/>
        </w:sectPr>
      </w:pPr>
    </w:p>
    <w:bookmarkStart w:id="18" w:name="page19"/>
    <w:bookmarkEnd w:id="18"/>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98"/>
        </w:trPr>
        <w:tc>
          <w:tcPr>
            <w:tcW w:w="660" w:type="dxa"/>
            <w:vAlign w:val="bottom"/>
            <w:tcBorders>
              <w:top w:val="single" w:sz="8" w:color="auto"/>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Tantalum</w:t>
            </w:r>
          </w:p>
        </w:tc>
        <w:tc>
          <w:tcPr>
            <w:tcW w:w="78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CID002545</w:t>
            </w:r>
          </w:p>
        </w:tc>
        <w:tc>
          <w:tcPr>
            <w:tcW w:w="494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TANIOBIS GmbH</w:t>
            </w:r>
          </w:p>
        </w:tc>
        <w:tc>
          <w:tcPr>
            <w:tcW w:w="152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Germany</w:t>
            </w:r>
          </w:p>
        </w:tc>
        <w:tc>
          <w:tcPr>
            <w:tcW w:w="2420" w:type="dxa"/>
            <w:vAlign w:val="bottom"/>
            <w:tcBorders>
              <w:top w:val="single" w:sz="8" w:color="auto"/>
              <w:bottom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Conformant</w:t>
            </w:r>
          </w:p>
        </w:tc>
      </w:tr>
      <w:tr>
        <w:trPr>
          <w:trHeight w:val="178"/>
        </w:trPr>
        <w:tc>
          <w:tcPr>
            <w:tcW w:w="66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Tantalum</w:t>
            </w:r>
          </w:p>
        </w:tc>
        <w:tc>
          <w:tcPr>
            <w:tcW w:w="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CID002548</w:t>
            </w:r>
          </w:p>
        </w:tc>
        <w:tc>
          <w:tcPr>
            <w:tcW w:w="4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Materion Newton Inc.</w:t>
            </w:r>
          </w:p>
        </w:tc>
        <w:tc>
          <w:tcPr>
            <w:tcW w:w="15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United States Of America</w:t>
            </w:r>
          </w:p>
        </w:tc>
        <w:tc>
          <w:tcPr>
            <w:tcW w:w="242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Conformant</w:t>
            </w:r>
          </w:p>
        </w:tc>
      </w:tr>
      <w:tr>
        <w:trPr>
          <w:trHeight w:val="178"/>
        </w:trPr>
        <w:tc>
          <w:tcPr>
            <w:tcW w:w="66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Tantalum</w:t>
            </w:r>
          </w:p>
        </w:tc>
        <w:tc>
          <w:tcPr>
            <w:tcW w:w="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CID002549</w:t>
            </w:r>
          </w:p>
        </w:tc>
        <w:tc>
          <w:tcPr>
            <w:tcW w:w="4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TANIOBIS Japan Co., Ltd.</w:t>
            </w:r>
          </w:p>
        </w:tc>
        <w:tc>
          <w:tcPr>
            <w:tcW w:w="15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Japan</w:t>
            </w:r>
          </w:p>
        </w:tc>
        <w:tc>
          <w:tcPr>
            <w:tcW w:w="242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Conformant</w:t>
            </w:r>
          </w:p>
        </w:tc>
      </w:tr>
      <w:tr>
        <w:trPr>
          <w:trHeight w:val="178"/>
        </w:trPr>
        <w:tc>
          <w:tcPr>
            <w:tcW w:w="66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Tantalum</w:t>
            </w:r>
          </w:p>
        </w:tc>
        <w:tc>
          <w:tcPr>
            <w:tcW w:w="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CID002550</w:t>
            </w:r>
          </w:p>
        </w:tc>
        <w:tc>
          <w:tcPr>
            <w:tcW w:w="4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TANIOBIS Smelting GmbH &amp; Co. KG</w:t>
            </w:r>
          </w:p>
        </w:tc>
        <w:tc>
          <w:tcPr>
            <w:tcW w:w="15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Germany</w:t>
            </w:r>
          </w:p>
        </w:tc>
        <w:tc>
          <w:tcPr>
            <w:tcW w:w="242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Conformant</w:t>
            </w:r>
          </w:p>
        </w:tc>
      </w:tr>
      <w:tr>
        <w:trPr>
          <w:trHeight w:val="178"/>
        </w:trPr>
        <w:tc>
          <w:tcPr>
            <w:tcW w:w="66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Tungsten</w:t>
            </w:r>
          </w:p>
        </w:tc>
        <w:tc>
          <w:tcPr>
            <w:tcW w:w="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CID002551</w:t>
            </w:r>
          </w:p>
        </w:tc>
        <w:tc>
          <w:tcPr>
            <w:tcW w:w="4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Jiangwu H.C. Starck Tungsten Products Co., Ltd.</w:t>
            </w:r>
          </w:p>
        </w:tc>
        <w:tc>
          <w:tcPr>
            <w:tcW w:w="15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China</w:t>
            </w:r>
          </w:p>
        </w:tc>
        <w:tc>
          <w:tcPr>
            <w:tcW w:w="242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Conformant</w:t>
            </w:r>
          </w:p>
        </w:tc>
      </w:tr>
      <w:tr>
        <w:trPr>
          <w:trHeight w:val="178"/>
        </w:trPr>
        <w:tc>
          <w:tcPr>
            <w:tcW w:w="66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Tantalum</w:t>
            </w:r>
          </w:p>
        </w:tc>
        <w:tc>
          <w:tcPr>
            <w:tcW w:w="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CID002557</w:t>
            </w:r>
          </w:p>
        </w:tc>
        <w:tc>
          <w:tcPr>
            <w:tcW w:w="4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Global Advanced Metals Boyertown</w:t>
            </w:r>
          </w:p>
        </w:tc>
        <w:tc>
          <w:tcPr>
            <w:tcW w:w="15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United States Of America</w:t>
            </w:r>
          </w:p>
        </w:tc>
        <w:tc>
          <w:tcPr>
            <w:tcW w:w="242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Conformant</w:t>
            </w:r>
          </w:p>
        </w:tc>
      </w:tr>
      <w:tr>
        <w:trPr>
          <w:trHeight w:val="178"/>
        </w:trPr>
        <w:tc>
          <w:tcPr>
            <w:tcW w:w="66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Tantalum</w:t>
            </w:r>
          </w:p>
        </w:tc>
        <w:tc>
          <w:tcPr>
            <w:tcW w:w="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CID002558</w:t>
            </w:r>
          </w:p>
        </w:tc>
        <w:tc>
          <w:tcPr>
            <w:tcW w:w="4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Global Advanced Metals Aizu</w:t>
            </w:r>
          </w:p>
        </w:tc>
        <w:tc>
          <w:tcPr>
            <w:tcW w:w="15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Japan</w:t>
            </w:r>
          </w:p>
        </w:tc>
        <w:tc>
          <w:tcPr>
            <w:tcW w:w="242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Conformant</w:t>
            </w:r>
          </w:p>
        </w:tc>
      </w:tr>
      <w:tr>
        <w:trPr>
          <w:trHeight w:val="178"/>
        </w:trPr>
        <w:tc>
          <w:tcPr>
            <w:tcW w:w="66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Gold</w:t>
            </w:r>
          </w:p>
        </w:tc>
        <w:tc>
          <w:tcPr>
            <w:tcW w:w="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CID002560</w:t>
            </w:r>
          </w:p>
        </w:tc>
        <w:tc>
          <w:tcPr>
            <w:tcW w:w="4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Al Etihad Gold Refinery DMCC</w:t>
            </w:r>
          </w:p>
        </w:tc>
        <w:tc>
          <w:tcPr>
            <w:tcW w:w="15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United Arab Emirates</w:t>
            </w:r>
          </w:p>
        </w:tc>
        <w:tc>
          <w:tcPr>
            <w:tcW w:w="242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Non Conformant</w:t>
            </w:r>
          </w:p>
        </w:tc>
      </w:tr>
      <w:tr>
        <w:trPr>
          <w:trHeight w:val="178"/>
        </w:trPr>
        <w:tc>
          <w:tcPr>
            <w:tcW w:w="66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Gold</w:t>
            </w:r>
          </w:p>
        </w:tc>
        <w:tc>
          <w:tcPr>
            <w:tcW w:w="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CID002561</w:t>
            </w:r>
          </w:p>
        </w:tc>
        <w:tc>
          <w:tcPr>
            <w:tcW w:w="4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Emirates Gold DMCC</w:t>
            </w:r>
          </w:p>
        </w:tc>
        <w:tc>
          <w:tcPr>
            <w:tcW w:w="15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United Arab Emirates</w:t>
            </w:r>
          </w:p>
        </w:tc>
        <w:tc>
          <w:tcPr>
            <w:tcW w:w="242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Non Conformant</w:t>
            </w:r>
          </w:p>
        </w:tc>
      </w:tr>
      <w:tr>
        <w:trPr>
          <w:trHeight w:val="178"/>
        </w:trPr>
        <w:tc>
          <w:tcPr>
            <w:tcW w:w="66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Gold</w:t>
            </w:r>
          </w:p>
        </w:tc>
        <w:tc>
          <w:tcPr>
            <w:tcW w:w="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CID002562</w:t>
            </w:r>
          </w:p>
        </w:tc>
        <w:tc>
          <w:tcPr>
            <w:tcW w:w="4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International Precious Metal Refiners</w:t>
            </w:r>
          </w:p>
        </w:tc>
        <w:tc>
          <w:tcPr>
            <w:tcW w:w="15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United Arab Emirates</w:t>
            </w:r>
          </w:p>
        </w:tc>
        <w:tc>
          <w:tcPr>
            <w:tcW w:w="242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Outreach Required</w:t>
            </w:r>
          </w:p>
        </w:tc>
      </w:tr>
      <w:tr>
        <w:trPr>
          <w:trHeight w:val="178"/>
        </w:trPr>
        <w:tc>
          <w:tcPr>
            <w:tcW w:w="66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Tin</w:t>
            </w:r>
          </w:p>
        </w:tc>
        <w:tc>
          <w:tcPr>
            <w:tcW w:w="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CID002570</w:t>
            </w:r>
          </w:p>
        </w:tc>
        <w:tc>
          <w:tcPr>
            <w:tcW w:w="4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CV Ayi Jaya</w:t>
            </w:r>
          </w:p>
        </w:tc>
        <w:tc>
          <w:tcPr>
            <w:tcW w:w="15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Indonesia</w:t>
            </w:r>
          </w:p>
        </w:tc>
        <w:tc>
          <w:tcPr>
            <w:tcW w:w="242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Conformant</w:t>
            </w:r>
          </w:p>
        </w:tc>
      </w:tr>
      <w:tr>
        <w:trPr>
          <w:trHeight w:val="178"/>
        </w:trPr>
        <w:tc>
          <w:tcPr>
            <w:tcW w:w="66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Tin</w:t>
            </w:r>
          </w:p>
        </w:tc>
        <w:tc>
          <w:tcPr>
            <w:tcW w:w="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CID002572</w:t>
            </w:r>
          </w:p>
        </w:tc>
        <w:tc>
          <w:tcPr>
            <w:tcW w:w="4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Electro-Mechanical Facility of the Cao Bang Minerals &amp; Metallurgy Joint Stock Company</w:t>
            </w:r>
          </w:p>
        </w:tc>
        <w:tc>
          <w:tcPr>
            <w:tcW w:w="15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Viet Nam</w:t>
            </w:r>
          </w:p>
        </w:tc>
        <w:tc>
          <w:tcPr>
            <w:tcW w:w="242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Non Conformant</w:t>
            </w:r>
          </w:p>
        </w:tc>
      </w:tr>
      <w:tr>
        <w:trPr>
          <w:trHeight w:val="178"/>
        </w:trPr>
        <w:tc>
          <w:tcPr>
            <w:tcW w:w="66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Tin</w:t>
            </w:r>
          </w:p>
        </w:tc>
        <w:tc>
          <w:tcPr>
            <w:tcW w:w="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CID002573</w:t>
            </w:r>
          </w:p>
        </w:tc>
        <w:tc>
          <w:tcPr>
            <w:tcW w:w="4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Nghe Tinh Non-Ferrous Metals Joint Stock Company</w:t>
            </w:r>
          </w:p>
        </w:tc>
        <w:tc>
          <w:tcPr>
            <w:tcW w:w="15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Viet Nam</w:t>
            </w:r>
          </w:p>
        </w:tc>
        <w:tc>
          <w:tcPr>
            <w:tcW w:w="242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Outreach Required</w:t>
            </w:r>
          </w:p>
        </w:tc>
      </w:tr>
      <w:tr>
        <w:trPr>
          <w:trHeight w:val="178"/>
        </w:trPr>
        <w:tc>
          <w:tcPr>
            <w:tcW w:w="66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Gold</w:t>
            </w:r>
          </w:p>
        </w:tc>
        <w:tc>
          <w:tcPr>
            <w:tcW w:w="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CID002580</w:t>
            </w:r>
          </w:p>
        </w:tc>
        <w:tc>
          <w:tcPr>
            <w:tcW w:w="4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T.C.A S.p.A</w:t>
            </w:r>
          </w:p>
        </w:tc>
        <w:tc>
          <w:tcPr>
            <w:tcW w:w="15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Italy</w:t>
            </w:r>
          </w:p>
        </w:tc>
        <w:tc>
          <w:tcPr>
            <w:tcW w:w="242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Conformant</w:t>
            </w:r>
          </w:p>
        </w:tc>
      </w:tr>
      <w:tr>
        <w:trPr>
          <w:trHeight w:val="178"/>
        </w:trPr>
        <w:tc>
          <w:tcPr>
            <w:tcW w:w="66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Gold</w:t>
            </w:r>
          </w:p>
        </w:tc>
        <w:tc>
          <w:tcPr>
            <w:tcW w:w="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CID002582</w:t>
            </w:r>
          </w:p>
        </w:tc>
        <w:tc>
          <w:tcPr>
            <w:tcW w:w="4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REMONDIS PMR B.V.</w:t>
            </w:r>
          </w:p>
        </w:tc>
        <w:tc>
          <w:tcPr>
            <w:tcW w:w="15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Netherlands</w:t>
            </w:r>
          </w:p>
        </w:tc>
        <w:tc>
          <w:tcPr>
            <w:tcW w:w="242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Conformant</w:t>
            </w:r>
          </w:p>
        </w:tc>
      </w:tr>
      <w:tr>
        <w:trPr>
          <w:trHeight w:val="178"/>
        </w:trPr>
        <w:tc>
          <w:tcPr>
            <w:tcW w:w="66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Gold</w:t>
            </w:r>
          </w:p>
        </w:tc>
        <w:tc>
          <w:tcPr>
            <w:tcW w:w="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CID002584</w:t>
            </w:r>
          </w:p>
        </w:tc>
        <w:tc>
          <w:tcPr>
            <w:tcW w:w="4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Fujairah Gold FZC</w:t>
            </w:r>
          </w:p>
        </w:tc>
        <w:tc>
          <w:tcPr>
            <w:tcW w:w="15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United Arab Emirates</w:t>
            </w:r>
          </w:p>
        </w:tc>
        <w:tc>
          <w:tcPr>
            <w:tcW w:w="242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Outreach Required</w:t>
            </w:r>
          </w:p>
        </w:tc>
      </w:tr>
      <w:tr>
        <w:trPr>
          <w:trHeight w:val="178"/>
        </w:trPr>
        <w:tc>
          <w:tcPr>
            <w:tcW w:w="66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Gold</w:t>
            </w:r>
          </w:p>
        </w:tc>
        <w:tc>
          <w:tcPr>
            <w:tcW w:w="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CID002588</w:t>
            </w:r>
          </w:p>
        </w:tc>
        <w:tc>
          <w:tcPr>
            <w:tcW w:w="4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Shirpur Gold Refinery Ltd.</w:t>
            </w:r>
          </w:p>
        </w:tc>
        <w:tc>
          <w:tcPr>
            <w:tcW w:w="15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India</w:t>
            </w:r>
          </w:p>
        </w:tc>
        <w:tc>
          <w:tcPr>
            <w:tcW w:w="242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Outreach Required</w:t>
            </w:r>
          </w:p>
        </w:tc>
      </w:tr>
      <w:tr>
        <w:trPr>
          <w:trHeight w:val="178"/>
        </w:trPr>
        <w:tc>
          <w:tcPr>
            <w:tcW w:w="66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Tungsten</w:t>
            </w:r>
          </w:p>
        </w:tc>
        <w:tc>
          <w:tcPr>
            <w:tcW w:w="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CID002589</w:t>
            </w:r>
          </w:p>
        </w:tc>
        <w:tc>
          <w:tcPr>
            <w:tcW w:w="4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Niagara Refining LLC</w:t>
            </w:r>
          </w:p>
        </w:tc>
        <w:tc>
          <w:tcPr>
            <w:tcW w:w="15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United States Of America</w:t>
            </w:r>
          </w:p>
        </w:tc>
        <w:tc>
          <w:tcPr>
            <w:tcW w:w="242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Conformant</w:t>
            </w:r>
          </w:p>
        </w:tc>
      </w:tr>
      <w:tr>
        <w:trPr>
          <w:trHeight w:val="178"/>
        </w:trPr>
        <w:tc>
          <w:tcPr>
            <w:tcW w:w="66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Tin</w:t>
            </w:r>
          </w:p>
        </w:tc>
        <w:tc>
          <w:tcPr>
            <w:tcW w:w="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CID002593</w:t>
            </w:r>
          </w:p>
        </w:tc>
        <w:tc>
          <w:tcPr>
            <w:tcW w:w="4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PT Rajehan Ariq</w:t>
            </w:r>
          </w:p>
        </w:tc>
        <w:tc>
          <w:tcPr>
            <w:tcW w:w="15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Indonesia</w:t>
            </w:r>
          </w:p>
        </w:tc>
        <w:tc>
          <w:tcPr>
            <w:tcW w:w="242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Conformant</w:t>
            </w:r>
          </w:p>
        </w:tc>
      </w:tr>
      <w:tr>
        <w:trPr>
          <w:trHeight w:val="178"/>
        </w:trPr>
        <w:tc>
          <w:tcPr>
            <w:tcW w:w="66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Gold</w:t>
            </w:r>
          </w:p>
        </w:tc>
        <w:tc>
          <w:tcPr>
            <w:tcW w:w="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CID002605</w:t>
            </w:r>
          </w:p>
        </w:tc>
        <w:tc>
          <w:tcPr>
            <w:tcW w:w="4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Korea Zinc Co., Ltd.</w:t>
            </w:r>
          </w:p>
        </w:tc>
        <w:tc>
          <w:tcPr>
            <w:tcW w:w="15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Korea, Republic Of</w:t>
            </w:r>
          </w:p>
        </w:tc>
        <w:tc>
          <w:tcPr>
            <w:tcW w:w="242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Conformant</w:t>
            </w:r>
          </w:p>
        </w:tc>
      </w:tr>
      <w:tr>
        <w:trPr>
          <w:trHeight w:val="178"/>
        </w:trPr>
        <w:tc>
          <w:tcPr>
            <w:tcW w:w="66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Gold</w:t>
            </w:r>
          </w:p>
        </w:tc>
        <w:tc>
          <w:tcPr>
            <w:tcW w:w="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CID002606</w:t>
            </w:r>
          </w:p>
        </w:tc>
        <w:tc>
          <w:tcPr>
            <w:tcW w:w="4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Marsam Metals</w:t>
            </w:r>
          </w:p>
        </w:tc>
        <w:tc>
          <w:tcPr>
            <w:tcW w:w="15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Brazil</w:t>
            </w:r>
          </w:p>
        </w:tc>
        <w:tc>
          <w:tcPr>
            <w:tcW w:w="242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Non Conformant</w:t>
            </w:r>
          </w:p>
        </w:tc>
      </w:tr>
      <w:tr>
        <w:trPr>
          <w:trHeight w:val="178"/>
        </w:trPr>
        <w:tc>
          <w:tcPr>
            <w:tcW w:w="66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Gold</w:t>
            </w:r>
          </w:p>
        </w:tc>
        <w:tc>
          <w:tcPr>
            <w:tcW w:w="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CID002615</w:t>
            </w:r>
          </w:p>
        </w:tc>
        <w:tc>
          <w:tcPr>
            <w:tcW w:w="4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TOO Tau-Ken-Altyn</w:t>
            </w:r>
          </w:p>
        </w:tc>
        <w:tc>
          <w:tcPr>
            <w:tcW w:w="15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Kazakhstan</w:t>
            </w:r>
          </w:p>
        </w:tc>
        <w:tc>
          <w:tcPr>
            <w:tcW w:w="242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Conformant</w:t>
            </w:r>
          </w:p>
        </w:tc>
      </w:tr>
      <w:tr>
        <w:trPr>
          <w:trHeight w:val="178"/>
        </w:trPr>
        <w:tc>
          <w:tcPr>
            <w:tcW w:w="66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Tungsten</w:t>
            </w:r>
          </w:p>
        </w:tc>
        <w:tc>
          <w:tcPr>
            <w:tcW w:w="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CID002641</w:t>
            </w:r>
          </w:p>
        </w:tc>
        <w:tc>
          <w:tcPr>
            <w:tcW w:w="4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China Molybdenum Tungsten Co., Ltd.</w:t>
            </w:r>
          </w:p>
        </w:tc>
        <w:tc>
          <w:tcPr>
            <w:tcW w:w="15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China</w:t>
            </w:r>
          </w:p>
        </w:tc>
        <w:tc>
          <w:tcPr>
            <w:tcW w:w="242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Conformant</w:t>
            </w:r>
          </w:p>
        </w:tc>
      </w:tr>
      <w:tr>
        <w:trPr>
          <w:trHeight w:val="178"/>
        </w:trPr>
        <w:tc>
          <w:tcPr>
            <w:tcW w:w="66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Tungsten</w:t>
            </w:r>
          </w:p>
        </w:tc>
        <w:tc>
          <w:tcPr>
            <w:tcW w:w="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CID002649</w:t>
            </w:r>
          </w:p>
        </w:tc>
        <w:tc>
          <w:tcPr>
            <w:tcW w:w="4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Hydrometallurg, JSC</w:t>
            </w:r>
          </w:p>
        </w:tc>
        <w:tc>
          <w:tcPr>
            <w:tcW w:w="15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Russian Federation</w:t>
            </w:r>
          </w:p>
        </w:tc>
        <w:tc>
          <w:tcPr>
            <w:tcW w:w="242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w w:val="99"/>
              </w:rPr>
              <w:t>RMI Due Diligence Review - Unable to Proc</w:t>
            </w:r>
          </w:p>
        </w:tc>
      </w:tr>
      <w:tr>
        <w:trPr>
          <w:trHeight w:val="178"/>
        </w:trPr>
        <w:tc>
          <w:tcPr>
            <w:tcW w:w="66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Tin</w:t>
            </w:r>
          </w:p>
        </w:tc>
        <w:tc>
          <w:tcPr>
            <w:tcW w:w="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CID002696</w:t>
            </w:r>
          </w:p>
        </w:tc>
        <w:tc>
          <w:tcPr>
            <w:tcW w:w="4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PT Cipta Persada Mulia</w:t>
            </w:r>
          </w:p>
        </w:tc>
        <w:tc>
          <w:tcPr>
            <w:tcW w:w="15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Indonesia</w:t>
            </w:r>
          </w:p>
        </w:tc>
        <w:tc>
          <w:tcPr>
            <w:tcW w:w="242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Conformant</w:t>
            </w:r>
          </w:p>
        </w:tc>
      </w:tr>
      <w:tr>
        <w:trPr>
          <w:trHeight w:val="178"/>
        </w:trPr>
        <w:tc>
          <w:tcPr>
            <w:tcW w:w="66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Tin</w:t>
            </w:r>
          </w:p>
        </w:tc>
        <w:tc>
          <w:tcPr>
            <w:tcW w:w="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CID002703</w:t>
            </w:r>
          </w:p>
        </w:tc>
        <w:tc>
          <w:tcPr>
            <w:tcW w:w="4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An Vinh Joint Stock Mineral Processing Company</w:t>
            </w:r>
          </w:p>
        </w:tc>
        <w:tc>
          <w:tcPr>
            <w:tcW w:w="15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Viet Nam</w:t>
            </w:r>
          </w:p>
        </w:tc>
        <w:tc>
          <w:tcPr>
            <w:tcW w:w="242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Outreach Required</w:t>
            </w:r>
          </w:p>
        </w:tc>
      </w:tr>
      <w:tr>
        <w:trPr>
          <w:trHeight w:val="178"/>
        </w:trPr>
        <w:tc>
          <w:tcPr>
            <w:tcW w:w="66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Tin</w:t>
            </w:r>
          </w:p>
        </w:tc>
        <w:tc>
          <w:tcPr>
            <w:tcW w:w="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CID002706</w:t>
            </w:r>
          </w:p>
        </w:tc>
        <w:tc>
          <w:tcPr>
            <w:tcW w:w="4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Resind Industria e Comercio Ltda.</w:t>
            </w:r>
          </w:p>
        </w:tc>
        <w:tc>
          <w:tcPr>
            <w:tcW w:w="15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Brazil</w:t>
            </w:r>
          </w:p>
        </w:tc>
        <w:tc>
          <w:tcPr>
            <w:tcW w:w="242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Conformant</w:t>
            </w:r>
          </w:p>
        </w:tc>
      </w:tr>
      <w:tr>
        <w:trPr>
          <w:trHeight w:val="178"/>
        </w:trPr>
        <w:tc>
          <w:tcPr>
            <w:tcW w:w="66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Tantalum</w:t>
            </w:r>
          </w:p>
        </w:tc>
        <w:tc>
          <w:tcPr>
            <w:tcW w:w="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CID002707</w:t>
            </w:r>
          </w:p>
        </w:tc>
        <w:tc>
          <w:tcPr>
            <w:tcW w:w="4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Resind Industria e Comercio Ltda.</w:t>
            </w:r>
          </w:p>
        </w:tc>
        <w:tc>
          <w:tcPr>
            <w:tcW w:w="15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Brazil</w:t>
            </w:r>
          </w:p>
        </w:tc>
        <w:tc>
          <w:tcPr>
            <w:tcW w:w="242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Conformant</w:t>
            </w:r>
          </w:p>
        </w:tc>
      </w:tr>
      <w:tr>
        <w:trPr>
          <w:trHeight w:val="178"/>
        </w:trPr>
        <w:tc>
          <w:tcPr>
            <w:tcW w:w="66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Gold</w:t>
            </w:r>
          </w:p>
        </w:tc>
        <w:tc>
          <w:tcPr>
            <w:tcW w:w="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CID002708</w:t>
            </w:r>
          </w:p>
        </w:tc>
        <w:tc>
          <w:tcPr>
            <w:tcW w:w="4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Abington Reldan Metals, LLC</w:t>
            </w:r>
          </w:p>
        </w:tc>
        <w:tc>
          <w:tcPr>
            <w:tcW w:w="15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United States Of America</w:t>
            </w:r>
          </w:p>
        </w:tc>
        <w:tc>
          <w:tcPr>
            <w:tcW w:w="242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Conformant</w:t>
            </w:r>
          </w:p>
        </w:tc>
      </w:tr>
      <w:tr>
        <w:trPr>
          <w:trHeight w:val="178"/>
        </w:trPr>
        <w:tc>
          <w:tcPr>
            <w:tcW w:w="66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Tungsten</w:t>
            </w:r>
          </w:p>
        </w:tc>
        <w:tc>
          <w:tcPr>
            <w:tcW w:w="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CID002724</w:t>
            </w:r>
          </w:p>
        </w:tc>
        <w:tc>
          <w:tcPr>
            <w:tcW w:w="4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Unecha Refractory metals plant</w:t>
            </w:r>
          </w:p>
        </w:tc>
        <w:tc>
          <w:tcPr>
            <w:tcW w:w="15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Russian Federation</w:t>
            </w:r>
          </w:p>
        </w:tc>
        <w:tc>
          <w:tcPr>
            <w:tcW w:w="242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Non Conformant</w:t>
            </w:r>
          </w:p>
        </w:tc>
      </w:tr>
      <w:tr>
        <w:trPr>
          <w:trHeight w:val="178"/>
        </w:trPr>
        <w:tc>
          <w:tcPr>
            <w:tcW w:w="66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Gold</w:t>
            </w:r>
          </w:p>
        </w:tc>
        <w:tc>
          <w:tcPr>
            <w:tcW w:w="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CID002750</w:t>
            </w:r>
          </w:p>
        </w:tc>
        <w:tc>
          <w:tcPr>
            <w:tcW w:w="4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Shenzhen CuiLu Gold Co., Ltd.</w:t>
            </w:r>
          </w:p>
        </w:tc>
        <w:tc>
          <w:tcPr>
            <w:tcW w:w="15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China</w:t>
            </w:r>
          </w:p>
        </w:tc>
        <w:tc>
          <w:tcPr>
            <w:tcW w:w="242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Outreach Required</w:t>
            </w:r>
          </w:p>
        </w:tc>
      </w:tr>
      <w:tr>
        <w:trPr>
          <w:trHeight w:val="178"/>
        </w:trPr>
        <w:tc>
          <w:tcPr>
            <w:tcW w:w="66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Tin</w:t>
            </w:r>
          </w:p>
        </w:tc>
        <w:tc>
          <w:tcPr>
            <w:tcW w:w="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CID002756</w:t>
            </w:r>
          </w:p>
        </w:tc>
        <w:tc>
          <w:tcPr>
            <w:tcW w:w="4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Super Ligas</w:t>
            </w:r>
          </w:p>
        </w:tc>
        <w:tc>
          <w:tcPr>
            <w:tcW w:w="15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Brazil</w:t>
            </w:r>
          </w:p>
        </w:tc>
        <w:tc>
          <w:tcPr>
            <w:tcW w:w="242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Conformant</w:t>
            </w:r>
          </w:p>
        </w:tc>
      </w:tr>
      <w:tr>
        <w:trPr>
          <w:trHeight w:val="178"/>
        </w:trPr>
        <w:tc>
          <w:tcPr>
            <w:tcW w:w="66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Gold</w:t>
            </w:r>
          </w:p>
        </w:tc>
        <w:tc>
          <w:tcPr>
            <w:tcW w:w="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CID002760</w:t>
            </w:r>
          </w:p>
        </w:tc>
        <w:tc>
          <w:tcPr>
            <w:tcW w:w="4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Albino Mountinho Lda.</w:t>
            </w:r>
          </w:p>
        </w:tc>
        <w:tc>
          <w:tcPr>
            <w:tcW w:w="15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Portugal</w:t>
            </w:r>
          </w:p>
        </w:tc>
        <w:tc>
          <w:tcPr>
            <w:tcW w:w="242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Outreach Required</w:t>
            </w:r>
          </w:p>
        </w:tc>
      </w:tr>
      <w:tr>
        <w:trPr>
          <w:trHeight w:val="178"/>
        </w:trPr>
        <w:tc>
          <w:tcPr>
            <w:tcW w:w="66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Gold</w:t>
            </w:r>
          </w:p>
        </w:tc>
        <w:tc>
          <w:tcPr>
            <w:tcW w:w="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CID002761</w:t>
            </w:r>
          </w:p>
        </w:tc>
        <w:tc>
          <w:tcPr>
            <w:tcW w:w="4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SAAMP</w:t>
            </w:r>
          </w:p>
        </w:tc>
        <w:tc>
          <w:tcPr>
            <w:tcW w:w="15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France</w:t>
            </w:r>
          </w:p>
        </w:tc>
        <w:tc>
          <w:tcPr>
            <w:tcW w:w="242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Non Conformant</w:t>
            </w:r>
          </w:p>
        </w:tc>
      </w:tr>
      <w:tr>
        <w:trPr>
          <w:trHeight w:val="178"/>
        </w:trPr>
        <w:tc>
          <w:tcPr>
            <w:tcW w:w="66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Gold</w:t>
            </w:r>
          </w:p>
        </w:tc>
        <w:tc>
          <w:tcPr>
            <w:tcW w:w="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CID002762</w:t>
            </w:r>
          </w:p>
        </w:tc>
        <w:tc>
          <w:tcPr>
            <w:tcW w:w="4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L'Orfebre S.A.</w:t>
            </w:r>
          </w:p>
        </w:tc>
        <w:tc>
          <w:tcPr>
            <w:tcW w:w="15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Andorra</w:t>
            </w:r>
          </w:p>
        </w:tc>
        <w:tc>
          <w:tcPr>
            <w:tcW w:w="242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Non Conformant</w:t>
            </w:r>
          </w:p>
        </w:tc>
      </w:tr>
      <w:tr>
        <w:trPr>
          <w:trHeight w:val="178"/>
        </w:trPr>
        <w:tc>
          <w:tcPr>
            <w:tcW w:w="66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Gold</w:t>
            </w:r>
          </w:p>
        </w:tc>
        <w:tc>
          <w:tcPr>
            <w:tcW w:w="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CID002763</w:t>
            </w:r>
          </w:p>
        </w:tc>
        <w:tc>
          <w:tcPr>
            <w:tcW w:w="4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8853 S.p.A.</w:t>
            </w:r>
          </w:p>
        </w:tc>
        <w:tc>
          <w:tcPr>
            <w:tcW w:w="15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Italy</w:t>
            </w:r>
          </w:p>
        </w:tc>
        <w:tc>
          <w:tcPr>
            <w:tcW w:w="242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Non Conformant</w:t>
            </w:r>
          </w:p>
        </w:tc>
      </w:tr>
      <w:tr>
        <w:trPr>
          <w:trHeight w:val="396"/>
        </w:trPr>
        <w:tc>
          <w:tcPr>
            <w:tcW w:w="12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494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240" w:type="dxa"/>
            <w:vAlign w:val="bottom"/>
          </w:tcPr>
          <w:p>
            <w:pPr>
              <w:spacing w:after="0"/>
              <w:rPr>
                <w:sz w:val="24"/>
                <w:szCs w:val="24"/>
                <w:color w:val="auto"/>
              </w:rPr>
            </w:pPr>
          </w:p>
        </w:tc>
      </w:tr>
    </w:tbl>
    <w:p>
      <w:pPr>
        <w:sectPr>
          <w:pgSz w:w="11900" w:h="16838" w:orient="portrait"/>
          <w:cols w:equalWidth="0" w:num="1">
            <w:col w:w="10320"/>
          </w:cols>
          <w:pgMar w:left="1340" w:top="753" w:right="239" w:bottom="1440" w:gutter="0" w:footer="0" w:header="0"/>
        </w:sectPr>
      </w:pPr>
    </w:p>
    <w:bookmarkStart w:id="19" w:name="page20"/>
    <w:bookmarkEnd w:id="19"/>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98"/>
        </w:trPr>
        <w:tc>
          <w:tcPr>
            <w:tcW w:w="660" w:type="dxa"/>
            <w:vAlign w:val="bottom"/>
            <w:tcBorders>
              <w:top w:val="single" w:sz="8" w:color="auto"/>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Gold</w:t>
            </w:r>
          </w:p>
        </w:tc>
        <w:tc>
          <w:tcPr>
            <w:tcW w:w="78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CID002765</w:t>
            </w:r>
          </w:p>
        </w:tc>
        <w:tc>
          <w:tcPr>
            <w:tcW w:w="382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Italpreziosi</w:t>
            </w:r>
          </w:p>
        </w:tc>
        <w:tc>
          <w:tcPr>
            <w:tcW w:w="152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Italy</w:t>
            </w:r>
          </w:p>
        </w:tc>
        <w:tc>
          <w:tcPr>
            <w:tcW w:w="2720" w:type="dxa"/>
            <w:vAlign w:val="bottom"/>
            <w:tcBorders>
              <w:top w:val="single" w:sz="8" w:color="auto"/>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Conformant</w:t>
            </w:r>
          </w:p>
        </w:tc>
      </w:tr>
      <w:tr>
        <w:trPr>
          <w:trHeight w:val="178"/>
        </w:trPr>
        <w:tc>
          <w:tcPr>
            <w:tcW w:w="66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Tin</w:t>
            </w:r>
          </w:p>
        </w:tc>
        <w:tc>
          <w:tcPr>
            <w:tcW w:w="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CID002773</w:t>
            </w:r>
          </w:p>
        </w:tc>
        <w:tc>
          <w:tcPr>
            <w:tcW w:w="38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Aurubis Beerse</w:t>
            </w:r>
          </w:p>
        </w:tc>
        <w:tc>
          <w:tcPr>
            <w:tcW w:w="15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Belgium</w:t>
            </w:r>
          </w:p>
        </w:tc>
        <w:tc>
          <w:tcPr>
            <w:tcW w:w="272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Conformant</w:t>
            </w:r>
          </w:p>
        </w:tc>
      </w:tr>
      <w:tr>
        <w:trPr>
          <w:trHeight w:val="178"/>
        </w:trPr>
        <w:tc>
          <w:tcPr>
            <w:tcW w:w="66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Tin</w:t>
            </w:r>
          </w:p>
        </w:tc>
        <w:tc>
          <w:tcPr>
            <w:tcW w:w="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CID002774</w:t>
            </w:r>
          </w:p>
        </w:tc>
        <w:tc>
          <w:tcPr>
            <w:tcW w:w="38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Aurubis Berango</w:t>
            </w:r>
          </w:p>
        </w:tc>
        <w:tc>
          <w:tcPr>
            <w:tcW w:w="15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Spain</w:t>
            </w:r>
          </w:p>
        </w:tc>
        <w:tc>
          <w:tcPr>
            <w:tcW w:w="272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Conformant</w:t>
            </w:r>
          </w:p>
        </w:tc>
      </w:tr>
      <w:tr>
        <w:trPr>
          <w:trHeight w:val="178"/>
        </w:trPr>
        <w:tc>
          <w:tcPr>
            <w:tcW w:w="66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Tin</w:t>
            </w:r>
          </w:p>
        </w:tc>
        <w:tc>
          <w:tcPr>
            <w:tcW w:w="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CID002776</w:t>
            </w:r>
          </w:p>
        </w:tc>
        <w:tc>
          <w:tcPr>
            <w:tcW w:w="38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PT Bangka Prima Tin</w:t>
            </w:r>
          </w:p>
        </w:tc>
        <w:tc>
          <w:tcPr>
            <w:tcW w:w="15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Indonesia</w:t>
            </w:r>
          </w:p>
        </w:tc>
        <w:tc>
          <w:tcPr>
            <w:tcW w:w="272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Conformant</w:t>
            </w:r>
          </w:p>
        </w:tc>
      </w:tr>
      <w:tr>
        <w:trPr>
          <w:trHeight w:val="178"/>
        </w:trPr>
        <w:tc>
          <w:tcPr>
            <w:tcW w:w="66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Gold</w:t>
            </w:r>
          </w:p>
        </w:tc>
        <w:tc>
          <w:tcPr>
            <w:tcW w:w="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CID002778</w:t>
            </w:r>
          </w:p>
        </w:tc>
        <w:tc>
          <w:tcPr>
            <w:tcW w:w="38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WIELAND Edelmetalle GmbH</w:t>
            </w:r>
          </w:p>
        </w:tc>
        <w:tc>
          <w:tcPr>
            <w:tcW w:w="15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Germany</w:t>
            </w:r>
          </w:p>
        </w:tc>
        <w:tc>
          <w:tcPr>
            <w:tcW w:w="272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Conformant</w:t>
            </w:r>
          </w:p>
        </w:tc>
      </w:tr>
      <w:tr>
        <w:trPr>
          <w:trHeight w:val="178"/>
        </w:trPr>
        <w:tc>
          <w:tcPr>
            <w:tcW w:w="66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Gold</w:t>
            </w:r>
          </w:p>
        </w:tc>
        <w:tc>
          <w:tcPr>
            <w:tcW w:w="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CID002779</w:t>
            </w:r>
          </w:p>
        </w:tc>
        <w:tc>
          <w:tcPr>
            <w:tcW w:w="38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Ogussa Osterreichische Gold- und Silber-Scheideanstalt GmbH</w:t>
            </w:r>
          </w:p>
        </w:tc>
        <w:tc>
          <w:tcPr>
            <w:tcW w:w="15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Austria</w:t>
            </w:r>
          </w:p>
        </w:tc>
        <w:tc>
          <w:tcPr>
            <w:tcW w:w="272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Conformant</w:t>
            </w:r>
          </w:p>
        </w:tc>
      </w:tr>
      <w:tr>
        <w:trPr>
          <w:trHeight w:val="178"/>
        </w:trPr>
        <w:tc>
          <w:tcPr>
            <w:tcW w:w="66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Tantalum</w:t>
            </w:r>
          </w:p>
        </w:tc>
        <w:tc>
          <w:tcPr>
            <w:tcW w:w="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CID002842</w:t>
            </w:r>
          </w:p>
        </w:tc>
        <w:tc>
          <w:tcPr>
            <w:tcW w:w="38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Jiangxi Tuohong New Raw Material</w:t>
            </w:r>
          </w:p>
        </w:tc>
        <w:tc>
          <w:tcPr>
            <w:tcW w:w="15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China</w:t>
            </w:r>
          </w:p>
        </w:tc>
        <w:tc>
          <w:tcPr>
            <w:tcW w:w="272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Conformant</w:t>
            </w:r>
          </w:p>
        </w:tc>
      </w:tr>
      <w:tr>
        <w:trPr>
          <w:trHeight w:val="178"/>
        </w:trPr>
        <w:tc>
          <w:tcPr>
            <w:tcW w:w="66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Tungsten</w:t>
            </w:r>
          </w:p>
        </w:tc>
        <w:tc>
          <w:tcPr>
            <w:tcW w:w="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CID002845</w:t>
            </w:r>
          </w:p>
        </w:tc>
        <w:tc>
          <w:tcPr>
            <w:tcW w:w="38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Moliren Ltd.</w:t>
            </w:r>
          </w:p>
        </w:tc>
        <w:tc>
          <w:tcPr>
            <w:tcW w:w="15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Russian Federation</w:t>
            </w:r>
          </w:p>
        </w:tc>
        <w:tc>
          <w:tcPr>
            <w:tcW w:w="272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RMI Due Diligence Review - Unable to Proceed</w:t>
            </w:r>
          </w:p>
        </w:tc>
      </w:tr>
      <w:tr>
        <w:trPr>
          <w:trHeight w:val="178"/>
        </w:trPr>
        <w:tc>
          <w:tcPr>
            <w:tcW w:w="66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Gold</w:t>
            </w:r>
          </w:p>
        </w:tc>
        <w:tc>
          <w:tcPr>
            <w:tcW w:w="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CID002850</w:t>
            </w:r>
          </w:p>
        </w:tc>
        <w:tc>
          <w:tcPr>
            <w:tcW w:w="38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AU Traders and Refiners</w:t>
            </w:r>
          </w:p>
        </w:tc>
        <w:tc>
          <w:tcPr>
            <w:tcW w:w="15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South Africa</w:t>
            </w:r>
          </w:p>
        </w:tc>
        <w:tc>
          <w:tcPr>
            <w:tcW w:w="272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Non Conformant</w:t>
            </w:r>
          </w:p>
        </w:tc>
      </w:tr>
      <w:tr>
        <w:trPr>
          <w:trHeight w:val="178"/>
        </w:trPr>
        <w:tc>
          <w:tcPr>
            <w:tcW w:w="66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Gold</w:t>
            </w:r>
          </w:p>
        </w:tc>
        <w:tc>
          <w:tcPr>
            <w:tcW w:w="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CID002852</w:t>
            </w:r>
          </w:p>
        </w:tc>
        <w:tc>
          <w:tcPr>
            <w:tcW w:w="38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GGC Gujrat Gold Centre Pvt. Ltd.</w:t>
            </w:r>
          </w:p>
        </w:tc>
        <w:tc>
          <w:tcPr>
            <w:tcW w:w="15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India</w:t>
            </w:r>
          </w:p>
        </w:tc>
        <w:tc>
          <w:tcPr>
            <w:tcW w:w="272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Non Conformant</w:t>
            </w:r>
          </w:p>
        </w:tc>
      </w:tr>
      <w:tr>
        <w:trPr>
          <w:trHeight w:val="178"/>
        </w:trPr>
        <w:tc>
          <w:tcPr>
            <w:tcW w:w="66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Gold</w:t>
            </w:r>
          </w:p>
        </w:tc>
        <w:tc>
          <w:tcPr>
            <w:tcW w:w="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CID002857</w:t>
            </w:r>
          </w:p>
        </w:tc>
        <w:tc>
          <w:tcPr>
            <w:tcW w:w="38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Modeltech Sdn Bhd</w:t>
            </w:r>
          </w:p>
        </w:tc>
        <w:tc>
          <w:tcPr>
            <w:tcW w:w="15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Malaysia</w:t>
            </w:r>
          </w:p>
        </w:tc>
        <w:tc>
          <w:tcPr>
            <w:tcW w:w="272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Non Conformant</w:t>
            </w:r>
          </w:p>
        </w:tc>
      </w:tr>
      <w:tr>
        <w:trPr>
          <w:trHeight w:val="178"/>
        </w:trPr>
        <w:tc>
          <w:tcPr>
            <w:tcW w:w="66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Tin</w:t>
            </w:r>
          </w:p>
        </w:tc>
        <w:tc>
          <w:tcPr>
            <w:tcW w:w="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CID002858</w:t>
            </w:r>
          </w:p>
        </w:tc>
        <w:tc>
          <w:tcPr>
            <w:tcW w:w="38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Modeltech Sdn Bhd</w:t>
            </w:r>
          </w:p>
        </w:tc>
        <w:tc>
          <w:tcPr>
            <w:tcW w:w="15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Malaysia</w:t>
            </w:r>
          </w:p>
        </w:tc>
        <w:tc>
          <w:tcPr>
            <w:tcW w:w="272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Non Conformant</w:t>
            </w:r>
          </w:p>
        </w:tc>
      </w:tr>
      <w:tr>
        <w:trPr>
          <w:trHeight w:val="178"/>
        </w:trPr>
        <w:tc>
          <w:tcPr>
            <w:tcW w:w="66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Gold</w:t>
            </w:r>
          </w:p>
        </w:tc>
        <w:tc>
          <w:tcPr>
            <w:tcW w:w="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CID002863</w:t>
            </w:r>
          </w:p>
        </w:tc>
        <w:tc>
          <w:tcPr>
            <w:tcW w:w="38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Bangalore Refinery</w:t>
            </w:r>
          </w:p>
        </w:tc>
        <w:tc>
          <w:tcPr>
            <w:tcW w:w="15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India</w:t>
            </w:r>
          </w:p>
        </w:tc>
        <w:tc>
          <w:tcPr>
            <w:tcW w:w="272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Conformant</w:t>
            </w:r>
          </w:p>
        </w:tc>
      </w:tr>
      <w:tr>
        <w:trPr>
          <w:trHeight w:val="178"/>
        </w:trPr>
        <w:tc>
          <w:tcPr>
            <w:tcW w:w="66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Gold</w:t>
            </w:r>
          </w:p>
        </w:tc>
        <w:tc>
          <w:tcPr>
            <w:tcW w:w="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CID002865</w:t>
            </w:r>
          </w:p>
        </w:tc>
        <w:tc>
          <w:tcPr>
            <w:tcW w:w="38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Kyshtym Copper-Electrolytic Plant ZAO</w:t>
            </w:r>
          </w:p>
        </w:tc>
        <w:tc>
          <w:tcPr>
            <w:tcW w:w="15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Russian Federation</w:t>
            </w:r>
          </w:p>
        </w:tc>
        <w:tc>
          <w:tcPr>
            <w:tcW w:w="272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RMI Due Diligence Review - Unable to Proceed</w:t>
            </w:r>
          </w:p>
        </w:tc>
      </w:tr>
      <w:tr>
        <w:trPr>
          <w:trHeight w:val="178"/>
        </w:trPr>
        <w:tc>
          <w:tcPr>
            <w:tcW w:w="66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Gold</w:t>
            </w:r>
          </w:p>
        </w:tc>
        <w:tc>
          <w:tcPr>
            <w:tcW w:w="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CID002867</w:t>
            </w:r>
          </w:p>
        </w:tc>
        <w:tc>
          <w:tcPr>
            <w:tcW w:w="38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Degussa Sonne / Mond Goldhandel GmbH</w:t>
            </w:r>
          </w:p>
        </w:tc>
        <w:tc>
          <w:tcPr>
            <w:tcW w:w="15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Germany</w:t>
            </w:r>
          </w:p>
        </w:tc>
        <w:tc>
          <w:tcPr>
            <w:tcW w:w="272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Outreach Required</w:t>
            </w:r>
          </w:p>
        </w:tc>
      </w:tr>
      <w:tr>
        <w:trPr>
          <w:trHeight w:val="178"/>
        </w:trPr>
        <w:tc>
          <w:tcPr>
            <w:tcW w:w="66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Gold</w:t>
            </w:r>
          </w:p>
        </w:tc>
        <w:tc>
          <w:tcPr>
            <w:tcW w:w="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CID002872</w:t>
            </w:r>
          </w:p>
        </w:tc>
        <w:tc>
          <w:tcPr>
            <w:tcW w:w="38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Pease &amp; Curren</w:t>
            </w:r>
          </w:p>
        </w:tc>
        <w:tc>
          <w:tcPr>
            <w:tcW w:w="15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United States Of America</w:t>
            </w:r>
          </w:p>
        </w:tc>
        <w:tc>
          <w:tcPr>
            <w:tcW w:w="272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Communication Suspended - Not Interested</w:t>
            </w:r>
          </w:p>
        </w:tc>
      </w:tr>
      <w:tr>
        <w:trPr>
          <w:trHeight w:val="178"/>
        </w:trPr>
        <w:tc>
          <w:tcPr>
            <w:tcW w:w="66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Gold</w:t>
            </w:r>
          </w:p>
        </w:tc>
        <w:tc>
          <w:tcPr>
            <w:tcW w:w="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CID002893</w:t>
            </w:r>
          </w:p>
        </w:tc>
        <w:tc>
          <w:tcPr>
            <w:tcW w:w="38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JALAN &amp; Company</w:t>
            </w:r>
          </w:p>
        </w:tc>
        <w:tc>
          <w:tcPr>
            <w:tcW w:w="15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India</w:t>
            </w:r>
          </w:p>
        </w:tc>
        <w:tc>
          <w:tcPr>
            <w:tcW w:w="272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Outreach Required</w:t>
            </w:r>
          </w:p>
        </w:tc>
      </w:tr>
      <w:tr>
        <w:trPr>
          <w:trHeight w:val="178"/>
        </w:trPr>
        <w:tc>
          <w:tcPr>
            <w:tcW w:w="66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Gold</w:t>
            </w:r>
          </w:p>
        </w:tc>
        <w:tc>
          <w:tcPr>
            <w:tcW w:w="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CID002918</w:t>
            </w:r>
          </w:p>
        </w:tc>
        <w:tc>
          <w:tcPr>
            <w:tcW w:w="38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SungEel HiMetal Co., Ltd.</w:t>
            </w:r>
          </w:p>
        </w:tc>
        <w:tc>
          <w:tcPr>
            <w:tcW w:w="15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Korea, Republic Of</w:t>
            </w:r>
          </w:p>
        </w:tc>
        <w:tc>
          <w:tcPr>
            <w:tcW w:w="272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Conformant</w:t>
            </w:r>
          </w:p>
        </w:tc>
      </w:tr>
      <w:tr>
        <w:trPr>
          <w:trHeight w:val="178"/>
        </w:trPr>
        <w:tc>
          <w:tcPr>
            <w:tcW w:w="66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Gold</w:t>
            </w:r>
          </w:p>
        </w:tc>
        <w:tc>
          <w:tcPr>
            <w:tcW w:w="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CID002919</w:t>
            </w:r>
          </w:p>
        </w:tc>
        <w:tc>
          <w:tcPr>
            <w:tcW w:w="38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Planta Recuperadora de Metales SpA</w:t>
            </w:r>
          </w:p>
        </w:tc>
        <w:tc>
          <w:tcPr>
            <w:tcW w:w="15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Chile</w:t>
            </w:r>
          </w:p>
        </w:tc>
        <w:tc>
          <w:tcPr>
            <w:tcW w:w="272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Conformant</w:t>
            </w:r>
          </w:p>
        </w:tc>
      </w:tr>
      <w:tr>
        <w:trPr>
          <w:trHeight w:val="178"/>
        </w:trPr>
        <w:tc>
          <w:tcPr>
            <w:tcW w:w="66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Gold</w:t>
            </w:r>
          </w:p>
        </w:tc>
        <w:tc>
          <w:tcPr>
            <w:tcW w:w="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CID002920</w:t>
            </w:r>
          </w:p>
        </w:tc>
        <w:tc>
          <w:tcPr>
            <w:tcW w:w="38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ABC Refinery Pty Ltd.</w:t>
            </w:r>
          </w:p>
        </w:tc>
        <w:tc>
          <w:tcPr>
            <w:tcW w:w="15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Australia</w:t>
            </w:r>
          </w:p>
        </w:tc>
        <w:tc>
          <w:tcPr>
            <w:tcW w:w="272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Outreach Required</w:t>
            </w:r>
          </w:p>
        </w:tc>
      </w:tr>
      <w:tr>
        <w:trPr>
          <w:trHeight w:val="178"/>
        </w:trPr>
        <w:tc>
          <w:tcPr>
            <w:tcW w:w="66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Gold</w:t>
            </w:r>
          </w:p>
        </w:tc>
        <w:tc>
          <w:tcPr>
            <w:tcW w:w="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CID002973</w:t>
            </w:r>
          </w:p>
        </w:tc>
        <w:tc>
          <w:tcPr>
            <w:tcW w:w="38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Safimet S.p.A</w:t>
            </w:r>
          </w:p>
        </w:tc>
        <w:tc>
          <w:tcPr>
            <w:tcW w:w="15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Italy</w:t>
            </w:r>
          </w:p>
        </w:tc>
        <w:tc>
          <w:tcPr>
            <w:tcW w:w="272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Non Conformant</w:t>
            </w:r>
          </w:p>
        </w:tc>
      </w:tr>
      <w:tr>
        <w:trPr>
          <w:trHeight w:val="178"/>
        </w:trPr>
        <w:tc>
          <w:tcPr>
            <w:tcW w:w="66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Tin</w:t>
            </w:r>
          </w:p>
        </w:tc>
        <w:tc>
          <w:tcPr>
            <w:tcW w:w="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CID003116</w:t>
            </w:r>
          </w:p>
        </w:tc>
        <w:tc>
          <w:tcPr>
            <w:tcW w:w="38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Guangdong Hanhe Non-Ferrous Metal Co., Ltd.</w:t>
            </w:r>
          </w:p>
        </w:tc>
        <w:tc>
          <w:tcPr>
            <w:tcW w:w="15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China</w:t>
            </w:r>
          </w:p>
        </w:tc>
        <w:tc>
          <w:tcPr>
            <w:tcW w:w="272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Conformant</w:t>
            </w:r>
          </w:p>
        </w:tc>
      </w:tr>
      <w:tr>
        <w:trPr>
          <w:trHeight w:val="178"/>
        </w:trPr>
        <w:tc>
          <w:tcPr>
            <w:tcW w:w="66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Gold</w:t>
            </w:r>
          </w:p>
        </w:tc>
        <w:tc>
          <w:tcPr>
            <w:tcW w:w="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CID003153</w:t>
            </w:r>
          </w:p>
        </w:tc>
        <w:tc>
          <w:tcPr>
            <w:tcW w:w="38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State Research Institute Center for Physical Sciences and Technology</w:t>
            </w:r>
          </w:p>
        </w:tc>
        <w:tc>
          <w:tcPr>
            <w:tcW w:w="15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Lithuania</w:t>
            </w:r>
          </w:p>
        </w:tc>
        <w:tc>
          <w:tcPr>
            <w:tcW w:w="272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Outreach Required</w:t>
            </w:r>
          </w:p>
        </w:tc>
      </w:tr>
      <w:tr>
        <w:trPr>
          <w:trHeight w:val="178"/>
        </w:trPr>
        <w:tc>
          <w:tcPr>
            <w:tcW w:w="66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Gold</w:t>
            </w:r>
          </w:p>
        </w:tc>
        <w:tc>
          <w:tcPr>
            <w:tcW w:w="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CID003185</w:t>
            </w:r>
          </w:p>
        </w:tc>
        <w:tc>
          <w:tcPr>
            <w:tcW w:w="38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African Gold Refinery</w:t>
            </w:r>
          </w:p>
        </w:tc>
        <w:tc>
          <w:tcPr>
            <w:tcW w:w="15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Uganda</w:t>
            </w:r>
          </w:p>
        </w:tc>
        <w:tc>
          <w:tcPr>
            <w:tcW w:w="272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RMI Due Diligence Review - Unable to Proceed</w:t>
            </w:r>
          </w:p>
        </w:tc>
      </w:tr>
      <w:tr>
        <w:trPr>
          <w:trHeight w:val="178"/>
        </w:trPr>
        <w:tc>
          <w:tcPr>
            <w:tcW w:w="66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Gold</w:t>
            </w:r>
          </w:p>
        </w:tc>
        <w:tc>
          <w:tcPr>
            <w:tcW w:w="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CID003186</w:t>
            </w:r>
          </w:p>
        </w:tc>
        <w:tc>
          <w:tcPr>
            <w:tcW w:w="38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Gold Coast Refinery</w:t>
            </w:r>
          </w:p>
        </w:tc>
        <w:tc>
          <w:tcPr>
            <w:tcW w:w="15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Ghana</w:t>
            </w:r>
          </w:p>
        </w:tc>
        <w:tc>
          <w:tcPr>
            <w:tcW w:w="272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Outreach Required</w:t>
            </w:r>
          </w:p>
        </w:tc>
      </w:tr>
      <w:tr>
        <w:trPr>
          <w:trHeight w:val="178"/>
        </w:trPr>
        <w:tc>
          <w:tcPr>
            <w:tcW w:w="66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Gold</w:t>
            </w:r>
          </w:p>
        </w:tc>
        <w:tc>
          <w:tcPr>
            <w:tcW w:w="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CID003189</w:t>
            </w:r>
          </w:p>
        </w:tc>
        <w:tc>
          <w:tcPr>
            <w:tcW w:w="38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NH Recytech Company</w:t>
            </w:r>
          </w:p>
        </w:tc>
        <w:tc>
          <w:tcPr>
            <w:tcW w:w="15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Korea, Republic Of</w:t>
            </w:r>
          </w:p>
        </w:tc>
        <w:tc>
          <w:tcPr>
            <w:tcW w:w="272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Conformant</w:t>
            </w:r>
          </w:p>
        </w:tc>
      </w:tr>
      <w:tr>
        <w:trPr>
          <w:trHeight w:val="178"/>
        </w:trPr>
        <w:tc>
          <w:tcPr>
            <w:tcW w:w="66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Tin</w:t>
            </w:r>
          </w:p>
        </w:tc>
        <w:tc>
          <w:tcPr>
            <w:tcW w:w="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CID003190</w:t>
            </w:r>
          </w:p>
        </w:tc>
        <w:tc>
          <w:tcPr>
            <w:tcW w:w="38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Chifeng Dajingzi Tin Industry Co., Ltd.</w:t>
            </w:r>
          </w:p>
        </w:tc>
        <w:tc>
          <w:tcPr>
            <w:tcW w:w="15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China</w:t>
            </w:r>
          </w:p>
        </w:tc>
        <w:tc>
          <w:tcPr>
            <w:tcW w:w="272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Conformant</w:t>
            </w:r>
          </w:p>
        </w:tc>
      </w:tr>
      <w:tr>
        <w:trPr>
          <w:trHeight w:val="178"/>
        </w:trPr>
        <w:tc>
          <w:tcPr>
            <w:tcW w:w="66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Gold</w:t>
            </w:r>
          </w:p>
        </w:tc>
        <w:tc>
          <w:tcPr>
            <w:tcW w:w="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CID003324</w:t>
            </w:r>
          </w:p>
        </w:tc>
        <w:tc>
          <w:tcPr>
            <w:tcW w:w="38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QG Refining, LLC</w:t>
            </w:r>
          </w:p>
        </w:tc>
        <w:tc>
          <w:tcPr>
            <w:tcW w:w="15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United States Of America</w:t>
            </w:r>
          </w:p>
        </w:tc>
        <w:tc>
          <w:tcPr>
            <w:tcW w:w="272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Outreach Required</w:t>
            </w:r>
          </w:p>
        </w:tc>
      </w:tr>
      <w:tr>
        <w:trPr>
          <w:trHeight w:val="178"/>
        </w:trPr>
        <w:tc>
          <w:tcPr>
            <w:tcW w:w="66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Tin</w:t>
            </w:r>
          </w:p>
        </w:tc>
        <w:tc>
          <w:tcPr>
            <w:tcW w:w="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CID003325</w:t>
            </w:r>
          </w:p>
        </w:tc>
        <w:tc>
          <w:tcPr>
            <w:tcW w:w="38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Tin Technology &amp; Refining</w:t>
            </w:r>
          </w:p>
        </w:tc>
        <w:tc>
          <w:tcPr>
            <w:tcW w:w="15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United States Of America</w:t>
            </w:r>
          </w:p>
        </w:tc>
        <w:tc>
          <w:tcPr>
            <w:tcW w:w="272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Conformant</w:t>
            </w:r>
          </w:p>
        </w:tc>
      </w:tr>
      <w:tr>
        <w:trPr>
          <w:trHeight w:val="178"/>
        </w:trPr>
        <w:tc>
          <w:tcPr>
            <w:tcW w:w="66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Gold</w:t>
            </w:r>
          </w:p>
        </w:tc>
        <w:tc>
          <w:tcPr>
            <w:tcW w:w="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CID003348</w:t>
            </w:r>
          </w:p>
        </w:tc>
        <w:tc>
          <w:tcPr>
            <w:tcW w:w="38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Dijllah Gold Refinery FZC</w:t>
            </w:r>
          </w:p>
        </w:tc>
        <w:tc>
          <w:tcPr>
            <w:tcW w:w="15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United Arab Emirates</w:t>
            </w:r>
          </w:p>
        </w:tc>
        <w:tc>
          <w:tcPr>
            <w:tcW w:w="272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Outreach Required</w:t>
            </w:r>
          </w:p>
        </w:tc>
      </w:tr>
      <w:tr>
        <w:trPr>
          <w:trHeight w:val="178"/>
        </w:trPr>
        <w:tc>
          <w:tcPr>
            <w:tcW w:w="66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Tin</w:t>
            </w:r>
          </w:p>
        </w:tc>
        <w:tc>
          <w:tcPr>
            <w:tcW w:w="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CID003356</w:t>
            </w:r>
          </w:p>
        </w:tc>
        <w:tc>
          <w:tcPr>
            <w:tcW w:w="38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Dongguan CiEXPO Environmental Engineering Co., Ltd.</w:t>
            </w:r>
          </w:p>
        </w:tc>
        <w:tc>
          <w:tcPr>
            <w:tcW w:w="15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China</w:t>
            </w:r>
          </w:p>
        </w:tc>
        <w:tc>
          <w:tcPr>
            <w:tcW w:w="272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Non Conformant</w:t>
            </w:r>
          </w:p>
        </w:tc>
      </w:tr>
      <w:tr>
        <w:trPr>
          <w:trHeight w:val="178"/>
        </w:trPr>
        <w:tc>
          <w:tcPr>
            <w:tcW w:w="66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Tin</w:t>
            </w:r>
          </w:p>
        </w:tc>
        <w:tc>
          <w:tcPr>
            <w:tcW w:w="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CID003379</w:t>
            </w:r>
          </w:p>
        </w:tc>
        <w:tc>
          <w:tcPr>
            <w:tcW w:w="38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Ma'anshan Weitai Tin Co., Ltd.</w:t>
            </w:r>
          </w:p>
        </w:tc>
        <w:tc>
          <w:tcPr>
            <w:tcW w:w="15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China</w:t>
            </w:r>
          </w:p>
        </w:tc>
        <w:tc>
          <w:tcPr>
            <w:tcW w:w="272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Non Conformant</w:t>
            </w:r>
          </w:p>
        </w:tc>
      </w:tr>
      <w:tr>
        <w:trPr>
          <w:trHeight w:val="178"/>
        </w:trPr>
        <w:tc>
          <w:tcPr>
            <w:tcW w:w="66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Tin</w:t>
            </w:r>
          </w:p>
        </w:tc>
        <w:tc>
          <w:tcPr>
            <w:tcW w:w="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CID003380</w:t>
            </w:r>
          </w:p>
        </w:tc>
        <w:tc>
          <w:tcPr>
            <w:tcW w:w="38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PT Masbro Alam Stania</w:t>
            </w:r>
          </w:p>
        </w:tc>
        <w:tc>
          <w:tcPr>
            <w:tcW w:w="15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Indonesia</w:t>
            </w:r>
          </w:p>
        </w:tc>
        <w:tc>
          <w:tcPr>
            <w:tcW w:w="272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Non Conformant</w:t>
            </w:r>
          </w:p>
        </w:tc>
      </w:tr>
      <w:tr>
        <w:trPr>
          <w:trHeight w:val="178"/>
        </w:trPr>
        <w:tc>
          <w:tcPr>
            <w:tcW w:w="66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Gold</w:t>
            </w:r>
          </w:p>
        </w:tc>
        <w:tc>
          <w:tcPr>
            <w:tcW w:w="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CID003382</w:t>
            </w:r>
          </w:p>
        </w:tc>
        <w:tc>
          <w:tcPr>
            <w:tcW w:w="38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CGR Metalloys Pvt Ltd.</w:t>
            </w:r>
          </w:p>
        </w:tc>
        <w:tc>
          <w:tcPr>
            <w:tcW w:w="15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India</w:t>
            </w:r>
          </w:p>
        </w:tc>
        <w:tc>
          <w:tcPr>
            <w:tcW w:w="272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Outreach Required</w:t>
            </w:r>
          </w:p>
        </w:tc>
      </w:tr>
      <w:tr>
        <w:trPr>
          <w:trHeight w:val="396"/>
        </w:trPr>
        <w:tc>
          <w:tcPr>
            <w:tcW w:w="12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420" w:type="dxa"/>
            <w:vAlign w:val="bottom"/>
          </w:tcPr>
          <w:p>
            <w:pPr>
              <w:spacing w:after="0"/>
              <w:rPr>
                <w:sz w:val="24"/>
                <w:szCs w:val="24"/>
                <w:color w:val="auto"/>
              </w:rPr>
            </w:pPr>
          </w:p>
        </w:tc>
      </w:tr>
    </w:tbl>
    <w:p>
      <w:pPr>
        <w:sectPr>
          <w:pgSz w:w="11900" w:h="16838" w:orient="portrait"/>
          <w:cols w:equalWidth="0" w:num="1">
            <w:col w:w="9480"/>
          </w:cols>
          <w:pgMar w:left="1340" w:top="753" w:right="1079" w:bottom="1440" w:gutter="0" w:footer="0" w:header="0"/>
        </w:sectPr>
      </w:pPr>
    </w:p>
    <w:bookmarkStart w:id="20" w:name="page21"/>
    <w:bookmarkEnd w:id="20"/>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98"/>
        </w:trPr>
        <w:tc>
          <w:tcPr>
            <w:tcW w:w="660" w:type="dxa"/>
            <w:vAlign w:val="bottom"/>
            <w:tcBorders>
              <w:top w:val="single" w:sz="8" w:color="auto"/>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Gold</w:t>
            </w:r>
          </w:p>
        </w:tc>
        <w:tc>
          <w:tcPr>
            <w:tcW w:w="76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CID003383</w:t>
            </w:r>
          </w:p>
        </w:tc>
        <w:tc>
          <w:tcPr>
            <w:tcW w:w="464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Sovereign Metals</w:t>
            </w:r>
          </w:p>
        </w:tc>
        <w:tc>
          <w:tcPr>
            <w:tcW w:w="1600" w:type="dxa"/>
            <w:vAlign w:val="bottom"/>
            <w:tcBorders>
              <w:top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3"/>
                <w:szCs w:val="13"/>
                <w:color w:val="auto"/>
              </w:rPr>
              <w:t>India</w:t>
            </w:r>
          </w:p>
        </w:tc>
        <w:tc>
          <w:tcPr>
            <w:tcW w:w="2660" w:type="dxa"/>
            <w:vAlign w:val="bottom"/>
            <w:tcBorders>
              <w:top w:val="single" w:sz="8" w:color="auto"/>
              <w:bottom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Outreach Required</w:t>
            </w:r>
          </w:p>
        </w:tc>
      </w:tr>
      <w:tr>
        <w:trPr>
          <w:trHeight w:val="178"/>
        </w:trPr>
        <w:tc>
          <w:tcPr>
            <w:tcW w:w="66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Tin</w:t>
            </w:r>
          </w:p>
        </w:tc>
        <w:tc>
          <w:tcPr>
            <w:tcW w:w="7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CID003387</w:t>
            </w:r>
          </w:p>
        </w:tc>
        <w:tc>
          <w:tcPr>
            <w:tcW w:w="46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Luna Smelter, Ltd.</w:t>
            </w:r>
          </w:p>
        </w:tc>
        <w:tc>
          <w:tcPr>
            <w:tcW w:w="16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3"/>
                <w:szCs w:val="13"/>
                <w:color w:val="auto"/>
              </w:rPr>
              <w:t>Rwanda</w:t>
            </w:r>
          </w:p>
        </w:tc>
        <w:tc>
          <w:tcPr>
            <w:tcW w:w="26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Conformant</w:t>
            </w:r>
          </w:p>
        </w:tc>
      </w:tr>
      <w:tr>
        <w:trPr>
          <w:trHeight w:val="178"/>
        </w:trPr>
        <w:tc>
          <w:tcPr>
            <w:tcW w:w="66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Tin</w:t>
            </w:r>
          </w:p>
        </w:tc>
        <w:tc>
          <w:tcPr>
            <w:tcW w:w="7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CID003397</w:t>
            </w:r>
          </w:p>
        </w:tc>
        <w:tc>
          <w:tcPr>
            <w:tcW w:w="46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Yunnan Yunfan Non-ferrous Metals Co., Ltd.</w:t>
            </w:r>
          </w:p>
        </w:tc>
        <w:tc>
          <w:tcPr>
            <w:tcW w:w="16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3"/>
                <w:szCs w:val="13"/>
                <w:color w:val="auto"/>
              </w:rPr>
              <w:t>China</w:t>
            </w:r>
          </w:p>
        </w:tc>
        <w:tc>
          <w:tcPr>
            <w:tcW w:w="26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Conformant</w:t>
            </w:r>
          </w:p>
        </w:tc>
      </w:tr>
      <w:tr>
        <w:trPr>
          <w:trHeight w:val="178"/>
        </w:trPr>
        <w:tc>
          <w:tcPr>
            <w:tcW w:w="66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Tungsten</w:t>
            </w:r>
          </w:p>
        </w:tc>
        <w:tc>
          <w:tcPr>
            <w:tcW w:w="7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CID003407</w:t>
            </w:r>
          </w:p>
        </w:tc>
        <w:tc>
          <w:tcPr>
            <w:tcW w:w="46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Lianyou Metals Co., Ltd.</w:t>
            </w:r>
          </w:p>
        </w:tc>
        <w:tc>
          <w:tcPr>
            <w:tcW w:w="16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3"/>
                <w:szCs w:val="13"/>
                <w:color w:val="auto"/>
              </w:rPr>
              <w:t>Taiwan, Province Of China</w:t>
            </w:r>
          </w:p>
        </w:tc>
        <w:tc>
          <w:tcPr>
            <w:tcW w:w="26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Conformant</w:t>
            </w:r>
          </w:p>
        </w:tc>
      </w:tr>
      <w:tr>
        <w:trPr>
          <w:trHeight w:val="178"/>
        </w:trPr>
        <w:tc>
          <w:tcPr>
            <w:tcW w:w="66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Tungsten</w:t>
            </w:r>
          </w:p>
        </w:tc>
        <w:tc>
          <w:tcPr>
            <w:tcW w:w="7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CID003408</w:t>
            </w:r>
          </w:p>
        </w:tc>
        <w:tc>
          <w:tcPr>
            <w:tcW w:w="46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JSC "Kirovgrad Hard Alloys Plant"</w:t>
            </w:r>
          </w:p>
        </w:tc>
        <w:tc>
          <w:tcPr>
            <w:tcW w:w="16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3"/>
                <w:szCs w:val="13"/>
                <w:color w:val="auto"/>
              </w:rPr>
              <w:t>Russian Federation</w:t>
            </w:r>
          </w:p>
        </w:tc>
        <w:tc>
          <w:tcPr>
            <w:tcW w:w="26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RMI Due Diligence Review - Unable to Proceed</w:t>
            </w:r>
          </w:p>
        </w:tc>
      </w:tr>
      <w:tr>
        <w:trPr>
          <w:trHeight w:val="178"/>
        </w:trPr>
        <w:tc>
          <w:tcPr>
            <w:tcW w:w="66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Tin</w:t>
            </w:r>
          </w:p>
        </w:tc>
        <w:tc>
          <w:tcPr>
            <w:tcW w:w="7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CID003409</w:t>
            </w:r>
          </w:p>
        </w:tc>
        <w:tc>
          <w:tcPr>
            <w:tcW w:w="46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Precious Minerals and Smelting Limited</w:t>
            </w:r>
          </w:p>
        </w:tc>
        <w:tc>
          <w:tcPr>
            <w:tcW w:w="16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3"/>
                <w:szCs w:val="13"/>
                <w:color w:val="auto"/>
              </w:rPr>
              <w:t>India</w:t>
            </w:r>
          </w:p>
        </w:tc>
        <w:tc>
          <w:tcPr>
            <w:tcW w:w="26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Non Conformant</w:t>
            </w:r>
          </w:p>
        </w:tc>
      </w:tr>
      <w:tr>
        <w:trPr>
          <w:trHeight w:val="178"/>
        </w:trPr>
        <w:tc>
          <w:tcPr>
            <w:tcW w:w="66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Tin</w:t>
            </w:r>
          </w:p>
        </w:tc>
        <w:tc>
          <w:tcPr>
            <w:tcW w:w="7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CID003410</w:t>
            </w:r>
          </w:p>
        </w:tc>
        <w:tc>
          <w:tcPr>
            <w:tcW w:w="46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Gejiu City Fuxiang Industry and Trade Co., Ltd.</w:t>
            </w:r>
          </w:p>
        </w:tc>
        <w:tc>
          <w:tcPr>
            <w:tcW w:w="16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3"/>
                <w:szCs w:val="13"/>
                <w:color w:val="auto"/>
              </w:rPr>
              <w:t>China</w:t>
            </w:r>
          </w:p>
        </w:tc>
        <w:tc>
          <w:tcPr>
            <w:tcW w:w="26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Outreach Required</w:t>
            </w:r>
          </w:p>
        </w:tc>
      </w:tr>
      <w:tr>
        <w:trPr>
          <w:trHeight w:val="178"/>
        </w:trPr>
        <w:tc>
          <w:tcPr>
            <w:tcW w:w="66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Tungsten</w:t>
            </w:r>
          </w:p>
        </w:tc>
        <w:tc>
          <w:tcPr>
            <w:tcW w:w="7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CID003416</w:t>
            </w:r>
          </w:p>
        </w:tc>
        <w:tc>
          <w:tcPr>
            <w:tcW w:w="46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NPP Tyazhmetprom LLC</w:t>
            </w:r>
          </w:p>
        </w:tc>
        <w:tc>
          <w:tcPr>
            <w:tcW w:w="16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3"/>
                <w:szCs w:val="13"/>
                <w:color w:val="auto"/>
              </w:rPr>
              <w:t>Russian Federation</w:t>
            </w:r>
          </w:p>
        </w:tc>
        <w:tc>
          <w:tcPr>
            <w:tcW w:w="26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RMI Due Diligence Review - Unable to Proceed</w:t>
            </w:r>
          </w:p>
        </w:tc>
      </w:tr>
      <w:tr>
        <w:trPr>
          <w:trHeight w:val="178"/>
        </w:trPr>
        <w:tc>
          <w:tcPr>
            <w:tcW w:w="66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Tungsten</w:t>
            </w:r>
          </w:p>
        </w:tc>
        <w:tc>
          <w:tcPr>
            <w:tcW w:w="7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CID003417</w:t>
            </w:r>
          </w:p>
        </w:tc>
        <w:tc>
          <w:tcPr>
            <w:tcW w:w="46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Hubei Green Tungsten Co., Ltd.</w:t>
            </w:r>
          </w:p>
        </w:tc>
        <w:tc>
          <w:tcPr>
            <w:tcW w:w="16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3"/>
                <w:szCs w:val="13"/>
                <w:color w:val="auto"/>
              </w:rPr>
              <w:t>China</w:t>
            </w:r>
          </w:p>
        </w:tc>
        <w:tc>
          <w:tcPr>
            <w:tcW w:w="26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Conformant</w:t>
            </w:r>
          </w:p>
        </w:tc>
      </w:tr>
      <w:tr>
        <w:trPr>
          <w:trHeight w:val="178"/>
        </w:trPr>
        <w:tc>
          <w:tcPr>
            <w:tcW w:w="66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Gold</w:t>
            </w:r>
          </w:p>
        </w:tc>
        <w:tc>
          <w:tcPr>
            <w:tcW w:w="7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CID003424</w:t>
            </w:r>
          </w:p>
        </w:tc>
        <w:tc>
          <w:tcPr>
            <w:tcW w:w="46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Eco-System Recycling Co., Ltd. North Plant</w:t>
            </w:r>
          </w:p>
        </w:tc>
        <w:tc>
          <w:tcPr>
            <w:tcW w:w="16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3"/>
                <w:szCs w:val="13"/>
                <w:color w:val="auto"/>
              </w:rPr>
              <w:t>Japan</w:t>
            </w:r>
          </w:p>
        </w:tc>
        <w:tc>
          <w:tcPr>
            <w:tcW w:w="26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Conformant</w:t>
            </w:r>
          </w:p>
        </w:tc>
      </w:tr>
      <w:tr>
        <w:trPr>
          <w:trHeight w:val="178"/>
        </w:trPr>
        <w:tc>
          <w:tcPr>
            <w:tcW w:w="66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Gold</w:t>
            </w:r>
          </w:p>
        </w:tc>
        <w:tc>
          <w:tcPr>
            <w:tcW w:w="7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CID003425</w:t>
            </w:r>
          </w:p>
        </w:tc>
        <w:tc>
          <w:tcPr>
            <w:tcW w:w="46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Eco-System Recycling Co., Ltd. West Plant</w:t>
            </w:r>
          </w:p>
        </w:tc>
        <w:tc>
          <w:tcPr>
            <w:tcW w:w="16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3"/>
                <w:szCs w:val="13"/>
                <w:color w:val="auto"/>
              </w:rPr>
              <w:t>Japan</w:t>
            </w:r>
          </w:p>
        </w:tc>
        <w:tc>
          <w:tcPr>
            <w:tcW w:w="26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Conformant</w:t>
            </w:r>
          </w:p>
        </w:tc>
      </w:tr>
      <w:tr>
        <w:trPr>
          <w:trHeight w:val="178"/>
        </w:trPr>
        <w:tc>
          <w:tcPr>
            <w:tcW w:w="66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Tungsten</w:t>
            </w:r>
          </w:p>
        </w:tc>
        <w:tc>
          <w:tcPr>
            <w:tcW w:w="7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CID003427</w:t>
            </w:r>
          </w:p>
        </w:tc>
        <w:tc>
          <w:tcPr>
            <w:tcW w:w="46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Albasteel Industria e Comercio de Ligas Para Fundicao Ltd.</w:t>
            </w:r>
          </w:p>
        </w:tc>
        <w:tc>
          <w:tcPr>
            <w:tcW w:w="16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3"/>
                <w:szCs w:val="13"/>
                <w:color w:val="auto"/>
              </w:rPr>
              <w:t>Brazil</w:t>
            </w:r>
          </w:p>
        </w:tc>
        <w:tc>
          <w:tcPr>
            <w:tcW w:w="26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Non Conformant</w:t>
            </w:r>
          </w:p>
        </w:tc>
      </w:tr>
      <w:tr>
        <w:trPr>
          <w:trHeight w:val="178"/>
        </w:trPr>
        <w:tc>
          <w:tcPr>
            <w:tcW w:w="66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Tin</w:t>
            </w:r>
          </w:p>
        </w:tc>
        <w:tc>
          <w:tcPr>
            <w:tcW w:w="7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CID003449</w:t>
            </w:r>
          </w:p>
        </w:tc>
        <w:tc>
          <w:tcPr>
            <w:tcW w:w="46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PT Mitra Sukses Globalindo</w:t>
            </w:r>
          </w:p>
        </w:tc>
        <w:tc>
          <w:tcPr>
            <w:tcW w:w="16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3"/>
                <w:szCs w:val="13"/>
                <w:color w:val="auto"/>
              </w:rPr>
              <w:t>Indonesia</w:t>
            </w:r>
          </w:p>
        </w:tc>
        <w:tc>
          <w:tcPr>
            <w:tcW w:w="26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Conformant</w:t>
            </w:r>
          </w:p>
        </w:tc>
      </w:tr>
      <w:tr>
        <w:trPr>
          <w:trHeight w:val="178"/>
        </w:trPr>
        <w:tc>
          <w:tcPr>
            <w:tcW w:w="66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Gold</w:t>
            </w:r>
          </w:p>
        </w:tc>
        <w:tc>
          <w:tcPr>
            <w:tcW w:w="7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CID003461</w:t>
            </w:r>
          </w:p>
        </w:tc>
        <w:tc>
          <w:tcPr>
            <w:tcW w:w="46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Augmont Enterprises Private Limited</w:t>
            </w:r>
          </w:p>
        </w:tc>
        <w:tc>
          <w:tcPr>
            <w:tcW w:w="16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3"/>
                <w:szCs w:val="13"/>
                <w:color w:val="auto"/>
              </w:rPr>
              <w:t>India</w:t>
            </w:r>
          </w:p>
        </w:tc>
        <w:tc>
          <w:tcPr>
            <w:tcW w:w="26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Non Conformant</w:t>
            </w:r>
          </w:p>
        </w:tc>
      </w:tr>
      <w:tr>
        <w:trPr>
          <w:trHeight w:val="178"/>
        </w:trPr>
        <w:tc>
          <w:tcPr>
            <w:tcW w:w="66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Gold</w:t>
            </w:r>
          </w:p>
        </w:tc>
        <w:tc>
          <w:tcPr>
            <w:tcW w:w="7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CID003463</w:t>
            </w:r>
          </w:p>
        </w:tc>
        <w:tc>
          <w:tcPr>
            <w:tcW w:w="46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Kundan Care Products Ltd.</w:t>
            </w:r>
          </w:p>
        </w:tc>
        <w:tc>
          <w:tcPr>
            <w:tcW w:w="16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3"/>
                <w:szCs w:val="13"/>
                <w:color w:val="auto"/>
              </w:rPr>
              <w:t>India</w:t>
            </w:r>
          </w:p>
        </w:tc>
        <w:tc>
          <w:tcPr>
            <w:tcW w:w="26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Outreach Required</w:t>
            </w:r>
          </w:p>
        </w:tc>
      </w:tr>
      <w:tr>
        <w:trPr>
          <w:trHeight w:val="178"/>
        </w:trPr>
        <w:tc>
          <w:tcPr>
            <w:tcW w:w="66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Tungsten</w:t>
            </w:r>
          </w:p>
        </w:tc>
        <w:tc>
          <w:tcPr>
            <w:tcW w:w="7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CID003468</w:t>
            </w:r>
          </w:p>
        </w:tc>
        <w:tc>
          <w:tcPr>
            <w:tcW w:w="46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Cronimet Brasil Ltda</w:t>
            </w:r>
          </w:p>
        </w:tc>
        <w:tc>
          <w:tcPr>
            <w:tcW w:w="16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3"/>
                <w:szCs w:val="13"/>
                <w:color w:val="auto"/>
              </w:rPr>
              <w:t>Brazil</w:t>
            </w:r>
          </w:p>
        </w:tc>
        <w:tc>
          <w:tcPr>
            <w:tcW w:w="26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Conformant</w:t>
            </w:r>
          </w:p>
        </w:tc>
      </w:tr>
      <w:tr>
        <w:trPr>
          <w:trHeight w:val="178"/>
        </w:trPr>
        <w:tc>
          <w:tcPr>
            <w:tcW w:w="66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Tin</w:t>
            </w:r>
          </w:p>
        </w:tc>
        <w:tc>
          <w:tcPr>
            <w:tcW w:w="7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CID003486</w:t>
            </w:r>
          </w:p>
        </w:tc>
        <w:tc>
          <w:tcPr>
            <w:tcW w:w="46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CRM Fundicao De Metais E Comercio De Equipamentos Eletronicos Do Brasil Ltda</w:t>
            </w:r>
          </w:p>
        </w:tc>
        <w:tc>
          <w:tcPr>
            <w:tcW w:w="16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3"/>
                <w:szCs w:val="13"/>
                <w:color w:val="auto"/>
              </w:rPr>
              <w:t>Brazil</w:t>
            </w:r>
          </w:p>
        </w:tc>
        <w:tc>
          <w:tcPr>
            <w:tcW w:w="26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Active</w:t>
            </w:r>
          </w:p>
        </w:tc>
      </w:tr>
      <w:tr>
        <w:trPr>
          <w:trHeight w:val="178"/>
        </w:trPr>
        <w:tc>
          <w:tcPr>
            <w:tcW w:w="66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Gold</w:t>
            </w:r>
          </w:p>
        </w:tc>
        <w:tc>
          <w:tcPr>
            <w:tcW w:w="7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CID003487</w:t>
            </w:r>
          </w:p>
        </w:tc>
        <w:tc>
          <w:tcPr>
            <w:tcW w:w="46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Emerald Jewel Industry India Limited (Unit 1)</w:t>
            </w:r>
          </w:p>
        </w:tc>
        <w:tc>
          <w:tcPr>
            <w:tcW w:w="16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3"/>
                <w:szCs w:val="13"/>
                <w:color w:val="auto"/>
              </w:rPr>
              <w:t>India</w:t>
            </w:r>
          </w:p>
        </w:tc>
        <w:tc>
          <w:tcPr>
            <w:tcW w:w="26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Outreach Required</w:t>
            </w:r>
          </w:p>
        </w:tc>
      </w:tr>
      <w:tr>
        <w:trPr>
          <w:trHeight w:val="178"/>
        </w:trPr>
        <w:tc>
          <w:tcPr>
            <w:tcW w:w="66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Gold</w:t>
            </w:r>
          </w:p>
        </w:tc>
        <w:tc>
          <w:tcPr>
            <w:tcW w:w="7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CID003488</w:t>
            </w:r>
          </w:p>
        </w:tc>
        <w:tc>
          <w:tcPr>
            <w:tcW w:w="46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Emerald Jewel Industry India Limited (Unit 2)</w:t>
            </w:r>
          </w:p>
        </w:tc>
        <w:tc>
          <w:tcPr>
            <w:tcW w:w="16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3"/>
                <w:szCs w:val="13"/>
                <w:color w:val="auto"/>
              </w:rPr>
              <w:t>India</w:t>
            </w:r>
          </w:p>
        </w:tc>
        <w:tc>
          <w:tcPr>
            <w:tcW w:w="26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Outreach Required</w:t>
            </w:r>
          </w:p>
        </w:tc>
      </w:tr>
      <w:tr>
        <w:trPr>
          <w:trHeight w:val="178"/>
        </w:trPr>
        <w:tc>
          <w:tcPr>
            <w:tcW w:w="66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Gold</w:t>
            </w:r>
          </w:p>
        </w:tc>
        <w:tc>
          <w:tcPr>
            <w:tcW w:w="7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CID003489</w:t>
            </w:r>
          </w:p>
        </w:tc>
        <w:tc>
          <w:tcPr>
            <w:tcW w:w="46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Emerald Jewel Industry India Limited (Unit 3)</w:t>
            </w:r>
          </w:p>
        </w:tc>
        <w:tc>
          <w:tcPr>
            <w:tcW w:w="16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3"/>
                <w:szCs w:val="13"/>
                <w:color w:val="auto"/>
              </w:rPr>
              <w:t>India</w:t>
            </w:r>
          </w:p>
        </w:tc>
        <w:tc>
          <w:tcPr>
            <w:tcW w:w="26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Outreach Required</w:t>
            </w:r>
          </w:p>
        </w:tc>
      </w:tr>
      <w:tr>
        <w:trPr>
          <w:trHeight w:val="178"/>
        </w:trPr>
        <w:tc>
          <w:tcPr>
            <w:tcW w:w="66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Gold</w:t>
            </w:r>
          </w:p>
        </w:tc>
        <w:tc>
          <w:tcPr>
            <w:tcW w:w="7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CID003490</w:t>
            </w:r>
          </w:p>
        </w:tc>
        <w:tc>
          <w:tcPr>
            <w:tcW w:w="46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Emerald Jewel Industry India Limited (Unit 4)</w:t>
            </w:r>
          </w:p>
        </w:tc>
        <w:tc>
          <w:tcPr>
            <w:tcW w:w="16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3"/>
                <w:szCs w:val="13"/>
                <w:color w:val="auto"/>
              </w:rPr>
              <w:t>India</w:t>
            </w:r>
          </w:p>
        </w:tc>
        <w:tc>
          <w:tcPr>
            <w:tcW w:w="26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Outreach Required</w:t>
            </w:r>
          </w:p>
        </w:tc>
      </w:tr>
      <w:tr>
        <w:trPr>
          <w:trHeight w:val="178"/>
        </w:trPr>
        <w:tc>
          <w:tcPr>
            <w:tcW w:w="66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Gold</w:t>
            </w:r>
          </w:p>
        </w:tc>
        <w:tc>
          <w:tcPr>
            <w:tcW w:w="7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CID003497</w:t>
            </w:r>
          </w:p>
        </w:tc>
        <w:tc>
          <w:tcPr>
            <w:tcW w:w="46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K.A. Rasmussen</w:t>
            </w:r>
          </w:p>
        </w:tc>
        <w:tc>
          <w:tcPr>
            <w:tcW w:w="16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3"/>
                <w:szCs w:val="13"/>
                <w:color w:val="auto"/>
              </w:rPr>
              <w:t>Norway</w:t>
            </w:r>
          </w:p>
        </w:tc>
        <w:tc>
          <w:tcPr>
            <w:tcW w:w="26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Outreach Required</w:t>
            </w:r>
          </w:p>
        </w:tc>
      </w:tr>
      <w:tr>
        <w:trPr>
          <w:trHeight w:val="178"/>
        </w:trPr>
        <w:tc>
          <w:tcPr>
            <w:tcW w:w="66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Gold</w:t>
            </w:r>
          </w:p>
        </w:tc>
        <w:tc>
          <w:tcPr>
            <w:tcW w:w="7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CID003500</w:t>
            </w:r>
          </w:p>
        </w:tc>
        <w:tc>
          <w:tcPr>
            <w:tcW w:w="46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Alexy Metals</w:t>
            </w:r>
          </w:p>
        </w:tc>
        <w:tc>
          <w:tcPr>
            <w:tcW w:w="16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3"/>
                <w:szCs w:val="13"/>
                <w:color w:val="auto"/>
              </w:rPr>
              <w:t>United States Of America</w:t>
            </w:r>
          </w:p>
        </w:tc>
        <w:tc>
          <w:tcPr>
            <w:tcW w:w="26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Non Conformant</w:t>
            </w:r>
          </w:p>
        </w:tc>
      </w:tr>
      <w:tr>
        <w:trPr>
          <w:trHeight w:val="178"/>
        </w:trPr>
        <w:tc>
          <w:tcPr>
            <w:tcW w:w="66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Tin</w:t>
            </w:r>
          </w:p>
        </w:tc>
        <w:tc>
          <w:tcPr>
            <w:tcW w:w="7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CID003524</w:t>
            </w:r>
          </w:p>
        </w:tc>
        <w:tc>
          <w:tcPr>
            <w:tcW w:w="46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CRM Synergies</w:t>
            </w:r>
          </w:p>
        </w:tc>
        <w:tc>
          <w:tcPr>
            <w:tcW w:w="16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3"/>
                <w:szCs w:val="13"/>
                <w:color w:val="auto"/>
              </w:rPr>
              <w:t>Spain</w:t>
            </w:r>
          </w:p>
        </w:tc>
        <w:tc>
          <w:tcPr>
            <w:tcW w:w="26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Conformant</w:t>
            </w:r>
          </w:p>
        </w:tc>
      </w:tr>
      <w:tr>
        <w:trPr>
          <w:trHeight w:val="178"/>
        </w:trPr>
        <w:tc>
          <w:tcPr>
            <w:tcW w:w="66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Gold</w:t>
            </w:r>
          </w:p>
        </w:tc>
        <w:tc>
          <w:tcPr>
            <w:tcW w:w="7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CID003548</w:t>
            </w:r>
          </w:p>
        </w:tc>
        <w:tc>
          <w:tcPr>
            <w:tcW w:w="46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MD Overseas</w:t>
            </w:r>
          </w:p>
        </w:tc>
        <w:tc>
          <w:tcPr>
            <w:tcW w:w="16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3"/>
                <w:szCs w:val="13"/>
                <w:color w:val="auto"/>
              </w:rPr>
              <w:t>India</w:t>
            </w:r>
          </w:p>
        </w:tc>
        <w:tc>
          <w:tcPr>
            <w:tcW w:w="26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Outreach Required</w:t>
            </w:r>
          </w:p>
        </w:tc>
      </w:tr>
      <w:tr>
        <w:trPr>
          <w:trHeight w:val="178"/>
        </w:trPr>
        <w:tc>
          <w:tcPr>
            <w:tcW w:w="66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Gold</w:t>
            </w:r>
          </w:p>
        </w:tc>
        <w:tc>
          <w:tcPr>
            <w:tcW w:w="7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CID003557</w:t>
            </w:r>
          </w:p>
        </w:tc>
        <w:tc>
          <w:tcPr>
            <w:tcW w:w="46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Metallix Refining Inc.</w:t>
            </w:r>
          </w:p>
        </w:tc>
        <w:tc>
          <w:tcPr>
            <w:tcW w:w="16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3"/>
                <w:szCs w:val="13"/>
                <w:color w:val="auto"/>
              </w:rPr>
              <w:t>United States Of America</w:t>
            </w:r>
          </w:p>
        </w:tc>
        <w:tc>
          <w:tcPr>
            <w:tcW w:w="26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Outreach Required</w:t>
            </w:r>
          </w:p>
        </w:tc>
      </w:tr>
      <w:tr>
        <w:trPr>
          <w:trHeight w:val="178"/>
        </w:trPr>
        <w:tc>
          <w:tcPr>
            <w:tcW w:w="66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Gold</w:t>
            </w:r>
          </w:p>
        </w:tc>
        <w:tc>
          <w:tcPr>
            <w:tcW w:w="7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CID003575</w:t>
            </w:r>
          </w:p>
        </w:tc>
        <w:tc>
          <w:tcPr>
            <w:tcW w:w="46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Metal Concentrators SA (Pty) Ltd.</w:t>
            </w:r>
          </w:p>
        </w:tc>
        <w:tc>
          <w:tcPr>
            <w:tcW w:w="16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3"/>
                <w:szCs w:val="13"/>
                <w:color w:val="auto"/>
              </w:rPr>
              <w:t>South Africa</w:t>
            </w:r>
          </w:p>
        </w:tc>
        <w:tc>
          <w:tcPr>
            <w:tcW w:w="26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Conformant</w:t>
            </w:r>
          </w:p>
        </w:tc>
      </w:tr>
      <w:tr>
        <w:trPr>
          <w:trHeight w:val="178"/>
        </w:trPr>
        <w:tc>
          <w:tcPr>
            <w:tcW w:w="66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Tin</w:t>
            </w:r>
          </w:p>
        </w:tc>
        <w:tc>
          <w:tcPr>
            <w:tcW w:w="7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CID003582</w:t>
            </w:r>
          </w:p>
        </w:tc>
        <w:tc>
          <w:tcPr>
            <w:tcW w:w="46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Fabrica Auricchio Industria e Comercio Ltda.</w:t>
            </w:r>
          </w:p>
        </w:tc>
        <w:tc>
          <w:tcPr>
            <w:tcW w:w="16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3"/>
                <w:szCs w:val="13"/>
                <w:color w:val="auto"/>
              </w:rPr>
              <w:t>Brazil</w:t>
            </w:r>
          </w:p>
        </w:tc>
        <w:tc>
          <w:tcPr>
            <w:tcW w:w="26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Conformant</w:t>
            </w:r>
          </w:p>
        </w:tc>
      </w:tr>
      <w:tr>
        <w:trPr>
          <w:trHeight w:val="178"/>
        </w:trPr>
        <w:tc>
          <w:tcPr>
            <w:tcW w:w="66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Tungsten</w:t>
            </w:r>
          </w:p>
        </w:tc>
        <w:tc>
          <w:tcPr>
            <w:tcW w:w="7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CID003609</w:t>
            </w:r>
          </w:p>
        </w:tc>
        <w:tc>
          <w:tcPr>
            <w:tcW w:w="46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Fujian Xinlu Tungsten Co., Ltd.</w:t>
            </w:r>
          </w:p>
        </w:tc>
        <w:tc>
          <w:tcPr>
            <w:tcW w:w="16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3"/>
                <w:szCs w:val="13"/>
                <w:color w:val="auto"/>
              </w:rPr>
              <w:t>China</w:t>
            </w:r>
          </w:p>
        </w:tc>
        <w:tc>
          <w:tcPr>
            <w:tcW w:w="26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Non Conformant</w:t>
            </w:r>
          </w:p>
        </w:tc>
      </w:tr>
      <w:tr>
        <w:trPr>
          <w:trHeight w:val="178"/>
        </w:trPr>
        <w:tc>
          <w:tcPr>
            <w:tcW w:w="66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Tungsten</w:t>
            </w:r>
          </w:p>
        </w:tc>
        <w:tc>
          <w:tcPr>
            <w:tcW w:w="7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CID003612</w:t>
            </w:r>
          </w:p>
        </w:tc>
        <w:tc>
          <w:tcPr>
            <w:tcW w:w="46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OOO “Technolom” 2</w:t>
            </w:r>
          </w:p>
        </w:tc>
        <w:tc>
          <w:tcPr>
            <w:tcW w:w="16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3"/>
                <w:szCs w:val="13"/>
                <w:color w:val="auto"/>
              </w:rPr>
              <w:t>Russian Federation</w:t>
            </w:r>
          </w:p>
        </w:tc>
        <w:tc>
          <w:tcPr>
            <w:tcW w:w="26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RMI Due Diligence Review - Unable to Proceed</w:t>
            </w:r>
          </w:p>
        </w:tc>
      </w:tr>
      <w:tr>
        <w:trPr>
          <w:trHeight w:val="178"/>
        </w:trPr>
        <w:tc>
          <w:tcPr>
            <w:tcW w:w="66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Tungsten</w:t>
            </w:r>
          </w:p>
        </w:tc>
        <w:tc>
          <w:tcPr>
            <w:tcW w:w="7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CID003614</w:t>
            </w:r>
          </w:p>
        </w:tc>
        <w:tc>
          <w:tcPr>
            <w:tcW w:w="46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OOO “Technolom” 1</w:t>
            </w:r>
          </w:p>
        </w:tc>
        <w:tc>
          <w:tcPr>
            <w:tcW w:w="16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3"/>
                <w:szCs w:val="13"/>
                <w:color w:val="auto"/>
              </w:rPr>
              <w:t>Russian Federation</w:t>
            </w:r>
          </w:p>
        </w:tc>
        <w:tc>
          <w:tcPr>
            <w:tcW w:w="26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RMI Due Diligence Review - Unable to Proceed</w:t>
            </w:r>
          </w:p>
        </w:tc>
      </w:tr>
      <w:tr>
        <w:trPr>
          <w:trHeight w:val="396"/>
        </w:trPr>
        <w:tc>
          <w:tcPr>
            <w:tcW w:w="12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46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240" w:type="dxa"/>
            <w:vAlign w:val="bottom"/>
          </w:tcPr>
          <w:p>
            <w:pPr>
              <w:spacing w:after="0"/>
              <w:rPr>
                <w:sz w:val="24"/>
                <w:szCs w:val="24"/>
                <w:color w:val="auto"/>
              </w:rPr>
            </w:pPr>
          </w:p>
        </w:tc>
      </w:tr>
    </w:tbl>
    <w:p>
      <w:pPr>
        <w:sectPr>
          <w:pgSz w:w="11900" w:h="16838" w:orient="portrait"/>
          <w:cols w:equalWidth="0" w:num="1">
            <w:col w:w="10320"/>
          </w:cols>
          <w:pgMar w:left="1340" w:top="753" w:right="239" w:bottom="1440" w:gutter="0" w:footer="0" w:header="0"/>
        </w:sectPr>
      </w:pPr>
    </w:p>
    <w:bookmarkStart w:id="21" w:name="page22"/>
    <w:bookmarkEnd w:id="21"/>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98"/>
        </w:trPr>
        <w:tc>
          <w:tcPr>
            <w:tcW w:w="660" w:type="dxa"/>
            <w:vAlign w:val="bottom"/>
            <w:tcBorders>
              <w:top w:val="single" w:sz="8" w:color="auto"/>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Gold</w:t>
            </w:r>
          </w:p>
        </w:tc>
        <w:tc>
          <w:tcPr>
            <w:tcW w:w="78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CID003615</w:t>
            </w:r>
          </w:p>
        </w:tc>
        <w:tc>
          <w:tcPr>
            <w:tcW w:w="572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WEEEREFINING</w:t>
            </w:r>
          </w:p>
        </w:tc>
        <w:tc>
          <w:tcPr>
            <w:tcW w:w="2100" w:type="dxa"/>
            <w:vAlign w:val="bottom"/>
            <w:tcBorders>
              <w:top w:val="single" w:sz="8" w:color="auto"/>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France</w:t>
            </w:r>
          </w:p>
        </w:tc>
        <w:tc>
          <w:tcPr>
            <w:tcW w:w="106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Non Conformant</w:t>
            </w:r>
          </w:p>
        </w:tc>
      </w:tr>
      <w:tr>
        <w:trPr>
          <w:trHeight w:val="178"/>
        </w:trPr>
        <w:tc>
          <w:tcPr>
            <w:tcW w:w="66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Gold</w:t>
            </w:r>
          </w:p>
        </w:tc>
        <w:tc>
          <w:tcPr>
            <w:tcW w:w="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CID003641</w:t>
            </w:r>
          </w:p>
        </w:tc>
        <w:tc>
          <w:tcPr>
            <w:tcW w:w="5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Gold by Gold Colombia</w:t>
            </w:r>
          </w:p>
        </w:tc>
        <w:tc>
          <w:tcPr>
            <w:tcW w:w="210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Colombia</w:t>
            </w:r>
          </w:p>
        </w:tc>
        <w:tc>
          <w:tcPr>
            <w:tcW w:w="10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Conformant</w:t>
            </w:r>
          </w:p>
        </w:tc>
      </w:tr>
      <w:tr>
        <w:trPr>
          <w:trHeight w:val="178"/>
        </w:trPr>
        <w:tc>
          <w:tcPr>
            <w:tcW w:w="66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Tungsten</w:t>
            </w:r>
          </w:p>
        </w:tc>
        <w:tc>
          <w:tcPr>
            <w:tcW w:w="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CID003662</w:t>
            </w:r>
          </w:p>
        </w:tc>
        <w:tc>
          <w:tcPr>
            <w:tcW w:w="5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YUDU ANSHENG TUNGSTEN CO., LTD.</w:t>
            </w:r>
          </w:p>
        </w:tc>
        <w:tc>
          <w:tcPr>
            <w:tcW w:w="210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China</w:t>
            </w:r>
          </w:p>
        </w:tc>
        <w:tc>
          <w:tcPr>
            <w:tcW w:w="10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99"/>
              </w:rPr>
              <w:t>Outreach Required</w:t>
            </w:r>
          </w:p>
        </w:tc>
      </w:tr>
      <w:tr>
        <w:trPr>
          <w:trHeight w:val="178"/>
        </w:trPr>
        <w:tc>
          <w:tcPr>
            <w:tcW w:w="66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Gold</w:t>
            </w:r>
          </w:p>
        </w:tc>
        <w:tc>
          <w:tcPr>
            <w:tcW w:w="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CID003663</w:t>
            </w:r>
          </w:p>
        </w:tc>
        <w:tc>
          <w:tcPr>
            <w:tcW w:w="5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Dongwu Gold Group</w:t>
            </w:r>
          </w:p>
        </w:tc>
        <w:tc>
          <w:tcPr>
            <w:tcW w:w="210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China</w:t>
            </w:r>
          </w:p>
        </w:tc>
        <w:tc>
          <w:tcPr>
            <w:tcW w:w="10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99"/>
              </w:rPr>
              <w:t>Outreach Required</w:t>
            </w:r>
          </w:p>
        </w:tc>
      </w:tr>
      <w:tr>
        <w:trPr>
          <w:trHeight w:val="178"/>
        </w:trPr>
        <w:tc>
          <w:tcPr>
            <w:tcW w:w="66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Gold</w:t>
            </w:r>
          </w:p>
        </w:tc>
        <w:tc>
          <w:tcPr>
            <w:tcW w:w="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CID003666</w:t>
            </w:r>
          </w:p>
        </w:tc>
        <w:tc>
          <w:tcPr>
            <w:tcW w:w="5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Sam Precious Metals</w:t>
            </w:r>
          </w:p>
        </w:tc>
        <w:tc>
          <w:tcPr>
            <w:tcW w:w="210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United Arab Emirates</w:t>
            </w:r>
          </w:p>
        </w:tc>
        <w:tc>
          <w:tcPr>
            <w:tcW w:w="10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99"/>
              </w:rPr>
              <w:t>Outreach Required</w:t>
            </w:r>
          </w:p>
        </w:tc>
      </w:tr>
      <w:tr>
        <w:trPr>
          <w:trHeight w:val="178"/>
        </w:trPr>
        <w:tc>
          <w:tcPr>
            <w:tcW w:w="66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Gold</w:t>
            </w:r>
          </w:p>
        </w:tc>
        <w:tc>
          <w:tcPr>
            <w:tcW w:w="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CID003690</w:t>
            </w:r>
          </w:p>
        </w:tc>
        <w:tc>
          <w:tcPr>
            <w:tcW w:w="5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NOBLE METAL SERVICES</w:t>
            </w:r>
          </w:p>
        </w:tc>
        <w:tc>
          <w:tcPr>
            <w:tcW w:w="210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United States Of America</w:t>
            </w:r>
          </w:p>
        </w:tc>
        <w:tc>
          <w:tcPr>
            <w:tcW w:w="10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99"/>
              </w:rPr>
              <w:t>Outreach Required</w:t>
            </w:r>
          </w:p>
        </w:tc>
      </w:tr>
      <w:tr>
        <w:trPr>
          <w:trHeight w:val="178"/>
        </w:trPr>
        <w:tc>
          <w:tcPr>
            <w:tcW w:w="66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Tin</w:t>
            </w:r>
          </w:p>
        </w:tc>
        <w:tc>
          <w:tcPr>
            <w:tcW w:w="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CID003868</w:t>
            </w:r>
          </w:p>
        </w:tc>
        <w:tc>
          <w:tcPr>
            <w:tcW w:w="5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PT Putera Sarana Shakti (PT PSS)</w:t>
            </w:r>
          </w:p>
        </w:tc>
        <w:tc>
          <w:tcPr>
            <w:tcW w:w="210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Indonesia</w:t>
            </w:r>
          </w:p>
        </w:tc>
        <w:tc>
          <w:tcPr>
            <w:tcW w:w="10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Conformant</w:t>
            </w:r>
          </w:p>
        </w:tc>
      </w:tr>
      <w:tr>
        <w:trPr>
          <w:trHeight w:val="178"/>
        </w:trPr>
        <w:tc>
          <w:tcPr>
            <w:tcW w:w="66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Tantalum</w:t>
            </w:r>
          </w:p>
        </w:tc>
        <w:tc>
          <w:tcPr>
            <w:tcW w:w="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CID003926</w:t>
            </w:r>
          </w:p>
        </w:tc>
        <w:tc>
          <w:tcPr>
            <w:tcW w:w="5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5D Production OU</w:t>
            </w:r>
          </w:p>
        </w:tc>
        <w:tc>
          <w:tcPr>
            <w:tcW w:w="210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Estonia</w:t>
            </w:r>
          </w:p>
        </w:tc>
        <w:tc>
          <w:tcPr>
            <w:tcW w:w="10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99"/>
              </w:rPr>
              <w:t>Outreach Required</w:t>
            </w:r>
          </w:p>
        </w:tc>
      </w:tr>
      <w:tr>
        <w:trPr>
          <w:trHeight w:val="178"/>
        </w:trPr>
        <w:tc>
          <w:tcPr>
            <w:tcW w:w="66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Tungsten</w:t>
            </w:r>
          </w:p>
        </w:tc>
        <w:tc>
          <w:tcPr>
            <w:tcW w:w="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CID003993</w:t>
            </w:r>
          </w:p>
        </w:tc>
        <w:tc>
          <w:tcPr>
            <w:tcW w:w="5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Tungsten Vietnam Joint Stock Company</w:t>
            </w:r>
          </w:p>
        </w:tc>
        <w:tc>
          <w:tcPr>
            <w:tcW w:w="210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Viet Nam</w:t>
            </w:r>
          </w:p>
        </w:tc>
        <w:tc>
          <w:tcPr>
            <w:tcW w:w="10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Conformant</w:t>
            </w:r>
          </w:p>
        </w:tc>
      </w:tr>
      <w:tr>
        <w:trPr>
          <w:trHeight w:val="178"/>
        </w:trPr>
        <w:tc>
          <w:tcPr>
            <w:tcW w:w="66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Gold</w:t>
            </w:r>
          </w:p>
        </w:tc>
        <w:tc>
          <w:tcPr>
            <w:tcW w:w="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CID004010</w:t>
            </w:r>
          </w:p>
        </w:tc>
        <w:tc>
          <w:tcPr>
            <w:tcW w:w="5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Coimpa Industrial LTDA</w:t>
            </w:r>
          </w:p>
        </w:tc>
        <w:tc>
          <w:tcPr>
            <w:tcW w:w="210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Brazil</w:t>
            </w:r>
          </w:p>
        </w:tc>
        <w:tc>
          <w:tcPr>
            <w:tcW w:w="10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Conformant</w:t>
            </w:r>
          </w:p>
        </w:tc>
      </w:tr>
      <w:tr>
        <w:trPr>
          <w:trHeight w:val="178"/>
        </w:trPr>
        <w:tc>
          <w:tcPr>
            <w:tcW w:w="66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Tungsten</w:t>
            </w:r>
          </w:p>
        </w:tc>
        <w:tc>
          <w:tcPr>
            <w:tcW w:w="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CID004034</w:t>
            </w:r>
          </w:p>
        </w:tc>
        <w:tc>
          <w:tcPr>
            <w:tcW w:w="5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Nam Viet Cromit Joint Stock Company</w:t>
            </w:r>
          </w:p>
        </w:tc>
        <w:tc>
          <w:tcPr>
            <w:tcW w:w="210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Viet Nam</w:t>
            </w:r>
          </w:p>
        </w:tc>
        <w:tc>
          <w:tcPr>
            <w:tcW w:w="10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99"/>
              </w:rPr>
              <w:t>Outreach Required</w:t>
            </w:r>
          </w:p>
        </w:tc>
      </w:tr>
      <w:tr>
        <w:trPr>
          <w:trHeight w:val="178"/>
        </w:trPr>
        <w:tc>
          <w:tcPr>
            <w:tcW w:w="66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Tantalum</w:t>
            </w:r>
          </w:p>
        </w:tc>
        <w:tc>
          <w:tcPr>
            <w:tcW w:w="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CID004054</w:t>
            </w:r>
          </w:p>
        </w:tc>
        <w:tc>
          <w:tcPr>
            <w:tcW w:w="5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PowerX Ltd.</w:t>
            </w:r>
          </w:p>
        </w:tc>
        <w:tc>
          <w:tcPr>
            <w:tcW w:w="210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Rwanda</w:t>
            </w:r>
          </w:p>
        </w:tc>
        <w:tc>
          <w:tcPr>
            <w:tcW w:w="10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Conformant</w:t>
            </w:r>
          </w:p>
        </w:tc>
      </w:tr>
      <w:tr>
        <w:trPr>
          <w:trHeight w:val="178"/>
        </w:trPr>
        <w:tc>
          <w:tcPr>
            <w:tcW w:w="66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Tin</w:t>
            </w:r>
          </w:p>
        </w:tc>
        <w:tc>
          <w:tcPr>
            <w:tcW w:w="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CID004065</w:t>
            </w:r>
          </w:p>
        </w:tc>
        <w:tc>
          <w:tcPr>
            <w:tcW w:w="5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Mining Minerals Resources SARL</w:t>
            </w:r>
          </w:p>
        </w:tc>
        <w:tc>
          <w:tcPr>
            <w:tcW w:w="210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Congo, Democratic Republic Of The</w:t>
            </w:r>
          </w:p>
        </w:tc>
        <w:tc>
          <w:tcPr>
            <w:tcW w:w="10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Conformant</w:t>
            </w:r>
          </w:p>
        </w:tc>
      </w:tr>
      <w:tr>
        <w:trPr>
          <w:trHeight w:val="178"/>
        </w:trPr>
        <w:tc>
          <w:tcPr>
            <w:tcW w:w="66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Tungsten</w:t>
            </w:r>
          </w:p>
        </w:tc>
        <w:tc>
          <w:tcPr>
            <w:tcW w:w="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CID004397</w:t>
            </w:r>
          </w:p>
        </w:tc>
        <w:tc>
          <w:tcPr>
            <w:tcW w:w="5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Lianyou Resources Co., Ltd.</w:t>
            </w:r>
          </w:p>
        </w:tc>
        <w:tc>
          <w:tcPr>
            <w:tcW w:w="210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Taiwan, Province Of China</w:t>
            </w:r>
          </w:p>
        </w:tc>
        <w:tc>
          <w:tcPr>
            <w:tcW w:w="10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Conformant</w:t>
            </w:r>
          </w:p>
        </w:tc>
      </w:tr>
      <w:tr>
        <w:trPr>
          <w:trHeight w:val="178"/>
        </w:trPr>
        <w:tc>
          <w:tcPr>
            <w:tcW w:w="66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Tin</w:t>
            </w:r>
          </w:p>
        </w:tc>
        <w:tc>
          <w:tcPr>
            <w:tcW w:w="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CID004403</w:t>
            </w:r>
          </w:p>
        </w:tc>
        <w:tc>
          <w:tcPr>
            <w:tcW w:w="5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Takehara PVD Materials Plant / PVD Materials Division of MITSUI MINING &amp; SMELTING CO., LTD.</w:t>
            </w:r>
          </w:p>
        </w:tc>
        <w:tc>
          <w:tcPr>
            <w:tcW w:w="210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Japan</w:t>
            </w:r>
          </w:p>
        </w:tc>
        <w:tc>
          <w:tcPr>
            <w:tcW w:w="10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Conformant</w:t>
            </w:r>
          </w:p>
        </w:tc>
      </w:tr>
      <w:tr>
        <w:trPr>
          <w:trHeight w:val="178"/>
        </w:trPr>
        <w:tc>
          <w:tcPr>
            <w:tcW w:w="66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Tungsten</w:t>
            </w:r>
          </w:p>
        </w:tc>
        <w:tc>
          <w:tcPr>
            <w:tcW w:w="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CID004430</w:t>
            </w:r>
          </w:p>
        </w:tc>
        <w:tc>
          <w:tcPr>
            <w:tcW w:w="5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Shinwon Tungsten (Fujian Shanghang) Co., Ltd.</w:t>
            </w:r>
          </w:p>
        </w:tc>
        <w:tc>
          <w:tcPr>
            <w:tcW w:w="210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China</w:t>
            </w:r>
          </w:p>
        </w:tc>
        <w:tc>
          <w:tcPr>
            <w:tcW w:w="10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Conformant</w:t>
            </w:r>
          </w:p>
        </w:tc>
      </w:tr>
      <w:tr>
        <w:trPr>
          <w:trHeight w:val="178"/>
        </w:trPr>
        <w:tc>
          <w:tcPr>
            <w:tcW w:w="66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Tin</w:t>
            </w:r>
          </w:p>
        </w:tc>
        <w:tc>
          <w:tcPr>
            <w:tcW w:w="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CID004434</w:t>
            </w:r>
          </w:p>
        </w:tc>
        <w:tc>
          <w:tcPr>
            <w:tcW w:w="5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Malaysia Smelting Corporation Berhad (Port Klang)</w:t>
            </w:r>
          </w:p>
        </w:tc>
        <w:tc>
          <w:tcPr>
            <w:tcW w:w="210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Malaysia</w:t>
            </w:r>
          </w:p>
        </w:tc>
        <w:tc>
          <w:tcPr>
            <w:tcW w:w="10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Conformant</w:t>
            </w:r>
          </w:p>
        </w:tc>
      </w:tr>
      <w:tr>
        <w:trPr>
          <w:trHeight w:val="178"/>
        </w:trPr>
        <w:tc>
          <w:tcPr>
            <w:tcW w:w="66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Gold</w:t>
            </w:r>
          </w:p>
        </w:tc>
        <w:tc>
          <w:tcPr>
            <w:tcW w:w="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CID004435</w:t>
            </w:r>
          </w:p>
        </w:tc>
        <w:tc>
          <w:tcPr>
            <w:tcW w:w="5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SHENZHEN JINJUNWEI RESOURCE COMPREHENSIVE DEVELOPMENT CO., LTD.</w:t>
            </w:r>
          </w:p>
        </w:tc>
        <w:tc>
          <w:tcPr>
            <w:tcW w:w="210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China</w:t>
            </w:r>
          </w:p>
        </w:tc>
        <w:tc>
          <w:tcPr>
            <w:tcW w:w="10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99"/>
              </w:rPr>
              <w:t>Outreach Required</w:t>
            </w:r>
          </w:p>
        </w:tc>
      </w:tr>
      <w:tr>
        <w:trPr>
          <w:trHeight w:val="178"/>
        </w:trPr>
        <w:tc>
          <w:tcPr>
            <w:tcW w:w="66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Tungsten</w:t>
            </w:r>
          </w:p>
        </w:tc>
        <w:tc>
          <w:tcPr>
            <w:tcW w:w="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CID004438</w:t>
            </w:r>
          </w:p>
        </w:tc>
        <w:tc>
          <w:tcPr>
            <w:tcW w:w="5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Philippine Carreytech Metal Corp.</w:t>
            </w:r>
          </w:p>
        </w:tc>
        <w:tc>
          <w:tcPr>
            <w:tcW w:w="210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Philippines</w:t>
            </w:r>
          </w:p>
        </w:tc>
        <w:tc>
          <w:tcPr>
            <w:tcW w:w="10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Non Conformant</w:t>
            </w:r>
          </w:p>
        </w:tc>
      </w:tr>
      <w:tr>
        <w:trPr>
          <w:trHeight w:val="178"/>
        </w:trPr>
        <w:tc>
          <w:tcPr>
            <w:tcW w:w="66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Gold</w:t>
            </w:r>
          </w:p>
        </w:tc>
        <w:tc>
          <w:tcPr>
            <w:tcW w:w="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CID004491</w:t>
            </w:r>
          </w:p>
        </w:tc>
        <w:tc>
          <w:tcPr>
            <w:tcW w:w="5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TITAN COMPANY LIMITED, JEWELLERY DIVISION</w:t>
            </w:r>
          </w:p>
        </w:tc>
        <w:tc>
          <w:tcPr>
            <w:tcW w:w="210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India</w:t>
            </w:r>
          </w:p>
        </w:tc>
        <w:tc>
          <w:tcPr>
            <w:tcW w:w="10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Non Conformant</w:t>
            </w:r>
          </w:p>
        </w:tc>
      </w:tr>
      <w:tr>
        <w:trPr>
          <w:trHeight w:val="178"/>
        </w:trPr>
        <w:tc>
          <w:tcPr>
            <w:tcW w:w="66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Gold</w:t>
            </w:r>
          </w:p>
        </w:tc>
        <w:tc>
          <w:tcPr>
            <w:tcW w:w="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CID004506</w:t>
            </w:r>
          </w:p>
        </w:tc>
        <w:tc>
          <w:tcPr>
            <w:tcW w:w="5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GG Refinery Ltd.</w:t>
            </w:r>
          </w:p>
        </w:tc>
        <w:tc>
          <w:tcPr>
            <w:tcW w:w="210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Tanzania, United Republic Of</w:t>
            </w:r>
          </w:p>
        </w:tc>
        <w:tc>
          <w:tcPr>
            <w:tcW w:w="10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Conformant</w:t>
            </w:r>
          </w:p>
        </w:tc>
      </w:tr>
      <w:tr>
        <w:trPr>
          <w:trHeight w:val="178"/>
        </w:trPr>
        <w:tc>
          <w:tcPr>
            <w:tcW w:w="66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Tungsten</w:t>
            </w:r>
          </w:p>
        </w:tc>
        <w:tc>
          <w:tcPr>
            <w:tcW w:w="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CID004619</w:t>
            </w:r>
          </w:p>
        </w:tc>
        <w:tc>
          <w:tcPr>
            <w:tcW w:w="5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KENEE MINING VIETNAM COMPANY LIMITED</w:t>
            </w:r>
          </w:p>
        </w:tc>
        <w:tc>
          <w:tcPr>
            <w:tcW w:w="210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Viet Nam</w:t>
            </w:r>
          </w:p>
        </w:tc>
        <w:tc>
          <w:tcPr>
            <w:tcW w:w="10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Conformant</w:t>
            </w:r>
          </w:p>
        </w:tc>
      </w:tr>
      <w:tr>
        <w:trPr>
          <w:trHeight w:val="178"/>
        </w:trPr>
        <w:tc>
          <w:tcPr>
            <w:tcW w:w="66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Tin</w:t>
            </w:r>
          </w:p>
        </w:tc>
        <w:tc>
          <w:tcPr>
            <w:tcW w:w="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CID004692</w:t>
            </w:r>
          </w:p>
        </w:tc>
        <w:tc>
          <w:tcPr>
            <w:tcW w:w="5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RIKAYAA GREENTECH PRIVATE LIMITED</w:t>
            </w:r>
          </w:p>
        </w:tc>
        <w:tc>
          <w:tcPr>
            <w:tcW w:w="210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India</w:t>
            </w:r>
          </w:p>
        </w:tc>
        <w:tc>
          <w:tcPr>
            <w:tcW w:w="10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99"/>
              </w:rPr>
              <w:t>Outreach Required</w:t>
            </w:r>
          </w:p>
        </w:tc>
      </w:tr>
      <w:tr>
        <w:trPr>
          <w:trHeight w:val="178"/>
        </w:trPr>
        <w:tc>
          <w:tcPr>
            <w:tcW w:w="66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Gold</w:t>
            </w:r>
          </w:p>
        </w:tc>
        <w:tc>
          <w:tcPr>
            <w:tcW w:w="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CID004697</w:t>
            </w:r>
          </w:p>
        </w:tc>
        <w:tc>
          <w:tcPr>
            <w:tcW w:w="5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Attero Recycling Pvt Ltd</w:t>
            </w:r>
          </w:p>
        </w:tc>
        <w:tc>
          <w:tcPr>
            <w:tcW w:w="210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India</w:t>
            </w:r>
          </w:p>
        </w:tc>
        <w:tc>
          <w:tcPr>
            <w:tcW w:w="10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99"/>
              </w:rPr>
              <w:t>Outreach Required</w:t>
            </w:r>
          </w:p>
        </w:tc>
      </w:tr>
      <w:tr>
        <w:trPr>
          <w:trHeight w:val="178"/>
        </w:trPr>
        <w:tc>
          <w:tcPr>
            <w:tcW w:w="66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Gold</w:t>
            </w:r>
          </w:p>
        </w:tc>
        <w:tc>
          <w:tcPr>
            <w:tcW w:w="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CID004714</w:t>
            </w:r>
          </w:p>
        </w:tc>
        <w:tc>
          <w:tcPr>
            <w:tcW w:w="5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Impala Platinum - Platinum Metals Refinery (PMR)</w:t>
            </w:r>
          </w:p>
        </w:tc>
        <w:tc>
          <w:tcPr>
            <w:tcW w:w="210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South Africa</w:t>
            </w:r>
          </w:p>
        </w:tc>
        <w:tc>
          <w:tcPr>
            <w:tcW w:w="10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Conformant</w:t>
            </w:r>
          </w:p>
        </w:tc>
      </w:tr>
      <w:tr>
        <w:trPr>
          <w:trHeight w:val="178"/>
        </w:trPr>
        <w:tc>
          <w:tcPr>
            <w:tcW w:w="66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Tin</w:t>
            </w:r>
          </w:p>
        </w:tc>
        <w:tc>
          <w:tcPr>
            <w:tcW w:w="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CID004724</w:t>
            </w:r>
          </w:p>
        </w:tc>
        <w:tc>
          <w:tcPr>
            <w:tcW w:w="5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Woodcross Smelting Company Limited</w:t>
            </w:r>
          </w:p>
        </w:tc>
        <w:tc>
          <w:tcPr>
            <w:tcW w:w="210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Uganda</w:t>
            </w:r>
          </w:p>
        </w:tc>
        <w:tc>
          <w:tcPr>
            <w:tcW w:w="10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Conformant</w:t>
            </w:r>
          </w:p>
        </w:tc>
      </w:tr>
      <w:tr>
        <w:trPr>
          <w:trHeight w:val="178"/>
        </w:trPr>
        <w:tc>
          <w:tcPr>
            <w:tcW w:w="66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Tin</w:t>
            </w:r>
          </w:p>
        </w:tc>
        <w:tc>
          <w:tcPr>
            <w:tcW w:w="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CID004754</w:t>
            </w:r>
          </w:p>
        </w:tc>
        <w:tc>
          <w:tcPr>
            <w:tcW w:w="5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Global Advanced Metals Greenbushes Pty Ltd.</w:t>
            </w:r>
          </w:p>
        </w:tc>
        <w:tc>
          <w:tcPr>
            <w:tcW w:w="210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Australia</w:t>
            </w:r>
          </w:p>
        </w:tc>
        <w:tc>
          <w:tcPr>
            <w:tcW w:w="10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Conformant</w:t>
            </w:r>
          </w:p>
        </w:tc>
      </w:tr>
      <w:tr>
        <w:trPr>
          <w:trHeight w:val="178"/>
        </w:trPr>
        <w:tc>
          <w:tcPr>
            <w:tcW w:w="66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Gold</w:t>
            </w:r>
          </w:p>
        </w:tc>
        <w:tc>
          <w:tcPr>
            <w:tcW w:w="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CID004755</w:t>
            </w:r>
          </w:p>
        </w:tc>
        <w:tc>
          <w:tcPr>
            <w:tcW w:w="5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Elite Industech Co., Ltd.</w:t>
            </w:r>
          </w:p>
        </w:tc>
        <w:tc>
          <w:tcPr>
            <w:tcW w:w="210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Taiwan, Province Of China</w:t>
            </w:r>
          </w:p>
        </w:tc>
        <w:tc>
          <w:tcPr>
            <w:tcW w:w="10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Conformant</w:t>
            </w:r>
          </w:p>
        </w:tc>
      </w:tr>
      <w:tr>
        <w:trPr>
          <w:trHeight w:val="178"/>
        </w:trPr>
        <w:tc>
          <w:tcPr>
            <w:tcW w:w="66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Tin</w:t>
            </w:r>
          </w:p>
        </w:tc>
        <w:tc>
          <w:tcPr>
            <w:tcW w:w="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CID004796</w:t>
            </w:r>
          </w:p>
        </w:tc>
        <w:tc>
          <w:tcPr>
            <w:tcW w:w="5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Longnan Chuangyue Environmental Protection Technology Development Co., Ltd</w:t>
            </w:r>
          </w:p>
        </w:tc>
        <w:tc>
          <w:tcPr>
            <w:tcW w:w="210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China</w:t>
            </w:r>
          </w:p>
        </w:tc>
        <w:tc>
          <w:tcPr>
            <w:tcW w:w="10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99"/>
              </w:rPr>
              <w:t>Outreach Required</w:t>
            </w:r>
          </w:p>
        </w:tc>
      </w:tr>
      <w:tr>
        <w:trPr>
          <w:trHeight w:val="178"/>
        </w:trPr>
        <w:tc>
          <w:tcPr>
            <w:tcW w:w="66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Tungsten</w:t>
            </w:r>
          </w:p>
        </w:tc>
        <w:tc>
          <w:tcPr>
            <w:tcW w:w="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CID004797</w:t>
            </w:r>
          </w:p>
        </w:tc>
        <w:tc>
          <w:tcPr>
            <w:tcW w:w="5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Philippine Bonway Manufacturing Industrial Corporation</w:t>
            </w:r>
          </w:p>
        </w:tc>
        <w:tc>
          <w:tcPr>
            <w:tcW w:w="210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Philippines</w:t>
            </w:r>
          </w:p>
        </w:tc>
        <w:tc>
          <w:tcPr>
            <w:tcW w:w="10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Conformant</w:t>
            </w:r>
          </w:p>
        </w:tc>
      </w:tr>
      <w:tr>
        <w:trPr>
          <w:trHeight w:val="178"/>
        </w:trPr>
        <w:tc>
          <w:tcPr>
            <w:tcW w:w="66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Tantalum</w:t>
            </w:r>
          </w:p>
        </w:tc>
        <w:tc>
          <w:tcPr>
            <w:tcW w:w="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CID004813</w:t>
            </w:r>
          </w:p>
        </w:tc>
        <w:tc>
          <w:tcPr>
            <w:tcW w:w="5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Jiangxi Sanshi Nonferrous Metals Co., Ltd</w:t>
            </w:r>
          </w:p>
        </w:tc>
        <w:tc>
          <w:tcPr>
            <w:tcW w:w="210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China</w:t>
            </w:r>
          </w:p>
        </w:tc>
        <w:tc>
          <w:tcPr>
            <w:tcW w:w="10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Active</w:t>
            </w:r>
          </w:p>
        </w:tc>
      </w:tr>
      <w:tr>
        <w:trPr>
          <w:trHeight w:val="396"/>
        </w:trPr>
        <w:tc>
          <w:tcPr>
            <w:tcW w:w="12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572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r>
    </w:tbl>
    <w:p>
      <w:pPr>
        <w:sectPr>
          <w:pgSz w:w="11900" w:h="16838" w:orient="portrait"/>
          <w:cols w:equalWidth="0" w:num="1">
            <w:col w:w="10320"/>
          </w:cols>
          <w:pgMar w:left="1340" w:top="753" w:right="239" w:bottom="1440" w:gutter="0" w:footer="0" w:header="0"/>
        </w:sectPr>
      </w:pPr>
    </w:p>
    <w:bookmarkStart w:id="22" w:name="page23"/>
    <w:bookmarkEnd w:id="2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98"/>
        </w:trPr>
        <w:tc>
          <w:tcPr>
            <w:tcW w:w="700" w:type="dxa"/>
            <w:vAlign w:val="bottom"/>
            <w:tcBorders>
              <w:top w:val="single" w:sz="8" w:color="auto"/>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Gold</w:t>
            </w:r>
          </w:p>
        </w:tc>
        <w:tc>
          <w:tcPr>
            <w:tcW w:w="84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CID005006</w:t>
            </w:r>
          </w:p>
        </w:tc>
        <w:tc>
          <w:tcPr>
            <w:tcW w:w="328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Gasabo Gold Refinery Ltd</w:t>
            </w:r>
          </w:p>
        </w:tc>
        <w:tc>
          <w:tcPr>
            <w:tcW w:w="166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Rwanda</w:t>
            </w:r>
          </w:p>
        </w:tc>
        <w:tc>
          <w:tcPr>
            <w:tcW w:w="2720" w:type="dxa"/>
            <w:vAlign w:val="bottom"/>
            <w:tcBorders>
              <w:top w:val="single" w:sz="8" w:color="auto"/>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RMI Due Diligence Review - Unable to Proceed</w:t>
            </w:r>
          </w:p>
        </w:tc>
      </w:tr>
      <w:tr>
        <w:trPr>
          <w:trHeight w:val="178"/>
        </w:trPr>
        <w:tc>
          <w:tcPr>
            <w:tcW w:w="70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Gold</w:t>
            </w:r>
          </w:p>
        </w:tc>
        <w:tc>
          <w:tcPr>
            <w:tcW w:w="8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CID005014</w:t>
            </w:r>
          </w:p>
        </w:tc>
        <w:tc>
          <w:tcPr>
            <w:tcW w:w="32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Minera Titán del Perú SRL (MTP) - Belen Plant</w:t>
            </w:r>
          </w:p>
        </w:tc>
        <w:tc>
          <w:tcPr>
            <w:tcW w:w="16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Peru</w:t>
            </w:r>
          </w:p>
        </w:tc>
        <w:tc>
          <w:tcPr>
            <w:tcW w:w="272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Non Conformant</w:t>
            </w:r>
          </w:p>
        </w:tc>
      </w:tr>
      <w:tr>
        <w:trPr>
          <w:trHeight w:val="178"/>
        </w:trPr>
        <w:tc>
          <w:tcPr>
            <w:tcW w:w="70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Tin</w:t>
            </w:r>
          </w:p>
        </w:tc>
        <w:tc>
          <w:tcPr>
            <w:tcW w:w="8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CID005189</w:t>
            </w:r>
          </w:p>
        </w:tc>
        <w:tc>
          <w:tcPr>
            <w:tcW w:w="32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P Kay Metal, Inc</w:t>
            </w:r>
          </w:p>
        </w:tc>
        <w:tc>
          <w:tcPr>
            <w:tcW w:w="16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United States Of America</w:t>
            </w:r>
          </w:p>
        </w:tc>
        <w:tc>
          <w:tcPr>
            <w:tcW w:w="272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Conformant</w:t>
            </w:r>
          </w:p>
        </w:tc>
      </w:tr>
      <w:tr>
        <w:trPr>
          <w:trHeight w:val="178"/>
        </w:trPr>
        <w:tc>
          <w:tcPr>
            <w:tcW w:w="70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Tin</w:t>
            </w:r>
          </w:p>
        </w:tc>
        <w:tc>
          <w:tcPr>
            <w:tcW w:w="8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CID000309</w:t>
            </w:r>
          </w:p>
        </w:tc>
        <w:tc>
          <w:tcPr>
            <w:tcW w:w="32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PT Aries Kencana Sejahtera</w:t>
            </w:r>
          </w:p>
        </w:tc>
        <w:tc>
          <w:tcPr>
            <w:tcW w:w="16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Indonesia</w:t>
            </w:r>
          </w:p>
        </w:tc>
        <w:tc>
          <w:tcPr>
            <w:tcW w:w="272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In Communication</w:t>
            </w:r>
          </w:p>
        </w:tc>
      </w:tr>
      <w:tr>
        <w:trPr>
          <w:trHeight w:val="178"/>
        </w:trPr>
        <w:tc>
          <w:tcPr>
            <w:tcW w:w="70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Tin</w:t>
            </w:r>
          </w:p>
        </w:tc>
        <w:tc>
          <w:tcPr>
            <w:tcW w:w="8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CID001399</w:t>
            </w:r>
          </w:p>
        </w:tc>
        <w:tc>
          <w:tcPr>
            <w:tcW w:w="32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PT Artha Cipta Langgeng</w:t>
            </w:r>
          </w:p>
        </w:tc>
        <w:tc>
          <w:tcPr>
            <w:tcW w:w="16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Indonesia</w:t>
            </w:r>
          </w:p>
        </w:tc>
        <w:tc>
          <w:tcPr>
            <w:tcW w:w="272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Active</w:t>
            </w:r>
          </w:p>
        </w:tc>
      </w:tr>
      <w:tr>
        <w:trPr>
          <w:trHeight w:val="178"/>
        </w:trPr>
        <w:tc>
          <w:tcPr>
            <w:tcW w:w="70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Gold</w:t>
            </w:r>
          </w:p>
        </w:tc>
        <w:tc>
          <w:tcPr>
            <w:tcW w:w="8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CID004704</w:t>
            </w:r>
          </w:p>
        </w:tc>
        <w:tc>
          <w:tcPr>
            <w:tcW w:w="32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SOLEIL METALS (Chala One Plant)</w:t>
            </w:r>
          </w:p>
        </w:tc>
        <w:tc>
          <w:tcPr>
            <w:tcW w:w="16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Peru</w:t>
            </w:r>
          </w:p>
        </w:tc>
        <w:tc>
          <w:tcPr>
            <w:tcW w:w="272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Active</w:t>
            </w:r>
          </w:p>
        </w:tc>
      </w:tr>
      <w:tr>
        <w:trPr>
          <w:trHeight w:val="178"/>
        </w:trPr>
        <w:tc>
          <w:tcPr>
            <w:tcW w:w="70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Gold</w:t>
            </w:r>
          </w:p>
        </w:tc>
        <w:tc>
          <w:tcPr>
            <w:tcW w:w="8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CID004705</w:t>
            </w:r>
          </w:p>
        </w:tc>
        <w:tc>
          <w:tcPr>
            <w:tcW w:w="32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SOLEIL METALS (YAKARI Plant)</w:t>
            </w:r>
          </w:p>
        </w:tc>
        <w:tc>
          <w:tcPr>
            <w:tcW w:w="16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Peru</w:t>
            </w:r>
          </w:p>
        </w:tc>
        <w:tc>
          <w:tcPr>
            <w:tcW w:w="272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Active</w:t>
            </w:r>
          </w:p>
        </w:tc>
      </w:tr>
      <w:tr>
        <w:trPr>
          <w:trHeight w:val="178"/>
        </w:trPr>
        <w:tc>
          <w:tcPr>
            <w:tcW w:w="70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Tungsten</w:t>
            </w:r>
          </w:p>
        </w:tc>
        <w:tc>
          <w:tcPr>
            <w:tcW w:w="8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CID005012</w:t>
            </w:r>
          </w:p>
        </w:tc>
        <w:tc>
          <w:tcPr>
            <w:tcW w:w="32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Jing Yuan Tungsten Technology Co., Ltd.</w:t>
            </w:r>
          </w:p>
        </w:tc>
        <w:tc>
          <w:tcPr>
            <w:tcW w:w="16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Taiwan, Province Of China</w:t>
            </w:r>
          </w:p>
        </w:tc>
        <w:tc>
          <w:tcPr>
            <w:tcW w:w="272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Conformant</w:t>
            </w:r>
          </w:p>
        </w:tc>
      </w:tr>
      <w:tr>
        <w:trPr>
          <w:trHeight w:val="178"/>
        </w:trPr>
        <w:tc>
          <w:tcPr>
            <w:tcW w:w="70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Tungsten</w:t>
            </w:r>
          </w:p>
        </w:tc>
        <w:tc>
          <w:tcPr>
            <w:tcW w:w="8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CID002660</w:t>
            </w:r>
          </w:p>
        </w:tc>
        <w:tc>
          <w:tcPr>
            <w:tcW w:w="32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Uzbek Refractory and Heat-Resistant Metals</w:t>
            </w:r>
          </w:p>
        </w:tc>
        <w:tc>
          <w:tcPr>
            <w:tcW w:w="16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Uzbekistan</w:t>
            </w:r>
          </w:p>
        </w:tc>
        <w:tc>
          <w:tcPr>
            <w:tcW w:w="272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Active</w:t>
            </w:r>
          </w:p>
        </w:tc>
      </w:tr>
      <w:tr>
        <w:trPr>
          <w:trHeight w:val="178"/>
        </w:trPr>
        <w:tc>
          <w:tcPr>
            <w:tcW w:w="70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Tin</w:t>
            </w:r>
          </w:p>
        </w:tc>
        <w:tc>
          <w:tcPr>
            <w:tcW w:w="8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CID003504</w:t>
            </w:r>
          </w:p>
        </w:tc>
        <w:tc>
          <w:tcPr>
            <w:tcW w:w="32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Conecsus LLC</w:t>
            </w:r>
          </w:p>
        </w:tc>
        <w:tc>
          <w:tcPr>
            <w:tcW w:w="16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0</w:t>
            </w:r>
          </w:p>
        </w:tc>
        <w:tc>
          <w:tcPr>
            <w:tcW w:w="272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Active</w:t>
            </w:r>
          </w:p>
        </w:tc>
      </w:tr>
      <w:tr>
        <w:trPr>
          <w:trHeight w:val="178"/>
        </w:trPr>
        <w:tc>
          <w:tcPr>
            <w:tcW w:w="70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Tungsten</w:t>
            </w:r>
          </w:p>
        </w:tc>
        <w:tc>
          <w:tcPr>
            <w:tcW w:w="8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CID005068</w:t>
            </w:r>
          </w:p>
        </w:tc>
        <w:tc>
          <w:tcPr>
            <w:tcW w:w="32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S.P.T. spol.s r.o.</w:t>
            </w:r>
          </w:p>
        </w:tc>
        <w:tc>
          <w:tcPr>
            <w:tcW w:w="16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0</w:t>
            </w:r>
          </w:p>
        </w:tc>
        <w:tc>
          <w:tcPr>
            <w:tcW w:w="272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Conformant</w:t>
            </w:r>
          </w:p>
        </w:tc>
      </w:tr>
      <w:tr>
        <w:trPr>
          <w:trHeight w:val="178"/>
        </w:trPr>
        <w:tc>
          <w:tcPr>
            <w:tcW w:w="70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Tungsten</w:t>
            </w:r>
          </w:p>
        </w:tc>
        <w:tc>
          <w:tcPr>
            <w:tcW w:w="8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CID005248</w:t>
            </w:r>
          </w:p>
        </w:tc>
        <w:tc>
          <w:tcPr>
            <w:tcW w:w="32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Tungamoy Metals Inc.</w:t>
            </w:r>
          </w:p>
        </w:tc>
        <w:tc>
          <w:tcPr>
            <w:tcW w:w="16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Korea, Republic Of</w:t>
            </w:r>
          </w:p>
        </w:tc>
        <w:tc>
          <w:tcPr>
            <w:tcW w:w="272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Conformant</w:t>
            </w:r>
          </w:p>
        </w:tc>
      </w:tr>
      <w:tr>
        <w:trPr>
          <w:trHeight w:val="178"/>
        </w:trPr>
        <w:tc>
          <w:tcPr>
            <w:tcW w:w="70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Tin</w:t>
            </w:r>
          </w:p>
        </w:tc>
        <w:tc>
          <w:tcPr>
            <w:tcW w:w="8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CID004685</w:t>
            </w:r>
          </w:p>
        </w:tc>
        <w:tc>
          <w:tcPr>
            <w:tcW w:w="32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PT Mitra Graha Raya</w:t>
            </w:r>
          </w:p>
        </w:tc>
        <w:tc>
          <w:tcPr>
            <w:tcW w:w="16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Indonesia</w:t>
            </w:r>
          </w:p>
        </w:tc>
        <w:tc>
          <w:tcPr>
            <w:tcW w:w="272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In Communication</w:t>
            </w:r>
          </w:p>
        </w:tc>
      </w:tr>
      <w:tr>
        <w:trPr>
          <w:trHeight w:val="178"/>
        </w:trPr>
        <w:tc>
          <w:tcPr>
            <w:tcW w:w="70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Gold</w:t>
            </w:r>
          </w:p>
        </w:tc>
        <w:tc>
          <w:tcPr>
            <w:tcW w:w="8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CID003350</w:t>
            </w:r>
          </w:p>
        </w:tc>
        <w:tc>
          <w:tcPr>
            <w:tcW w:w="32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Atlantic Copper</w:t>
            </w:r>
          </w:p>
        </w:tc>
        <w:tc>
          <w:tcPr>
            <w:tcW w:w="16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Spain</w:t>
            </w:r>
          </w:p>
        </w:tc>
        <w:tc>
          <w:tcPr>
            <w:tcW w:w="272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Outreach Required</w:t>
            </w:r>
          </w:p>
        </w:tc>
      </w:tr>
      <w:tr>
        <w:trPr>
          <w:trHeight w:val="178"/>
        </w:trPr>
        <w:tc>
          <w:tcPr>
            <w:tcW w:w="70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Tungsten</w:t>
            </w:r>
          </w:p>
        </w:tc>
        <w:tc>
          <w:tcPr>
            <w:tcW w:w="8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CID005373</w:t>
            </w:r>
          </w:p>
        </w:tc>
        <w:tc>
          <w:tcPr>
            <w:tcW w:w="32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Geo Enterprise</w:t>
            </w:r>
          </w:p>
        </w:tc>
        <w:tc>
          <w:tcPr>
            <w:tcW w:w="16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Georgia</w:t>
            </w:r>
          </w:p>
        </w:tc>
        <w:tc>
          <w:tcPr>
            <w:tcW w:w="272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Outreach Required</w:t>
            </w:r>
          </w:p>
        </w:tc>
      </w:tr>
      <w:tr>
        <w:trPr>
          <w:trHeight w:val="178"/>
        </w:trPr>
        <w:tc>
          <w:tcPr>
            <w:tcW w:w="70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Gold</w:t>
            </w:r>
          </w:p>
        </w:tc>
        <w:tc>
          <w:tcPr>
            <w:tcW w:w="8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CID005396</w:t>
            </w:r>
          </w:p>
        </w:tc>
        <w:tc>
          <w:tcPr>
            <w:tcW w:w="32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Naoshima Smelter &amp; Refinery</w:t>
            </w:r>
          </w:p>
        </w:tc>
        <w:tc>
          <w:tcPr>
            <w:tcW w:w="16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Japan</w:t>
            </w:r>
          </w:p>
        </w:tc>
        <w:tc>
          <w:tcPr>
            <w:tcW w:w="272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Outreach Required</w:t>
            </w:r>
          </w:p>
        </w:tc>
      </w:tr>
      <w:tr>
        <w:trPr>
          <w:trHeight w:val="178"/>
        </w:trPr>
        <w:tc>
          <w:tcPr>
            <w:tcW w:w="70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Gold</w:t>
            </w:r>
          </w:p>
        </w:tc>
        <w:tc>
          <w:tcPr>
            <w:tcW w:w="8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CID005401</w:t>
            </w:r>
          </w:p>
        </w:tc>
        <w:tc>
          <w:tcPr>
            <w:tcW w:w="32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KGHM Polska Miedz S.A. Oddzial Huta Miedzi, Glogow</w:t>
            </w:r>
          </w:p>
        </w:tc>
        <w:tc>
          <w:tcPr>
            <w:tcW w:w="16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Poland</w:t>
            </w:r>
          </w:p>
        </w:tc>
        <w:tc>
          <w:tcPr>
            <w:tcW w:w="272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Outreach Required</w:t>
            </w:r>
          </w:p>
        </w:tc>
      </w:tr>
      <w:tr>
        <w:trPr>
          <w:trHeight w:val="178"/>
        </w:trPr>
        <w:tc>
          <w:tcPr>
            <w:tcW w:w="70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Gold</w:t>
            </w:r>
          </w:p>
        </w:tc>
        <w:tc>
          <w:tcPr>
            <w:tcW w:w="8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CID005476</w:t>
            </w:r>
          </w:p>
        </w:tc>
        <w:tc>
          <w:tcPr>
            <w:tcW w:w="32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Aurubis AG, Hamburg</w:t>
            </w:r>
          </w:p>
        </w:tc>
        <w:tc>
          <w:tcPr>
            <w:tcW w:w="16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Germany</w:t>
            </w:r>
          </w:p>
        </w:tc>
        <w:tc>
          <w:tcPr>
            <w:tcW w:w="272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Outreach Required</w:t>
            </w:r>
          </w:p>
        </w:tc>
      </w:tr>
      <w:tr>
        <w:trPr>
          <w:trHeight w:val="178"/>
        </w:trPr>
        <w:tc>
          <w:tcPr>
            <w:tcW w:w="70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Gold</w:t>
            </w:r>
          </w:p>
        </w:tc>
        <w:tc>
          <w:tcPr>
            <w:tcW w:w="8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CID005522</w:t>
            </w:r>
          </w:p>
        </w:tc>
        <w:tc>
          <w:tcPr>
            <w:tcW w:w="32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ARGET SAC</w:t>
            </w:r>
          </w:p>
        </w:tc>
        <w:tc>
          <w:tcPr>
            <w:tcW w:w="16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Peru</w:t>
            </w:r>
          </w:p>
        </w:tc>
        <w:tc>
          <w:tcPr>
            <w:tcW w:w="272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In Communication</w:t>
            </w:r>
          </w:p>
        </w:tc>
      </w:tr>
      <w:tr>
        <w:trPr>
          <w:trHeight w:val="178"/>
        </w:trPr>
        <w:tc>
          <w:tcPr>
            <w:tcW w:w="70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Gold</w:t>
            </w:r>
          </w:p>
        </w:tc>
        <w:tc>
          <w:tcPr>
            <w:tcW w:w="8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CID005589</w:t>
            </w:r>
          </w:p>
        </w:tc>
        <w:tc>
          <w:tcPr>
            <w:tcW w:w="32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Boliden Harjavalta Oy</w:t>
            </w:r>
          </w:p>
        </w:tc>
        <w:tc>
          <w:tcPr>
            <w:tcW w:w="16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Finland</w:t>
            </w:r>
          </w:p>
        </w:tc>
        <w:tc>
          <w:tcPr>
            <w:tcW w:w="272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Conformant</w:t>
            </w:r>
          </w:p>
        </w:tc>
      </w:tr>
      <w:tr>
        <w:trPr>
          <w:trHeight w:val="178"/>
        </w:trPr>
        <w:tc>
          <w:tcPr>
            <w:tcW w:w="70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Gold</w:t>
            </w:r>
          </w:p>
        </w:tc>
        <w:tc>
          <w:tcPr>
            <w:tcW w:w="8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CID005614</w:t>
            </w:r>
          </w:p>
        </w:tc>
        <w:tc>
          <w:tcPr>
            <w:tcW w:w="32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Glencore Nikkelverk AS</w:t>
            </w:r>
          </w:p>
        </w:tc>
        <w:tc>
          <w:tcPr>
            <w:tcW w:w="16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Norway</w:t>
            </w:r>
          </w:p>
        </w:tc>
        <w:tc>
          <w:tcPr>
            <w:tcW w:w="272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Conformant</w:t>
            </w:r>
          </w:p>
        </w:tc>
      </w:tr>
      <w:tr>
        <w:trPr>
          <w:trHeight w:val="713"/>
        </w:trPr>
        <w:tc>
          <w:tcPr>
            <w:tcW w:w="12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9200"/>
          </w:cols>
          <w:pgMar w:left="1340" w:top="753" w:right="1359" w:bottom="1440" w:gutter="0" w:footer="0" w:header="0"/>
        </w:sectPr>
      </w:pPr>
    </w:p>
    <w:bookmarkStart w:id="23" w:name="page24"/>
    <w:bookmarkEnd w:id="23"/>
    <w:p>
      <w:pPr>
        <w:jc w:val="center"/>
        <w:ind w:right="19"/>
        <w:spacing w:after="0"/>
        <w:rPr>
          <w:sz w:val="20"/>
          <w:szCs w:val="20"/>
          <w:color w:val="auto"/>
        </w:rPr>
      </w:pPr>
      <w:r>
        <w:rPr>
          <w:rFonts w:ascii="Times New Roman" w:cs="Times New Roman" w:eastAsia="Times New Roman" w:hAnsi="Times New Roman"/>
          <w:sz w:val="13"/>
          <w:szCs w:val="13"/>
          <w:b w:val="1"/>
          <w:bCs w:val="1"/>
          <w:u w:val="single" w:color="auto"/>
          <w:color w:val="auto"/>
        </w:rPr>
        <w:t>APPENDIX B</w:t>
      </w:r>
    </w:p>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Countries of Origin</w:t>
      </w:r>
    </w:p>
    <w:p>
      <w:pPr>
        <w:spacing w:after="0" w:line="169" w:lineRule="exact"/>
        <w:rPr>
          <w:sz w:val="20"/>
          <w:szCs w:val="20"/>
          <w:color w:val="auto"/>
        </w:rPr>
      </w:pPr>
    </w:p>
    <w:p>
      <w:pPr>
        <w:ind w:left="20" w:right="59"/>
        <w:spacing w:after="0" w:line="272" w:lineRule="auto"/>
        <w:rPr>
          <w:sz w:val="20"/>
          <w:szCs w:val="20"/>
          <w:color w:val="auto"/>
        </w:rPr>
      </w:pPr>
      <w:r>
        <w:rPr>
          <w:rFonts w:ascii="Times New Roman" w:cs="Times New Roman" w:eastAsia="Times New Roman" w:hAnsi="Times New Roman"/>
          <w:sz w:val="13"/>
          <w:szCs w:val="13"/>
          <w:color w:val="auto"/>
        </w:rPr>
        <w:t>Avnet utilized data its suppliers provided on their CMRTs for the 2025 Program and relied on information provided by RBA’s RMI due diligence of smelters and refiners regarding the countries of origin and mines or locations of origin to prepare the below list. The list (1) may not include all countries that ultimately sourced the CMs in the Covered Products, and (2) may include countries that did not ultimately source CMs contained in the Covered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5709920" cy="37668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09920" cy="3766820"/>
                    </a:xfrm>
                    <a:prstGeom prst="rect">
                      <a:avLst/>
                    </a:prstGeom>
                    <a:noFill/>
                  </pic:spPr>
                </pic:pic>
              </a:graphicData>
            </a:graphic>
          </wp:anchor>
        </w:drawing>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Country of Origin (Material)</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Borders>
              <w:top w:val="single" w:sz="8" w:color="auto"/>
              <w:bottom w:val="single" w:sz="8" w:color="auto"/>
            </w:tcBorders>
          </w:tcPr>
          <w:p>
            <w:pPr>
              <w:spacing w:after="0"/>
              <w:rPr>
                <w:sz w:val="15"/>
                <w:szCs w:val="15"/>
                <w:color w:val="auto"/>
              </w:rPr>
            </w:pPr>
          </w:p>
        </w:tc>
        <w:tc>
          <w:tcPr>
            <w:tcW w:w="298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Albania</w:t>
            </w:r>
          </w:p>
        </w:tc>
        <w:tc>
          <w:tcPr>
            <w:tcW w:w="192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Dominican Republic</w:t>
            </w:r>
          </w:p>
        </w:tc>
        <w:tc>
          <w:tcPr>
            <w:tcW w:w="198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Kyrgyzstan</w:t>
            </w:r>
          </w:p>
        </w:tc>
        <w:tc>
          <w:tcPr>
            <w:tcW w:w="210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Rwanda</w:t>
            </w:r>
          </w:p>
        </w:tc>
      </w:tr>
      <w:tr>
        <w:trPr>
          <w:trHeight w:val="178"/>
        </w:trPr>
        <w:tc>
          <w:tcPr>
            <w:tcW w:w="20" w:type="dxa"/>
            <w:vAlign w:val="bottom"/>
            <w:tcBorders>
              <w:bottom w:val="single" w:sz="8" w:color="auto"/>
            </w:tcBorders>
          </w:tcPr>
          <w:p>
            <w:pPr>
              <w:spacing w:after="0"/>
              <w:rPr>
                <w:sz w:val="15"/>
                <w:szCs w:val="15"/>
                <w:color w:val="auto"/>
              </w:rPr>
            </w:pPr>
          </w:p>
        </w:tc>
        <w:tc>
          <w:tcPr>
            <w:tcW w:w="29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Andorra</w:t>
            </w:r>
          </w:p>
        </w:tc>
        <w:tc>
          <w:tcPr>
            <w:tcW w:w="19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Ecuador</w:t>
            </w:r>
          </w:p>
        </w:tc>
        <w:tc>
          <w:tcPr>
            <w:tcW w:w="19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Liberia</w:t>
            </w:r>
          </w:p>
        </w:tc>
        <w:tc>
          <w:tcPr>
            <w:tcW w:w="21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Saudi Arabia</w:t>
            </w:r>
          </w:p>
        </w:tc>
      </w:tr>
      <w:tr>
        <w:trPr>
          <w:trHeight w:val="178"/>
        </w:trPr>
        <w:tc>
          <w:tcPr>
            <w:tcW w:w="20" w:type="dxa"/>
            <w:vAlign w:val="bottom"/>
            <w:tcBorders>
              <w:bottom w:val="single" w:sz="8" w:color="auto"/>
            </w:tcBorders>
          </w:tcPr>
          <w:p>
            <w:pPr>
              <w:spacing w:after="0"/>
              <w:rPr>
                <w:sz w:val="15"/>
                <w:szCs w:val="15"/>
                <w:color w:val="auto"/>
              </w:rPr>
            </w:pPr>
          </w:p>
        </w:tc>
        <w:tc>
          <w:tcPr>
            <w:tcW w:w="29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Angola</w:t>
            </w:r>
          </w:p>
        </w:tc>
        <w:tc>
          <w:tcPr>
            <w:tcW w:w="19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Egypt</w:t>
            </w:r>
          </w:p>
        </w:tc>
        <w:tc>
          <w:tcPr>
            <w:tcW w:w="19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Liechtenstein</w:t>
            </w:r>
          </w:p>
        </w:tc>
        <w:tc>
          <w:tcPr>
            <w:tcW w:w="21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Senegal</w:t>
            </w:r>
          </w:p>
        </w:tc>
      </w:tr>
      <w:tr>
        <w:trPr>
          <w:trHeight w:val="178"/>
        </w:trPr>
        <w:tc>
          <w:tcPr>
            <w:tcW w:w="20" w:type="dxa"/>
            <w:vAlign w:val="bottom"/>
            <w:tcBorders>
              <w:bottom w:val="single" w:sz="8" w:color="auto"/>
            </w:tcBorders>
          </w:tcPr>
          <w:p>
            <w:pPr>
              <w:spacing w:after="0"/>
              <w:rPr>
                <w:sz w:val="15"/>
                <w:szCs w:val="15"/>
                <w:color w:val="auto"/>
              </w:rPr>
            </w:pPr>
          </w:p>
        </w:tc>
        <w:tc>
          <w:tcPr>
            <w:tcW w:w="29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Argentina</w:t>
            </w:r>
          </w:p>
        </w:tc>
        <w:tc>
          <w:tcPr>
            <w:tcW w:w="19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El Salvador</w:t>
            </w:r>
          </w:p>
        </w:tc>
        <w:tc>
          <w:tcPr>
            <w:tcW w:w="19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Lithuania</w:t>
            </w:r>
          </w:p>
        </w:tc>
        <w:tc>
          <w:tcPr>
            <w:tcW w:w="21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Serbia</w:t>
            </w:r>
          </w:p>
        </w:tc>
      </w:tr>
      <w:tr>
        <w:trPr>
          <w:trHeight w:val="178"/>
        </w:trPr>
        <w:tc>
          <w:tcPr>
            <w:tcW w:w="20" w:type="dxa"/>
            <w:vAlign w:val="bottom"/>
            <w:tcBorders>
              <w:bottom w:val="single" w:sz="8" w:color="auto"/>
            </w:tcBorders>
          </w:tcPr>
          <w:p>
            <w:pPr>
              <w:spacing w:after="0"/>
              <w:rPr>
                <w:sz w:val="15"/>
                <w:szCs w:val="15"/>
                <w:color w:val="auto"/>
              </w:rPr>
            </w:pPr>
          </w:p>
        </w:tc>
        <w:tc>
          <w:tcPr>
            <w:tcW w:w="29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Armenia</w:t>
            </w:r>
          </w:p>
        </w:tc>
        <w:tc>
          <w:tcPr>
            <w:tcW w:w="19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Eritrea</w:t>
            </w:r>
          </w:p>
        </w:tc>
        <w:tc>
          <w:tcPr>
            <w:tcW w:w="19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Luxembourg</w:t>
            </w:r>
          </w:p>
        </w:tc>
        <w:tc>
          <w:tcPr>
            <w:tcW w:w="21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Sierra Leone</w:t>
            </w:r>
          </w:p>
        </w:tc>
      </w:tr>
      <w:tr>
        <w:trPr>
          <w:trHeight w:val="178"/>
        </w:trPr>
        <w:tc>
          <w:tcPr>
            <w:tcW w:w="20" w:type="dxa"/>
            <w:vAlign w:val="bottom"/>
            <w:tcBorders>
              <w:bottom w:val="single" w:sz="8" w:color="auto"/>
            </w:tcBorders>
          </w:tcPr>
          <w:p>
            <w:pPr>
              <w:spacing w:after="0"/>
              <w:rPr>
                <w:sz w:val="15"/>
                <w:szCs w:val="15"/>
                <w:color w:val="auto"/>
              </w:rPr>
            </w:pPr>
          </w:p>
        </w:tc>
        <w:tc>
          <w:tcPr>
            <w:tcW w:w="29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Australia</w:t>
            </w:r>
          </w:p>
        </w:tc>
        <w:tc>
          <w:tcPr>
            <w:tcW w:w="19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Estonia</w:t>
            </w:r>
          </w:p>
        </w:tc>
        <w:tc>
          <w:tcPr>
            <w:tcW w:w="19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Madagascar</w:t>
            </w:r>
          </w:p>
        </w:tc>
        <w:tc>
          <w:tcPr>
            <w:tcW w:w="21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Singapore</w:t>
            </w:r>
          </w:p>
        </w:tc>
      </w:tr>
      <w:tr>
        <w:trPr>
          <w:trHeight w:val="178"/>
        </w:trPr>
        <w:tc>
          <w:tcPr>
            <w:tcW w:w="20" w:type="dxa"/>
            <w:vAlign w:val="bottom"/>
            <w:tcBorders>
              <w:bottom w:val="single" w:sz="8" w:color="auto"/>
            </w:tcBorders>
          </w:tcPr>
          <w:p>
            <w:pPr>
              <w:spacing w:after="0"/>
              <w:rPr>
                <w:sz w:val="15"/>
                <w:szCs w:val="15"/>
                <w:color w:val="auto"/>
              </w:rPr>
            </w:pPr>
          </w:p>
        </w:tc>
        <w:tc>
          <w:tcPr>
            <w:tcW w:w="29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Austria</w:t>
            </w:r>
          </w:p>
        </w:tc>
        <w:tc>
          <w:tcPr>
            <w:tcW w:w="19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Ethiopia</w:t>
            </w:r>
          </w:p>
        </w:tc>
        <w:tc>
          <w:tcPr>
            <w:tcW w:w="19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Malaysia</w:t>
            </w:r>
          </w:p>
        </w:tc>
        <w:tc>
          <w:tcPr>
            <w:tcW w:w="21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Slovakia</w:t>
            </w:r>
          </w:p>
        </w:tc>
      </w:tr>
      <w:tr>
        <w:trPr>
          <w:trHeight w:val="178"/>
        </w:trPr>
        <w:tc>
          <w:tcPr>
            <w:tcW w:w="20" w:type="dxa"/>
            <w:vAlign w:val="bottom"/>
            <w:tcBorders>
              <w:bottom w:val="single" w:sz="8" w:color="auto"/>
            </w:tcBorders>
          </w:tcPr>
          <w:p>
            <w:pPr>
              <w:spacing w:after="0"/>
              <w:rPr>
                <w:sz w:val="15"/>
                <w:szCs w:val="15"/>
                <w:color w:val="auto"/>
              </w:rPr>
            </w:pPr>
          </w:p>
        </w:tc>
        <w:tc>
          <w:tcPr>
            <w:tcW w:w="29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Azerbaijan</w:t>
            </w:r>
          </w:p>
        </w:tc>
        <w:tc>
          <w:tcPr>
            <w:tcW w:w="19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Fiji</w:t>
            </w:r>
          </w:p>
        </w:tc>
        <w:tc>
          <w:tcPr>
            <w:tcW w:w="19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Mali</w:t>
            </w:r>
          </w:p>
        </w:tc>
        <w:tc>
          <w:tcPr>
            <w:tcW w:w="21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Solomon Islands</w:t>
            </w:r>
          </w:p>
        </w:tc>
      </w:tr>
      <w:tr>
        <w:trPr>
          <w:trHeight w:val="178"/>
        </w:trPr>
        <w:tc>
          <w:tcPr>
            <w:tcW w:w="20" w:type="dxa"/>
            <w:vAlign w:val="bottom"/>
            <w:tcBorders>
              <w:bottom w:val="single" w:sz="8" w:color="auto"/>
            </w:tcBorders>
          </w:tcPr>
          <w:p>
            <w:pPr>
              <w:spacing w:after="0"/>
              <w:rPr>
                <w:sz w:val="15"/>
                <w:szCs w:val="15"/>
                <w:color w:val="auto"/>
              </w:rPr>
            </w:pPr>
          </w:p>
        </w:tc>
        <w:tc>
          <w:tcPr>
            <w:tcW w:w="29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Belarus</w:t>
            </w:r>
          </w:p>
        </w:tc>
        <w:tc>
          <w:tcPr>
            <w:tcW w:w="19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Finland</w:t>
            </w:r>
          </w:p>
        </w:tc>
        <w:tc>
          <w:tcPr>
            <w:tcW w:w="19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Mauritania</w:t>
            </w:r>
          </w:p>
        </w:tc>
        <w:tc>
          <w:tcPr>
            <w:tcW w:w="21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South Africa</w:t>
            </w:r>
          </w:p>
        </w:tc>
      </w:tr>
      <w:tr>
        <w:trPr>
          <w:trHeight w:val="178"/>
        </w:trPr>
        <w:tc>
          <w:tcPr>
            <w:tcW w:w="20" w:type="dxa"/>
            <w:vAlign w:val="bottom"/>
            <w:tcBorders>
              <w:bottom w:val="single" w:sz="8" w:color="auto"/>
            </w:tcBorders>
          </w:tcPr>
          <w:p>
            <w:pPr>
              <w:spacing w:after="0"/>
              <w:rPr>
                <w:sz w:val="15"/>
                <w:szCs w:val="15"/>
                <w:color w:val="auto"/>
              </w:rPr>
            </w:pPr>
          </w:p>
        </w:tc>
        <w:tc>
          <w:tcPr>
            <w:tcW w:w="29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Belgium</w:t>
            </w:r>
          </w:p>
        </w:tc>
        <w:tc>
          <w:tcPr>
            <w:tcW w:w="19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France</w:t>
            </w:r>
          </w:p>
        </w:tc>
        <w:tc>
          <w:tcPr>
            <w:tcW w:w="19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Mexico</w:t>
            </w:r>
          </w:p>
        </w:tc>
        <w:tc>
          <w:tcPr>
            <w:tcW w:w="21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South Sudan</w:t>
            </w:r>
          </w:p>
        </w:tc>
      </w:tr>
      <w:tr>
        <w:trPr>
          <w:trHeight w:val="178"/>
        </w:trPr>
        <w:tc>
          <w:tcPr>
            <w:tcW w:w="20" w:type="dxa"/>
            <w:vAlign w:val="bottom"/>
            <w:tcBorders>
              <w:bottom w:val="single" w:sz="8" w:color="auto"/>
            </w:tcBorders>
          </w:tcPr>
          <w:p>
            <w:pPr>
              <w:spacing w:after="0"/>
              <w:rPr>
                <w:sz w:val="15"/>
                <w:szCs w:val="15"/>
                <w:color w:val="auto"/>
              </w:rPr>
            </w:pPr>
          </w:p>
        </w:tc>
        <w:tc>
          <w:tcPr>
            <w:tcW w:w="29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Benin</w:t>
            </w:r>
          </w:p>
        </w:tc>
        <w:tc>
          <w:tcPr>
            <w:tcW w:w="19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Georgia</w:t>
            </w:r>
          </w:p>
        </w:tc>
        <w:tc>
          <w:tcPr>
            <w:tcW w:w="19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Mongolia</w:t>
            </w:r>
          </w:p>
        </w:tc>
        <w:tc>
          <w:tcPr>
            <w:tcW w:w="21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Spain</w:t>
            </w:r>
          </w:p>
        </w:tc>
      </w:tr>
      <w:tr>
        <w:trPr>
          <w:trHeight w:val="178"/>
        </w:trPr>
        <w:tc>
          <w:tcPr>
            <w:tcW w:w="20" w:type="dxa"/>
            <w:vAlign w:val="bottom"/>
            <w:tcBorders>
              <w:bottom w:val="single" w:sz="8" w:color="auto"/>
            </w:tcBorders>
          </w:tcPr>
          <w:p>
            <w:pPr>
              <w:spacing w:after="0"/>
              <w:rPr>
                <w:sz w:val="15"/>
                <w:szCs w:val="15"/>
                <w:color w:val="auto"/>
              </w:rPr>
            </w:pPr>
          </w:p>
        </w:tc>
        <w:tc>
          <w:tcPr>
            <w:tcW w:w="29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Bermuda</w:t>
            </w:r>
          </w:p>
        </w:tc>
        <w:tc>
          <w:tcPr>
            <w:tcW w:w="19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Germany</w:t>
            </w:r>
          </w:p>
        </w:tc>
        <w:tc>
          <w:tcPr>
            <w:tcW w:w="19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Morocco</w:t>
            </w:r>
          </w:p>
        </w:tc>
        <w:tc>
          <w:tcPr>
            <w:tcW w:w="21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Sudan</w:t>
            </w:r>
          </w:p>
        </w:tc>
      </w:tr>
      <w:tr>
        <w:trPr>
          <w:trHeight w:val="178"/>
        </w:trPr>
        <w:tc>
          <w:tcPr>
            <w:tcW w:w="20" w:type="dxa"/>
            <w:vAlign w:val="bottom"/>
            <w:tcBorders>
              <w:bottom w:val="single" w:sz="8" w:color="auto"/>
            </w:tcBorders>
          </w:tcPr>
          <w:p>
            <w:pPr>
              <w:spacing w:after="0"/>
              <w:rPr>
                <w:sz w:val="15"/>
                <w:szCs w:val="15"/>
                <w:color w:val="auto"/>
              </w:rPr>
            </w:pPr>
          </w:p>
        </w:tc>
        <w:tc>
          <w:tcPr>
            <w:tcW w:w="29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Bolivia (Plurinational State of)</w:t>
            </w:r>
          </w:p>
        </w:tc>
        <w:tc>
          <w:tcPr>
            <w:tcW w:w="19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Ghana</w:t>
            </w:r>
          </w:p>
        </w:tc>
        <w:tc>
          <w:tcPr>
            <w:tcW w:w="19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Mozambique</w:t>
            </w:r>
          </w:p>
        </w:tc>
        <w:tc>
          <w:tcPr>
            <w:tcW w:w="21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Suriname</w:t>
            </w:r>
          </w:p>
        </w:tc>
      </w:tr>
      <w:tr>
        <w:trPr>
          <w:trHeight w:val="178"/>
        </w:trPr>
        <w:tc>
          <w:tcPr>
            <w:tcW w:w="20" w:type="dxa"/>
            <w:vAlign w:val="bottom"/>
            <w:tcBorders>
              <w:bottom w:val="single" w:sz="8" w:color="auto"/>
            </w:tcBorders>
          </w:tcPr>
          <w:p>
            <w:pPr>
              <w:spacing w:after="0"/>
              <w:rPr>
                <w:sz w:val="15"/>
                <w:szCs w:val="15"/>
                <w:color w:val="auto"/>
              </w:rPr>
            </w:pPr>
          </w:p>
        </w:tc>
        <w:tc>
          <w:tcPr>
            <w:tcW w:w="29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Botswana</w:t>
            </w:r>
          </w:p>
        </w:tc>
        <w:tc>
          <w:tcPr>
            <w:tcW w:w="19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Guatemala</w:t>
            </w:r>
          </w:p>
        </w:tc>
        <w:tc>
          <w:tcPr>
            <w:tcW w:w="19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Myanmar</w:t>
            </w:r>
          </w:p>
        </w:tc>
        <w:tc>
          <w:tcPr>
            <w:tcW w:w="21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Sweden</w:t>
            </w:r>
          </w:p>
        </w:tc>
      </w:tr>
      <w:tr>
        <w:trPr>
          <w:trHeight w:val="178"/>
        </w:trPr>
        <w:tc>
          <w:tcPr>
            <w:tcW w:w="20" w:type="dxa"/>
            <w:vAlign w:val="bottom"/>
            <w:tcBorders>
              <w:bottom w:val="single" w:sz="8" w:color="auto"/>
            </w:tcBorders>
          </w:tcPr>
          <w:p>
            <w:pPr>
              <w:spacing w:after="0"/>
              <w:rPr>
                <w:sz w:val="15"/>
                <w:szCs w:val="15"/>
                <w:color w:val="auto"/>
              </w:rPr>
            </w:pPr>
          </w:p>
        </w:tc>
        <w:tc>
          <w:tcPr>
            <w:tcW w:w="29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Brazil</w:t>
            </w:r>
          </w:p>
        </w:tc>
        <w:tc>
          <w:tcPr>
            <w:tcW w:w="19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Guinea</w:t>
            </w:r>
          </w:p>
        </w:tc>
        <w:tc>
          <w:tcPr>
            <w:tcW w:w="19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Namibia</w:t>
            </w:r>
          </w:p>
        </w:tc>
        <w:tc>
          <w:tcPr>
            <w:tcW w:w="21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Switzerland</w:t>
            </w:r>
          </w:p>
        </w:tc>
      </w:tr>
      <w:tr>
        <w:trPr>
          <w:trHeight w:val="178"/>
        </w:trPr>
        <w:tc>
          <w:tcPr>
            <w:tcW w:w="20" w:type="dxa"/>
            <w:vAlign w:val="bottom"/>
            <w:tcBorders>
              <w:bottom w:val="single" w:sz="8" w:color="auto"/>
            </w:tcBorders>
          </w:tcPr>
          <w:p>
            <w:pPr>
              <w:spacing w:after="0"/>
              <w:rPr>
                <w:sz w:val="15"/>
                <w:szCs w:val="15"/>
                <w:color w:val="auto"/>
              </w:rPr>
            </w:pPr>
          </w:p>
        </w:tc>
        <w:tc>
          <w:tcPr>
            <w:tcW w:w="29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Bulgaria</w:t>
            </w:r>
          </w:p>
        </w:tc>
        <w:tc>
          <w:tcPr>
            <w:tcW w:w="19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Guyana</w:t>
            </w:r>
          </w:p>
        </w:tc>
        <w:tc>
          <w:tcPr>
            <w:tcW w:w="19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Netherlands</w:t>
            </w:r>
          </w:p>
        </w:tc>
        <w:tc>
          <w:tcPr>
            <w:tcW w:w="21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Taiwan</w:t>
            </w:r>
          </w:p>
        </w:tc>
      </w:tr>
      <w:tr>
        <w:trPr>
          <w:trHeight w:val="178"/>
        </w:trPr>
        <w:tc>
          <w:tcPr>
            <w:tcW w:w="20" w:type="dxa"/>
            <w:vAlign w:val="bottom"/>
            <w:tcBorders>
              <w:bottom w:val="single" w:sz="8" w:color="auto"/>
            </w:tcBorders>
          </w:tcPr>
          <w:p>
            <w:pPr>
              <w:spacing w:after="0"/>
              <w:rPr>
                <w:sz w:val="15"/>
                <w:szCs w:val="15"/>
                <w:color w:val="auto"/>
              </w:rPr>
            </w:pPr>
          </w:p>
        </w:tc>
        <w:tc>
          <w:tcPr>
            <w:tcW w:w="29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Burkina Faso</w:t>
            </w:r>
          </w:p>
        </w:tc>
        <w:tc>
          <w:tcPr>
            <w:tcW w:w="19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Honduras</w:t>
            </w:r>
          </w:p>
        </w:tc>
        <w:tc>
          <w:tcPr>
            <w:tcW w:w="19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New Zealand</w:t>
            </w:r>
          </w:p>
        </w:tc>
        <w:tc>
          <w:tcPr>
            <w:tcW w:w="21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Tajikistan</w:t>
            </w:r>
          </w:p>
        </w:tc>
      </w:tr>
      <w:tr>
        <w:trPr>
          <w:trHeight w:val="178"/>
        </w:trPr>
        <w:tc>
          <w:tcPr>
            <w:tcW w:w="20" w:type="dxa"/>
            <w:vAlign w:val="bottom"/>
            <w:tcBorders>
              <w:bottom w:val="single" w:sz="8" w:color="auto"/>
            </w:tcBorders>
          </w:tcPr>
          <w:p>
            <w:pPr>
              <w:spacing w:after="0"/>
              <w:rPr>
                <w:sz w:val="15"/>
                <w:szCs w:val="15"/>
                <w:color w:val="auto"/>
              </w:rPr>
            </w:pPr>
          </w:p>
        </w:tc>
        <w:tc>
          <w:tcPr>
            <w:tcW w:w="29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Burundi</w:t>
            </w:r>
          </w:p>
        </w:tc>
        <w:tc>
          <w:tcPr>
            <w:tcW w:w="19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Hong Kong</w:t>
            </w:r>
          </w:p>
        </w:tc>
        <w:tc>
          <w:tcPr>
            <w:tcW w:w="19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Nicaragua</w:t>
            </w:r>
          </w:p>
        </w:tc>
        <w:tc>
          <w:tcPr>
            <w:tcW w:w="21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Tanzania</w:t>
            </w:r>
          </w:p>
        </w:tc>
      </w:tr>
      <w:tr>
        <w:trPr>
          <w:trHeight w:val="178"/>
        </w:trPr>
        <w:tc>
          <w:tcPr>
            <w:tcW w:w="20" w:type="dxa"/>
            <w:vAlign w:val="bottom"/>
            <w:tcBorders>
              <w:bottom w:val="single" w:sz="8" w:color="auto"/>
            </w:tcBorders>
          </w:tcPr>
          <w:p>
            <w:pPr>
              <w:spacing w:after="0"/>
              <w:rPr>
                <w:sz w:val="15"/>
                <w:szCs w:val="15"/>
                <w:color w:val="auto"/>
              </w:rPr>
            </w:pPr>
          </w:p>
        </w:tc>
        <w:tc>
          <w:tcPr>
            <w:tcW w:w="29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Cambodia</w:t>
            </w:r>
          </w:p>
        </w:tc>
        <w:tc>
          <w:tcPr>
            <w:tcW w:w="19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Hungary</w:t>
            </w:r>
          </w:p>
        </w:tc>
        <w:tc>
          <w:tcPr>
            <w:tcW w:w="19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Niger</w:t>
            </w:r>
          </w:p>
        </w:tc>
        <w:tc>
          <w:tcPr>
            <w:tcW w:w="21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Thailand</w:t>
            </w:r>
          </w:p>
        </w:tc>
      </w:tr>
      <w:tr>
        <w:trPr>
          <w:trHeight w:val="178"/>
        </w:trPr>
        <w:tc>
          <w:tcPr>
            <w:tcW w:w="20" w:type="dxa"/>
            <w:vAlign w:val="bottom"/>
            <w:tcBorders>
              <w:bottom w:val="single" w:sz="8" w:color="auto"/>
            </w:tcBorders>
          </w:tcPr>
          <w:p>
            <w:pPr>
              <w:spacing w:after="0"/>
              <w:rPr>
                <w:sz w:val="15"/>
                <w:szCs w:val="15"/>
                <w:color w:val="auto"/>
              </w:rPr>
            </w:pPr>
          </w:p>
        </w:tc>
        <w:tc>
          <w:tcPr>
            <w:tcW w:w="29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Canada</w:t>
            </w:r>
          </w:p>
        </w:tc>
        <w:tc>
          <w:tcPr>
            <w:tcW w:w="19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India</w:t>
            </w:r>
          </w:p>
        </w:tc>
        <w:tc>
          <w:tcPr>
            <w:tcW w:w="19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Nigeria</w:t>
            </w:r>
          </w:p>
        </w:tc>
        <w:tc>
          <w:tcPr>
            <w:tcW w:w="21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Turkey</w:t>
            </w:r>
          </w:p>
        </w:tc>
      </w:tr>
      <w:tr>
        <w:trPr>
          <w:trHeight w:val="178"/>
        </w:trPr>
        <w:tc>
          <w:tcPr>
            <w:tcW w:w="20" w:type="dxa"/>
            <w:vAlign w:val="bottom"/>
            <w:tcBorders>
              <w:bottom w:val="single" w:sz="8" w:color="auto"/>
            </w:tcBorders>
          </w:tcPr>
          <w:p>
            <w:pPr>
              <w:spacing w:after="0"/>
              <w:rPr>
                <w:sz w:val="15"/>
                <w:szCs w:val="15"/>
                <w:color w:val="auto"/>
              </w:rPr>
            </w:pPr>
          </w:p>
        </w:tc>
        <w:tc>
          <w:tcPr>
            <w:tcW w:w="29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Central African Republic</w:t>
            </w:r>
          </w:p>
        </w:tc>
        <w:tc>
          <w:tcPr>
            <w:tcW w:w="19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Indonesia</w:t>
            </w:r>
          </w:p>
        </w:tc>
        <w:tc>
          <w:tcPr>
            <w:tcW w:w="19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Norway</w:t>
            </w:r>
          </w:p>
        </w:tc>
        <w:tc>
          <w:tcPr>
            <w:tcW w:w="21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Uganda</w:t>
            </w:r>
          </w:p>
        </w:tc>
      </w:tr>
      <w:tr>
        <w:trPr>
          <w:trHeight w:val="178"/>
        </w:trPr>
        <w:tc>
          <w:tcPr>
            <w:tcW w:w="20" w:type="dxa"/>
            <w:vAlign w:val="bottom"/>
            <w:tcBorders>
              <w:bottom w:val="single" w:sz="8" w:color="auto"/>
            </w:tcBorders>
          </w:tcPr>
          <w:p>
            <w:pPr>
              <w:spacing w:after="0"/>
              <w:rPr>
                <w:sz w:val="15"/>
                <w:szCs w:val="15"/>
                <w:color w:val="auto"/>
              </w:rPr>
            </w:pPr>
          </w:p>
        </w:tc>
        <w:tc>
          <w:tcPr>
            <w:tcW w:w="29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Chile</w:t>
            </w:r>
          </w:p>
        </w:tc>
        <w:tc>
          <w:tcPr>
            <w:tcW w:w="19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Ireland</w:t>
            </w:r>
          </w:p>
        </w:tc>
        <w:tc>
          <w:tcPr>
            <w:tcW w:w="19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Oman</w:t>
            </w:r>
          </w:p>
        </w:tc>
        <w:tc>
          <w:tcPr>
            <w:tcW w:w="21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United Arab Emirates</w:t>
            </w:r>
          </w:p>
        </w:tc>
      </w:tr>
      <w:tr>
        <w:trPr>
          <w:trHeight w:val="178"/>
        </w:trPr>
        <w:tc>
          <w:tcPr>
            <w:tcW w:w="20" w:type="dxa"/>
            <w:vAlign w:val="bottom"/>
            <w:tcBorders>
              <w:bottom w:val="single" w:sz="8" w:color="auto"/>
            </w:tcBorders>
          </w:tcPr>
          <w:p>
            <w:pPr>
              <w:spacing w:after="0"/>
              <w:rPr>
                <w:sz w:val="15"/>
                <w:szCs w:val="15"/>
                <w:color w:val="auto"/>
              </w:rPr>
            </w:pPr>
          </w:p>
        </w:tc>
        <w:tc>
          <w:tcPr>
            <w:tcW w:w="29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China</w:t>
            </w:r>
          </w:p>
        </w:tc>
        <w:tc>
          <w:tcPr>
            <w:tcW w:w="19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Israel</w:t>
            </w:r>
          </w:p>
        </w:tc>
        <w:tc>
          <w:tcPr>
            <w:tcW w:w="19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Panama</w:t>
            </w:r>
          </w:p>
        </w:tc>
        <w:tc>
          <w:tcPr>
            <w:tcW w:w="21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United Kingdom</w:t>
            </w:r>
          </w:p>
        </w:tc>
      </w:tr>
      <w:tr>
        <w:trPr>
          <w:trHeight w:val="178"/>
        </w:trPr>
        <w:tc>
          <w:tcPr>
            <w:tcW w:w="20" w:type="dxa"/>
            <w:vAlign w:val="bottom"/>
            <w:tcBorders>
              <w:bottom w:val="single" w:sz="8" w:color="auto"/>
            </w:tcBorders>
          </w:tcPr>
          <w:p>
            <w:pPr>
              <w:spacing w:after="0"/>
              <w:rPr>
                <w:sz w:val="15"/>
                <w:szCs w:val="15"/>
                <w:color w:val="auto"/>
              </w:rPr>
            </w:pPr>
          </w:p>
        </w:tc>
        <w:tc>
          <w:tcPr>
            <w:tcW w:w="29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Colombia</w:t>
            </w:r>
          </w:p>
        </w:tc>
        <w:tc>
          <w:tcPr>
            <w:tcW w:w="19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Italy</w:t>
            </w:r>
          </w:p>
        </w:tc>
        <w:tc>
          <w:tcPr>
            <w:tcW w:w="19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Papua New Guinea</w:t>
            </w:r>
          </w:p>
        </w:tc>
        <w:tc>
          <w:tcPr>
            <w:tcW w:w="21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United States</w:t>
            </w:r>
          </w:p>
        </w:tc>
      </w:tr>
      <w:tr>
        <w:trPr>
          <w:trHeight w:val="178"/>
        </w:trPr>
        <w:tc>
          <w:tcPr>
            <w:tcW w:w="20" w:type="dxa"/>
            <w:vAlign w:val="bottom"/>
            <w:tcBorders>
              <w:bottom w:val="single" w:sz="8" w:color="auto"/>
            </w:tcBorders>
          </w:tcPr>
          <w:p>
            <w:pPr>
              <w:spacing w:after="0"/>
              <w:rPr>
                <w:sz w:val="15"/>
                <w:szCs w:val="15"/>
                <w:color w:val="auto"/>
              </w:rPr>
            </w:pPr>
          </w:p>
        </w:tc>
        <w:tc>
          <w:tcPr>
            <w:tcW w:w="29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Congo</w:t>
            </w:r>
          </w:p>
        </w:tc>
        <w:tc>
          <w:tcPr>
            <w:tcW w:w="19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Japan</w:t>
            </w:r>
          </w:p>
        </w:tc>
        <w:tc>
          <w:tcPr>
            <w:tcW w:w="19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Peru</w:t>
            </w:r>
          </w:p>
        </w:tc>
        <w:tc>
          <w:tcPr>
            <w:tcW w:w="21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Uruguay</w:t>
            </w:r>
          </w:p>
        </w:tc>
      </w:tr>
      <w:tr>
        <w:trPr>
          <w:trHeight w:val="178"/>
        </w:trPr>
        <w:tc>
          <w:tcPr>
            <w:tcW w:w="20" w:type="dxa"/>
            <w:vAlign w:val="bottom"/>
            <w:tcBorders>
              <w:bottom w:val="single" w:sz="8" w:color="auto"/>
            </w:tcBorders>
          </w:tcPr>
          <w:p>
            <w:pPr>
              <w:spacing w:after="0"/>
              <w:rPr>
                <w:sz w:val="15"/>
                <w:szCs w:val="15"/>
                <w:color w:val="auto"/>
              </w:rPr>
            </w:pPr>
          </w:p>
        </w:tc>
        <w:tc>
          <w:tcPr>
            <w:tcW w:w="29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Cyprus</w:t>
            </w:r>
          </w:p>
        </w:tc>
        <w:tc>
          <w:tcPr>
            <w:tcW w:w="19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Jersey</w:t>
            </w:r>
          </w:p>
        </w:tc>
        <w:tc>
          <w:tcPr>
            <w:tcW w:w="19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Philippines</w:t>
            </w:r>
          </w:p>
        </w:tc>
        <w:tc>
          <w:tcPr>
            <w:tcW w:w="21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Uzbekistan</w:t>
            </w:r>
          </w:p>
        </w:tc>
      </w:tr>
      <w:tr>
        <w:trPr>
          <w:trHeight w:val="178"/>
        </w:trPr>
        <w:tc>
          <w:tcPr>
            <w:tcW w:w="20" w:type="dxa"/>
            <w:vAlign w:val="bottom"/>
            <w:tcBorders>
              <w:bottom w:val="single" w:sz="8" w:color="auto"/>
            </w:tcBorders>
          </w:tcPr>
          <w:p>
            <w:pPr>
              <w:spacing w:after="0"/>
              <w:rPr>
                <w:sz w:val="15"/>
                <w:szCs w:val="15"/>
                <w:color w:val="auto"/>
              </w:rPr>
            </w:pPr>
          </w:p>
        </w:tc>
        <w:tc>
          <w:tcPr>
            <w:tcW w:w="29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Democratic Republic of Congo</w:t>
            </w:r>
          </w:p>
        </w:tc>
        <w:tc>
          <w:tcPr>
            <w:tcW w:w="19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Kazakhstan</w:t>
            </w:r>
          </w:p>
        </w:tc>
        <w:tc>
          <w:tcPr>
            <w:tcW w:w="19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Poland</w:t>
            </w:r>
          </w:p>
        </w:tc>
        <w:tc>
          <w:tcPr>
            <w:tcW w:w="21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Viet Nam</w:t>
            </w:r>
          </w:p>
        </w:tc>
      </w:tr>
      <w:tr>
        <w:trPr>
          <w:trHeight w:val="178"/>
        </w:trPr>
        <w:tc>
          <w:tcPr>
            <w:tcW w:w="20" w:type="dxa"/>
            <w:vAlign w:val="bottom"/>
            <w:tcBorders>
              <w:bottom w:val="single" w:sz="8" w:color="auto"/>
            </w:tcBorders>
          </w:tcPr>
          <w:p>
            <w:pPr>
              <w:spacing w:after="0"/>
              <w:rPr>
                <w:sz w:val="15"/>
                <w:szCs w:val="15"/>
                <w:color w:val="auto"/>
              </w:rPr>
            </w:pPr>
          </w:p>
        </w:tc>
        <w:tc>
          <w:tcPr>
            <w:tcW w:w="29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Djibouti</w:t>
            </w:r>
          </w:p>
        </w:tc>
        <w:tc>
          <w:tcPr>
            <w:tcW w:w="19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Kenya</w:t>
            </w:r>
          </w:p>
        </w:tc>
        <w:tc>
          <w:tcPr>
            <w:tcW w:w="19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Portugal</w:t>
            </w:r>
          </w:p>
        </w:tc>
        <w:tc>
          <w:tcPr>
            <w:tcW w:w="21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Zambia</w:t>
            </w:r>
          </w:p>
        </w:tc>
      </w:tr>
      <w:tr>
        <w:trPr>
          <w:trHeight w:val="178"/>
        </w:trPr>
        <w:tc>
          <w:tcPr>
            <w:tcW w:w="20" w:type="dxa"/>
            <w:vAlign w:val="bottom"/>
            <w:tcBorders>
              <w:bottom w:val="single" w:sz="8" w:color="auto"/>
            </w:tcBorders>
          </w:tcPr>
          <w:p>
            <w:pPr>
              <w:spacing w:after="0"/>
              <w:rPr>
                <w:sz w:val="15"/>
                <w:szCs w:val="15"/>
                <w:color w:val="auto"/>
              </w:rPr>
            </w:pPr>
          </w:p>
        </w:tc>
        <w:tc>
          <w:tcPr>
            <w:tcW w:w="29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Dominica</w:t>
            </w:r>
          </w:p>
        </w:tc>
        <w:tc>
          <w:tcPr>
            <w:tcW w:w="19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Korea</w:t>
            </w:r>
          </w:p>
        </w:tc>
        <w:tc>
          <w:tcPr>
            <w:tcW w:w="19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Russian Federation</w:t>
            </w:r>
          </w:p>
        </w:tc>
        <w:tc>
          <w:tcPr>
            <w:tcW w:w="21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Zimbabwe</w:t>
            </w:r>
          </w:p>
        </w:tc>
      </w:tr>
      <w:tr>
        <w:trPr>
          <w:trHeight w:val="554"/>
        </w:trPr>
        <w:tc>
          <w:tcPr>
            <w:tcW w:w="20" w:type="dxa"/>
            <w:vAlign w:val="bottom"/>
          </w:tcPr>
          <w:p>
            <w:pPr>
              <w:spacing w:after="0"/>
              <w:rPr>
                <w:sz w:val="24"/>
                <w:szCs w:val="24"/>
                <w:color w:val="auto"/>
              </w:rPr>
            </w:pPr>
          </w:p>
        </w:tc>
        <w:tc>
          <w:tcPr>
            <w:tcW w:w="298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019"/>
      </w:cols>
      <w:pgMar w:left="1440" w:top="75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1."/>
      <w:numFmt w:val="decimal"/>
      <w:start w:val="1"/>
    </w:lvl>
  </w:abstractNum>
  <w:abstractNum w:abstractNumId="3">
    <w:nsid w:val="4DB127F8"/>
    <w:multiLevelType w:val="hybridMultilevel"/>
    <w:lvl w:ilvl="0">
      <w:lvlJc w:val="left"/>
      <w:lvlText w:val="●"/>
      <w:numFmt w:val="bullet"/>
      <w:start w:val="1"/>
    </w:lvl>
  </w:abstractNum>
  <w:abstractNum w:abstractNumId="4">
    <w:nsid w:val="216231B"/>
    <w:multiLevelType w:val="hybridMultilevel"/>
    <w:lvl w:ilvl="0">
      <w:lvlJc w:val="left"/>
      <w:lvlText w:val="●"/>
      <w:numFmt w:val="bullet"/>
      <w:start w:val="1"/>
    </w:lvl>
  </w:abstractNum>
  <w:abstractNum w:abstractNumId="5">
    <w:nsid w:val="1F16E9E8"/>
    <w:multiLevelType w:val="hybridMultilevel"/>
    <w:lvl w:ilvl="0">
      <w:lvlJc w:val="left"/>
      <w:lvlText w:val="%1."/>
      <w:numFmt w:val="decimal"/>
      <w:start w:val="2"/>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1."/>
      <w:numFmt w:val="decimal"/>
      <w:start w:val="2"/>
    </w:lvl>
    <w:lvl w:ilvl="1">
      <w:lvlJc w:val="left"/>
      <w:lvlText w:val="o"/>
      <w:numFmt w:val="bullet"/>
      <w:start w:val="1"/>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1."/>
      <w:numFmt w:val="decimal"/>
      <w:start w:val="4"/>
    </w:lvl>
  </w:abstractNum>
  <w:abstractNum w:abstractNumId="10">
    <w:nsid w:val="109CF92E"/>
    <w:multiLevelType w:val="hybridMultilevel"/>
    <w:lvl w:ilvl="0">
      <w:lvlJc w:val="left"/>
      <w:lvlText w:val="●"/>
      <w:numFmt w:val="bullet"/>
      <w:start w:val="1"/>
    </w:lvl>
  </w:abstractNum>
  <w:abstractNum w:abstractNumId="11">
    <w:nsid w:val="DED7263"/>
    <w:multiLevelType w:val="hybridMultilevel"/>
    <w:lvl w:ilvl="0">
      <w:lvlJc w:val="left"/>
      <w:lvlText w:val="%1."/>
      <w:numFmt w:val="decimal"/>
      <w:start w:val="5"/>
    </w:lvl>
  </w:abstractNum>
  <w:abstractNum w:abstractNumId="12">
    <w:nsid w:val="7FDCC233"/>
    <w:multiLevelType w:val="hybridMultilevel"/>
    <w:lvl w:ilvl="0">
      <w:lvlJc w:val="left"/>
      <w:lvlText w:val="●"/>
      <w:numFmt w:val="bullet"/>
      <w:start w:val="1"/>
    </w:lvl>
  </w:abstractNum>
  <w:abstractNum w:abstractNumId="13">
    <w:nsid w:val="1BEFD79F"/>
    <w:multiLevelType w:val="hybridMultilevel"/>
    <w:lvl w:ilvl="0">
      <w:lvlJc w:val="left"/>
      <w:lvlText w:val="●"/>
      <w:numFmt w:val="bullet"/>
      <w:start w:val="1"/>
    </w:lvl>
  </w:abstractNum>
  <w:abstractNum w:abstractNumId="14">
    <w:nsid w:val="41A7C4C9"/>
    <w:multiLevelType w:val="hybridMultilevel"/>
    <w:lvl w:ilvl="0">
      <w:lvlJc w:val="left"/>
      <w:lvlText w:val="●"/>
      <w:numFmt w:val="bullet"/>
      <w:start w:val="1"/>
    </w:lvl>
  </w:abstractNum>
  <w:abstractNum w:abstractNumId="15">
    <w:nsid w:val="6B68079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2026-05-29T17:36:26Z</dcterms:created>
  <dcterms:modified xsi:type="dcterms:W3CDTF">2026-05-29T17:36:26Z</dcterms:modified>
</cp:coreProperties>
</file>