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341630</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401955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 xml:space="preserve">  </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4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49"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8" w:lineRule="exact"/>
        <w:rPr>
          <w:rFonts w:ascii="MS PGothic" w:cs="MS PGothic" w:eastAsia="MS PGothic" w:hAnsi="MS PGothic"/>
          <w:sz w:val="18"/>
          <w:szCs w:val="18"/>
          <w:color w:val="auto"/>
        </w:rPr>
      </w:pPr>
    </w:p>
    <w:p>
      <w:pPr>
        <w:ind w:left="1260" w:right="1939"/>
        <w:spacing w:after="0" w:line="251"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8"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5"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5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54610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9"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r>
        <w:rPr>
          <w:rFonts w:ascii="Arial" w:cs="Arial" w:eastAsia="Arial" w:hAnsi="Arial"/>
          <w:sz w:val="17"/>
          <w:szCs w:val="17"/>
          <w:color w:val="auto"/>
        </w:rPr>
        <w:t>​</w:t>
      </w:r>
    </w:p>
    <w:p>
      <w:pPr>
        <w:spacing w:after="0" w:line="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519" w:hanging="360"/>
        <w:spacing w:after="0" w:line="275"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101600</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3843655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sectPr>
      </w:pPr>
    </w:p>
    <w:bookmarkStart w:id="1" w:name="page2"/>
    <w:bookmarkEnd w:id="1"/>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-47625</wp:posOffset>
            </wp:positionV>
            <wp:extent cx="7025005" cy="9090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5005" cy="909066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264795</wp:posOffset>
            </wp:positionV>
            <wp:extent cx="149161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29146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787400</wp:posOffset>
            </wp:positionV>
            <wp:extent cx="555498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00"/>
        <w:spacing w:after="0"/>
        <w:rPr>
          <w:sz w:val="20"/>
          <w:szCs w:val="20"/>
          <w:color w:val="auto"/>
        </w:rPr>
      </w:pPr>
      <w:r>
        <w:rPr>
          <w:rFonts w:ascii="Arial" w:cs="Arial" w:eastAsia="Arial" w:hAnsi="Arial"/>
          <w:sz w:val="38"/>
          <w:szCs w:val="38"/>
          <w:b w:val="1"/>
          <w:bCs w:val="1"/>
          <w:color w:val="FEFEFE"/>
        </w:rPr>
        <w:t>NOTICE OF 2023 ANNUAL MEETING OF</w:t>
      </w:r>
    </w:p>
    <w:p>
      <w:pPr>
        <w:spacing w:after="0" w:line="86" w:lineRule="exact"/>
        <w:rPr>
          <w:sz w:val="20"/>
          <w:szCs w:val="20"/>
          <w:color w:val="auto"/>
        </w:rPr>
      </w:pPr>
    </w:p>
    <w:p>
      <w:pPr>
        <w:jc w:val="center"/>
        <w:ind w:right="-700"/>
        <w:spacing w:after="0"/>
        <w:rPr>
          <w:sz w:val="20"/>
          <w:szCs w:val="20"/>
          <w:color w:val="auto"/>
        </w:rPr>
      </w:pPr>
      <w:r>
        <w:rPr>
          <w:rFonts w:ascii="Arial" w:cs="Arial" w:eastAsia="Arial" w:hAnsi="Arial"/>
          <w:sz w:val="40"/>
          <w:szCs w:val="40"/>
          <w:b w:val="1"/>
          <w:bCs w:val="1"/>
          <w:color w:val="FEFEFE"/>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252730</wp:posOffset>
            </wp:positionV>
            <wp:extent cx="2417445" cy="1979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7445" cy="1979930"/>
                    </a:xfrm>
                    <a:prstGeom prst="rect">
                      <a:avLst/>
                    </a:prstGeom>
                    <a:noFill/>
                  </pic:spPr>
                </pic:pic>
              </a:graphicData>
            </a:graphic>
          </wp:anchor>
        </w:drawing>
      </w:r>
    </w:p>
    <w:p>
      <w:pPr>
        <w:sectPr>
          <w:pgSz w:w="11900" w:h="16838" w:orient="portrait"/>
          <w:cols w:equalWidth="0" w:num="1">
            <w:col w:w="9719"/>
          </w:cols>
          <w:pgMar w:left="740" w:top="1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DATE</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Thursday, November 16, 2023</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TIME</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8:00 am local time</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PLACE</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Avnet’s Corporate Headquarters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2211 South 47th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Phoenix, Arizona 85034</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RECORD DATE</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September 18, 2023</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53C072"/>
        </w:rPr>
        <w:t>YOUR VOTE IS IMPORTANT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53C072"/>
        </w:rPr>
        <w:t>ITEMS OF BUSINESS</w:t>
      </w:r>
    </w:p>
    <w:p>
      <w:pPr>
        <w:spacing w:after="0" w:line="158" w:lineRule="exact"/>
        <w:rPr>
          <w:sz w:val="20"/>
          <w:szCs w:val="20"/>
          <w:color w:val="auto"/>
        </w:rPr>
      </w:pPr>
    </w:p>
    <w:p>
      <w:pPr>
        <w:jc w:val="both"/>
        <w:ind w:left="366" w:right="259" w:hanging="366"/>
        <w:spacing w:after="0" w:line="258"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135" w:lineRule="exact"/>
        <w:rPr>
          <w:rFonts w:ascii="Arial" w:cs="Arial" w:eastAsia="Arial" w:hAnsi="Arial"/>
          <w:sz w:val="18"/>
          <w:szCs w:val="18"/>
          <w:b w:val="1"/>
          <w:bCs w:val="1"/>
          <w:color w:val="53C072"/>
        </w:rPr>
      </w:pPr>
    </w:p>
    <w:p>
      <w:pPr>
        <w:ind w:left="366" w:right="199" w:hanging="366"/>
        <w:spacing w:after="0" w:line="275"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conduct an advisory vote on named executive compensation.</w:t>
      </w:r>
    </w:p>
    <w:p>
      <w:pPr>
        <w:spacing w:after="0" w:line="119" w:lineRule="exact"/>
        <w:rPr>
          <w:rFonts w:ascii="Arial" w:cs="Arial" w:eastAsia="Arial" w:hAnsi="Arial"/>
          <w:sz w:val="18"/>
          <w:szCs w:val="18"/>
          <w:b w:val="1"/>
          <w:bCs w:val="1"/>
          <w:color w:val="53C072"/>
        </w:rPr>
      </w:pPr>
    </w:p>
    <w:p>
      <w:pPr>
        <w:ind w:left="366" w:right="259" w:hanging="366"/>
        <w:spacing w:after="0" w:line="263"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conduct an advisory vote on the frequency of future advisory votes on named executive compensation.</w:t>
      </w:r>
    </w:p>
    <w:p>
      <w:pPr>
        <w:spacing w:after="0" w:line="129" w:lineRule="exact"/>
        <w:rPr>
          <w:rFonts w:ascii="Arial" w:cs="Arial" w:eastAsia="Arial" w:hAnsi="Arial"/>
          <w:sz w:val="18"/>
          <w:szCs w:val="18"/>
          <w:b w:val="1"/>
          <w:bCs w:val="1"/>
          <w:color w:val="53C072"/>
        </w:rPr>
      </w:pPr>
    </w:p>
    <w:p>
      <w:pPr>
        <w:ind w:left="366" w:right="259" w:hanging="366"/>
        <w:spacing w:after="0" w:line="258"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29, 2024.</w:t>
      </w:r>
    </w:p>
    <w:p>
      <w:pPr>
        <w:spacing w:after="0" w:line="50" w:lineRule="exact"/>
        <w:rPr>
          <w:sz w:val="20"/>
          <w:szCs w:val="20"/>
          <w:color w:val="auto"/>
        </w:rPr>
      </w:pPr>
    </w:p>
    <w:p>
      <w:pPr>
        <w:sectPr>
          <w:pgSz w:w="11900" w:h="16838" w:orient="portrait"/>
          <w:cols w:equalWidth="0" w:num="2">
            <w:col w:w="4574" w:space="720"/>
            <w:col w:w="4425"/>
          </w:cols>
          <w:pgMar w:left="740" w:top="156" w:right="1440"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B2B2B2"/>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47625</wp:posOffset>
            </wp:positionV>
            <wp:extent cx="241744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643255"/>
                    </a:xfrm>
                    <a:prstGeom prst="rect">
                      <a:avLst/>
                    </a:prstGeom>
                    <a:noFill/>
                  </pic:spPr>
                </pic:pic>
              </a:graphicData>
            </a:graphic>
          </wp:anchor>
        </w:drawing>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INTERNET</w:t>
      </w:r>
    </w:p>
    <w:p>
      <w:pPr>
        <w:spacing w:after="0" w:line="25" w:lineRule="exact"/>
        <w:rPr>
          <w:sz w:val="20"/>
          <w:szCs w:val="20"/>
          <w:color w:val="auto"/>
        </w:rPr>
      </w:pPr>
    </w:p>
    <w:p>
      <w:pPr>
        <w:ind w:left="940" w:right="1454"/>
        <w:spacing w:after="0" w:line="278"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250825</wp:posOffset>
            </wp:positionV>
            <wp:extent cx="241744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7445" cy="7112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TELEPHONE</w:t>
      </w:r>
    </w:p>
    <w:p>
      <w:pPr>
        <w:spacing w:after="0" w:line="39" w:lineRule="exact"/>
        <w:rPr>
          <w:sz w:val="20"/>
          <w:szCs w:val="20"/>
          <w:color w:val="auto"/>
        </w:rPr>
      </w:pPr>
    </w:p>
    <w:p>
      <w:pPr>
        <w:jc w:val="both"/>
        <w:ind w:left="940" w:right="934"/>
        <w:spacing w:after="0" w:line="278"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319405</wp:posOffset>
            </wp:positionV>
            <wp:extent cx="241744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5911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MAIL</w:t>
      </w:r>
    </w:p>
    <w:p>
      <w:pPr>
        <w:spacing w:after="0" w:line="39" w:lineRule="exact"/>
        <w:rPr>
          <w:sz w:val="20"/>
          <w:szCs w:val="20"/>
          <w:color w:val="auto"/>
        </w:rPr>
      </w:pPr>
    </w:p>
    <w:p>
      <w:pPr>
        <w:jc w:val="both"/>
        <w:ind w:left="940" w:right="1294"/>
        <w:spacing w:after="0" w:line="262"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87630</wp:posOffset>
            </wp:positionV>
            <wp:extent cx="241744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7445" cy="488315"/>
                    </a:xfrm>
                    <a:prstGeom prst="rect">
                      <a:avLst/>
                    </a:prstGeom>
                    <a:noFill/>
                  </pic:spPr>
                </pic:pic>
              </a:graphicData>
            </a:graphic>
          </wp:anchor>
        </w:drawing>
      </w:r>
    </w:p>
    <w:p>
      <w:pPr>
        <w:spacing w:after="0" w:line="23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 PERSON</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Cast your vote in person at the</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annual meeting.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66" w:right="159" w:hanging="366"/>
        <w:spacing w:after="0" w:line="285" w:lineRule="auto"/>
        <w:tabs>
          <w:tab w:leader="none" w:pos="366" w:val="left"/>
        </w:tabs>
        <w:numPr>
          <w:ilvl w:val="0"/>
          <w:numId w:val="5"/>
        </w:numPr>
        <w:rPr>
          <w:rFonts w:ascii="Arial" w:cs="Arial" w:eastAsia="Arial" w:hAnsi="Arial"/>
          <w:sz w:val="17"/>
          <w:szCs w:val="17"/>
          <w:b w:val="1"/>
          <w:bCs w:val="1"/>
          <w:color w:val="53C072"/>
        </w:rPr>
      </w:pPr>
      <w:r>
        <w:rPr>
          <w:rFonts w:ascii="Arial" w:cs="Arial" w:eastAsia="Arial" w:hAnsi="Arial"/>
          <w:sz w:val="17"/>
          <w:szCs w:val="17"/>
          <w:color w:val="auto"/>
        </w:rPr>
        <w:t>To take action with respect to such other matters as may properly come before the Annual Meeting (including postponements and adjournments).</w:t>
      </w:r>
    </w:p>
    <w:p>
      <w:pPr>
        <w:spacing w:after="0" w:line="87" w:lineRule="exact"/>
        <w:rPr>
          <w:sz w:val="20"/>
          <w:szCs w:val="20"/>
          <w:color w:val="auto"/>
        </w:rPr>
      </w:pPr>
    </w:p>
    <w:p>
      <w:pPr>
        <w:ind w:left="6" w:right="39"/>
        <w:spacing w:after="0" w:line="255" w:lineRule="auto"/>
        <w:rPr>
          <w:sz w:val="20"/>
          <w:szCs w:val="20"/>
          <w:color w:val="auto"/>
        </w:rPr>
      </w:pPr>
      <w:r>
        <w:rPr>
          <w:rFonts w:ascii="Arial" w:cs="Arial" w:eastAsia="Arial" w:hAnsi="Arial"/>
          <w:sz w:val="18"/>
          <w:szCs w:val="18"/>
          <w:color w:val="auto"/>
        </w:rPr>
        <w:t>The Board of Directors has fixed the close of business on September 18, 2023, as the record date for the Annual Meeting. Only holders of record of shares of Avnet’s common stock at the close of business on such date shall be entitled to notice of and to vote at the Annual Meeting or any adjournment thereof.</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3544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53C072"/>
        </w:rPr>
        <w:t>Darrel S. Jackson</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Secretary</w:t>
      </w:r>
    </w:p>
    <w:p>
      <w:pPr>
        <w:spacing w:after="0" w:line="142" w:lineRule="exact"/>
        <w:rPr>
          <w:sz w:val="20"/>
          <w:szCs w:val="20"/>
          <w:color w:val="auto"/>
        </w:rPr>
      </w:pPr>
    </w:p>
    <w:p>
      <w:pPr>
        <w:ind w:left="6"/>
        <w:spacing w:after="0"/>
        <w:rPr>
          <w:sz w:val="20"/>
          <w:szCs w:val="20"/>
          <w:color w:val="auto"/>
        </w:rPr>
      </w:pPr>
      <w:r>
        <w:rPr>
          <w:rFonts w:ascii="Arial" w:cs="Arial" w:eastAsia="Arial" w:hAnsi="Arial"/>
          <w:sz w:val="16"/>
          <w:szCs w:val="16"/>
          <w:color w:val="auto"/>
        </w:rPr>
        <w:t>October 2, 2023</w:t>
      </w:r>
    </w:p>
    <w:p>
      <w:pPr>
        <w:sectPr>
          <w:pgSz w:w="11900" w:h="16838" w:orient="portrait"/>
          <w:cols w:equalWidth="0" w:num="2">
            <w:col w:w="4574" w:space="720"/>
            <w:col w:w="4425"/>
          </w:cols>
          <w:pgMar w:left="740" w:top="156"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409575</wp:posOffset>
            </wp:positionV>
            <wp:extent cx="555498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37"/>
          <w:szCs w:val="37"/>
          <w:b w:val="1"/>
          <w:bCs w:val="1"/>
          <w:color w:val="FEFEFE"/>
        </w:rPr>
        <w:t>TABLE OF CONTENTS</w:t>
      </w:r>
      <w:r>
        <w:rPr>
          <w:rFonts w:ascii="Arial" w:cs="Arial" w:eastAsia="Arial" w:hAnsi="Arial"/>
          <w:sz w:val="16"/>
          <w:szCs w:val="16"/>
          <w:color w:val="FEFEFE"/>
        </w:rPr>
        <w:t>​</w:t>
      </w:r>
    </w:p>
    <w:p>
      <w:pPr>
        <w:sectPr>
          <w:pgSz w:w="11900" w:h="16838" w:orient="portrait"/>
          <w:cols w:equalWidth="0" w:num="1">
            <w:col w:w="10720"/>
          </w:cols>
          <w:pgMar w:left="580" w:top="90" w:right="599" w:bottom="1014" w:gutter="0" w:footer="0" w:header="0"/>
        </w:sectPr>
      </w:pPr>
    </w:p>
    <w:p>
      <w:pPr>
        <w:spacing w:after="0" w:line="293" w:lineRule="exact"/>
        <w:rPr>
          <w:sz w:val="20"/>
          <w:szCs w:val="20"/>
          <w:color w:val="auto"/>
        </w:rPr>
      </w:pPr>
    </w:p>
    <w:tbl>
      <w:tblPr>
        <w:tblLayout w:type="fixed"/>
        <w:tblInd w:w="980" w:type="dxa"/>
        <w:tblCellMar>
          <w:top w:w="0" w:type="dxa"/>
          <w:left w:w="0" w:type="dxa"/>
          <w:bottom w:w="0" w:type="dxa"/>
          <w:right w:w="0" w:type="dxa"/>
        </w:tblCellMar>
      </w:tblPr>
      <w:tr>
        <w:trPr>
          <w:trHeight w:val="358"/>
        </w:trPr>
        <w:tc>
          <w:tcPr>
            <w:tcW w:w="3940" w:type="dxa"/>
            <w:vAlign w:val="bottom"/>
            <w:gridSpan w:val="26"/>
            <w:shd w:val="clear" w:color="auto" w:fill="CCEEFF"/>
          </w:tcPr>
          <w:p>
            <w:pPr>
              <w:ind w:left="20"/>
              <w:spacing w:after="0"/>
              <w:rPr>
                <w:sz w:val="20"/>
                <w:szCs w:val="20"/>
                <w:color w:val="auto"/>
              </w:rPr>
            </w:pPr>
            <w:r>
              <w:rPr>
                <w:rFonts w:ascii="Arial" w:cs="Arial" w:eastAsia="Arial" w:hAnsi="Arial"/>
                <w:sz w:val="22"/>
                <w:szCs w:val="22"/>
                <w:b w:val="1"/>
                <w:bCs w:val="1"/>
                <w:color w:val="53C072"/>
              </w:rPr>
              <w:t>Proxy Statement Summary</w:t>
            </w:r>
            <w:r>
              <w:rPr>
                <w:rFonts w:ascii="Arial" w:cs="Arial" w:eastAsia="Arial" w:hAnsi="Arial"/>
                <w:sz w:val="17"/>
                <w:szCs w:val="17"/>
                <w:color w:val="000000"/>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8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lef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14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14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14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gridSpan w:val="26"/>
          </w:tcPr>
          <w:p>
            <w:pPr>
              <w:ind w:left="20"/>
              <w:spacing w:after="0"/>
              <w:rPr>
                <w:sz w:val="20"/>
                <w:szCs w:val="20"/>
                <w:color w:val="auto"/>
              </w:rPr>
            </w:pPr>
            <w:r>
              <w:rPr>
                <w:rFonts w:ascii="Arial" w:cs="Arial" w:eastAsia="Arial" w:hAnsi="Arial"/>
                <w:sz w:val="22"/>
                <w:szCs w:val="22"/>
                <w:b w:val="1"/>
                <w:bCs w:val="1"/>
                <w:color w:val="53C072"/>
              </w:rPr>
              <w:t>Proxy Statement</w:t>
            </w:r>
            <w:r>
              <w:rPr>
                <w:rFonts w:ascii="Arial" w:cs="Arial" w:eastAsia="Arial" w:hAnsi="Arial"/>
                <w:sz w:val="17"/>
                <w:szCs w:val="17"/>
                <w:color w:val="000000"/>
              </w:rPr>
              <w:t>​</w:t>
            </w:r>
          </w:p>
        </w:tc>
        <w:tc>
          <w:tcPr>
            <w:tcW w:w="360" w:type="dxa"/>
            <w:vAlign w:val="bottom"/>
            <w:gridSpan w:val="4"/>
          </w:tcPr>
          <w:p>
            <w:pPr>
              <w:jc w:val="right"/>
              <w:ind w:right="20"/>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760" w:type="dxa"/>
            <w:vAlign w:val="bottom"/>
            <w:gridSpan w:val="25"/>
            <w:shd w:val="clear" w:color="auto" w:fill="CCEEFF"/>
          </w:tcPr>
          <w:p>
            <w:pPr>
              <w:ind w:left="20"/>
              <w:spacing w:after="0"/>
              <w:rPr>
                <w:sz w:val="20"/>
                <w:szCs w:val="20"/>
                <w:color w:val="auto"/>
              </w:rPr>
            </w:pPr>
            <w:r>
              <w:rPr>
                <w:rFonts w:ascii="Arial" w:cs="Arial" w:eastAsia="Arial" w:hAnsi="Arial"/>
                <w:sz w:val="18"/>
                <w:szCs w:val="18"/>
                <w:color w:val="0000EE"/>
              </w:rPr>
              <w:t>Proxy and Revocation of Proxy</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460" w:type="dxa"/>
            <w:vAlign w:val="bottom"/>
            <w:gridSpan w:val="13"/>
          </w:tcPr>
          <w:p>
            <w:pPr>
              <w:ind w:left="20"/>
              <w:spacing w:after="0" w:line="169" w:lineRule="exact"/>
              <w:rPr>
                <w:sz w:val="20"/>
                <w:szCs w:val="20"/>
                <w:color w:val="auto"/>
              </w:rPr>
            </w:pPr>
            <w:r>
              <w:rPr>
                <w:rFonts w:ascii="Arial" w:cs="Arial" w:eastAsia="Arial" w:hAnsi="Arial"/>
                <w:sz w:val="18"/>
                <w:szCs w:val="18"/>
                <w:color w:val="0000EE"/>
              </w:rPr>
              <w:t>Broker Voting</w:t>
            </w:r>
          </w:p>
        </w:tc>
        <w:tc>
          <w:tcPr>
            <w:tcW w:w="1300" w:type="dxa"/>
            <w:vAlign w:val="bottom"/>
            <w:gridSpan w:val="12"/>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60" w:type="dxa"/>
            <w:vAlign w:val="bottom"/>
            <w:gridSpan w:val="25"/>
            <w:shd w:val="clear" w:color="auto" w:fill="CCEEFF"/>
          </w:tcPr>
          <w:p>
            <w:pPr>
              <w:ind w:left="20"/>
              <w:spacing w:after="0" w:line="169" w:lineRule="exact"/>
              <w:rPr>
                <w:sz w:val="20"/>
                <w:szCs w:val="20"/>
                <w:color w:val="auto"/>
              </w:rPr>
            </w:pPr>
            <w:r>
              <w:rPr>
                <w:rFonts w:ascii="Arial" w:cs="Arial" w:eastAsia="Arial" w:hAnsi="Arial"/>
                <w:sz w:val="18"/>
                <w:szCs w:val="18"/>
                <w:color w:val="0000EE"/>
              </w:rPr>
              <w:t>Meeting Attendance</w:t>
            </w: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660" w:type="dxa"/>
            <w:vAlign w:val="bottom"/>
            <w:gridSpan w:val="2"/>
          </w:tcPr>
          <w:p>
            <w:pPr>
              <w:ind w:left="20"/>
              <w:spacing w:after="0" w:line="169" w:lineRule="exact"/>
              <w:rPr>
                <w:sz w:val="20"/>
                <w:szCs w:val="20"/>
                <w:color w:val="auto"/>
              </w:rPr>
            </w:pPr>
            <w:r>
              <w:rPr>
                <w:rFonts w:ascii="Arial" w:cs="Arial" w:eastAsia="Arial" w:hAnsi="Arial"/>
                <w:sz w:val="18"/>
                <w:szCs w:val="18"/>
                <w:color w:val="0000EE"/>
                <w:w w:val="95"/>
              </w:rPr>
              <w:t>Quorum</w:t>
            </w:r>
          </w:p>
        </w:tc>
        <w:tc>
          <w:tcPr>
            <w:tcW w:w="940" w:type="dxa"/>
            <w:vAlign w:val="bottom"/>
            <w:gridSpan w:val="6"/>
          </w:tcPr>
          <w:p>
            <w:pPr>
              <w:spacing w:after="0"/>
              <w:rPr>
                <w:sz w:val="14"/>
                <w:szCs w:val="14"/>
                <w:color w:val="auto"/>
              </w:rPr>
            </w:pPr>
          </w:p>
        </w:tc>
        <w:tc>
          <w:tcPr>
            <w:tcW w:w="2160" w:type="dxa"/>
            <w:vAlign w:val="bottom"/>
            <w:gridSpan w:val="17"/>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60" w:type="dxa"/>
            <w:vAlign w:val="bottom"/>
            <w:gridSpan w:val="25"/>
            <w:shd w:val="clear" w:color="auto" w:fill="CCEEFF"/>
          </w:tcPr>
          <w:p>
            <w:pPr>
              <w:ind w:left="20"/>
              <w:spacing w:after="0" w:line="169" w:lineRule="exact"/>
              <w:rPr>
                <w:sz w:val="20"/>
                <w:szCs w:val="20"/>
                <w:color w:val="auto"/>
              </w:rPr>
            </w:pPr>
            <w:r>
              <w:rPr>
                <w:rFonts w:ascii="Arial" w:cs="Arial" w:eastAsia="Arial" w:hAnsi="Arial"/>
                <w:sz w:val="18"/>
                <w:szCs w:val="18"/>
                <w:color w:val="0000EE"/>
              </w:rPr>
              <w:t>Required Vote and Board Recommendations</w:t>
            </w: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gridSpan w:val="26"/>
          </w:tcPr>
          <w:p>
            <w:pPr>
              <w:ind w:left="20"/>
              <w:spacing w:after="0"/>
              <w:rPr>
                <w:sz w:val="20"/>
                <w:szCs w:val="20"/>
                <w:color w:val="auto"/>
              </w:rPr>
            </w:pPr>
            <w:r>
              <w:rPr>
                <w:rFonts w:ascii="Arial" w:cs="Arial" w:eastAsia="Arial" w:hAnsi="Arial"/>
                <w:sz w:val="22"/>
                <w:szCs w:val="22"/>
                <w:b w:val="1"/>
                <w:bCs w:val="1"/>
                <w:color w:val="53C072"/>
              </w:rPr>
              <w:t>Proposal 1 — Election of Directors</w:t>
            </w:r>
            <w:r>
              <w:rPr>
                <w:rFonts w:ascii="Arial" w:cs="Arial" w:eastAsia="Arial" w:hAnsi="Arial"/>
                <w:sz w:val="17"/>
                <w:szCs w:val="17"/>
                <w:color w:val="53C072"/>
              </w:rPr>
              <w:t>​</w:t>
            </w:r>
          </w:p>
        </w:tc>
        <w:tc>
          <w:tcPr>
            <w:tcW w:w="360" w:type="dxa"/>
            <w:vAlign w:val="bottom"/>
            <w:gridSpan w:val="4"/>
          </w:tcPr>
          <w:p>
            <w:pPr>
              <w:jc w:val="right"/>
              <w:ind w:right="2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0000EE"/>
                <w:w w:val="96"/>
              </w:rPr>
              <w:t>Nominees</w:t>
            </w:r>
          </w:p>
        </w:tc>
        <w:tc>
          <w:tcPr>
            <w:tcW w:w="2940" w:type="dxa"/>
            <w:vAlign w:val="bottom"/>
            <w:gridSpan w:val="22"/>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gridSpan w:val="26"/>
          </w:tcPr>
          <w:p>
            <w:pPr>
              <w:ind w:left="20"/>
              <w:spacing w:after="0"/>
              <w:rPr>
                <w:sz w:val="20"/>
                <w:szCs w:val="20"/>
                <w:color w:val="auto"/>
              </w:rPr>
            </w:pPr>
            <w:r>
              <w:rPr>
                <w:rFonts w:ascii="Arial" w:cs="Arial" w:eastAsia="Arial" w:hAnsi="Arial"/>
                <w:sz w:val="22"/>
                <w:szCs w:val="22"/>
                <w:b w:val="1"/>
                <w:bCs w:val="1"/>
                <w:color w:val="53C072"/>
              </w:rPr>
              <w:t>Corporate Governance</w:t>
            </w:r>
            <w:r>
              <w:rPr>
                <w:rFonts w:ascii="Arial" w:cs="Arial" w:eastAsia="Arial" w:hAnsi="Arial"/>
                <w:sz w:val="17"/>
                <w:szCs w:val="17"/>
                <w:color w:val="000000"/>
              </w:rPr>
              <w:t>​</w:t>
            </w:r>
          </w:p>
        </w:tc>
        <w:tc>
          <w:tcPr>
            <w:tcW w:w="360" w:type="dxa"/>
            <w:vAlign w:val="bottom"/>
            <w:gridSpan w:val="4"/>
          </w:tcPr>
          <w:p>
            <w:pPr>
              <w:jc w:val="right"/>
              <w:ind w:right="20"/>
              <w:spacing w:after="0"/>
              <w:rPr>
                <w:sz w:val="20"/>
                <w:szCs w:val="20"/>
                <w:color w:val="auto"/>
              </w:rPr>
            </w:pPr>
            <w:r>
              <w:rPr>
                <w:rFonts w:ascii="Arial" w:cs="Arial" w:eastAsia="Arial" w:hAnsi="Arial"/>
                <w:sz w:val="18"/>
                <w:szCs w:val="18"/>
                <w:color w:val="0000EE"/>
              </w:rPr>
              <w:t>15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760" w:type="dxa"/>
            <w:vAlign w:val="bottom"/>
            <w:gridSpan w:val="25"/>
            <w:shd w:val="clear" w:color="auto" w:fill="CCEEFF"/>
          </w:tcPr>
          <w:p>
            <w:pPr>
              <w:ind w:left="20"/>
              <w:spacing w:after="0"/>
              <w:rPr>
                <w:sz w:val="20"/>
                <w:szCs w:val="20"/>
                <w:color w:val="auto"/>
              </w:rPr>
            </w:pPr>
            <w:r>
              <w:rPr>
                <w:rFonts w:ascii="Arial" w:cs="Arial" w:eastAsia="Arial" w:hAnsi="Arial"/>
                <w:sz w:val="18"/>
                <w:szCs w:val="18"/>
                <w:color w:val="0000EE"/>
              </w:rPr>
              <w:t>Corporate Governance Guidelines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720" w:type="dxa"/>
            <w:vAlign w:val="bottom"/>
            <w:gridSpan w:val="16"/>
          </w:tcPr>
          <w:p>
            <w:pPr>
              <w:ind w:left="20"/>
              <w:spacing w:after="0" w:line="169" w:lineRule="exact"/>
              <w:rPr>
                <w:sz w:val="20"/>
                <w:szCs w:val="20"/>
                <w:color w:val="auto"/>
              </w:rPr>
            </w:pPr>
            <w:r>
              <w:rPr>
                <w:rFonts w:ascii="Arial" w:cs="Arial" w:eastAsia="Arial" w:hAnsi="Arial"/>
                <w:sz w:val="18"/>
                <w:szCs w:val="18"/>
                <w:color w:val="0000EE"/>
              </w:rPr>
              <w:t>Director Independence</w:t>
            </w:r>
          </w:p>
        </w:tc>
        <w:tc>
          <w:tcPr>
            <w:tcW w:w="1040" w:type="dxa"/>
            <w:vAlign w:val="bottom"/>
            <w:gridSpan w:val="9"/>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820" w:type="dxa"/>
            <w:vAlign w:val="bottom"/>
            <w:tcBorders>
              <w:right w:val="single" w:sz="8" w:color="CCEEFF"/>
            </w:tcBorders>
            <w:gridSpan w:val="10"/>
            <w:shd w:val="clear" w:color="auto" w:fill="CCEEFF"/>
          </w:tcPr>
          <w:p>
            <w:pPr>
              <w:ind w:left="20"/>
              <w:spacing w:after="0" w:line="169" w:lineRule="exact"/>
              <w:rPr>
                <w:sz w:val="20"/>
                <w:szCs w:val="20"/>
                <w:color w:val="auto"/>
              </w:rPr>
            </w:pPr>
            <w:r>
              <w:rPr>
                <w:rFonts w:ascii="Arial" w:cs="Arial" w:eastAsia="Arial" w:hAnsi="Arial"/>
                <w:sz w:val="18"/>
                <w:szCs w:val="18"/>
                <w:color w:val="0000EE"/>
                <w:w w:val="99"/>
              </w:rPr>
              <w:t>Board Diversity Matrix</w:t>
            </w:r>
          </w:p>
        </w:tc>
        <w:tc>
          <w:tcPr>
            <w:tcW w:w="1940" w:type="dxa"/>
            <w:vAlign w:val="bottom"/>
            <w:gridSpan w:val="15"/>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200" w:type="dxa"/>
            <w:vAlign w:val="bottom"/>
            <w:gridSpan w:val="12"/>
          </w:tcPr>
          <w:p>
            <w:pPr>
              <w:ind w:left="20"/>
              <w:spacing w:after="0" w:line="169" w:lineRule="exact"/>
              <w:rPr>
                <w:sz w:val="20"/>
                <w:szCs w:val="20"/>
                <w:color w:val="auto"/>
              </w:rPr>
            </w:pPr>
            <w:r>
              <w:rPr>
                <w:rFonts w:ascii="Arial" w:cs="Arial" w:eastAsia="Arial" w:hAnsi="Arial"/>
                <w:sz w:val="18"/>
                <w:szCs w:val="18"/>
                <w:color w:val="0000EE"/>
                <w:w w:val="97"/>
              </w:rPr>
              <w:t>Board Leadership Structure</w:t>
            </w:r>
          </w:p>
        </w:tc>
        <w:tc>
          <w:tcPr>
            <w:tcW w:w="1560" w:type="dxa"/>
            <w:vAlign w:val="bottom"/>
            <w:gridSpan w:val="13"/>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200" w:type="dxa"/>
            <w:vAlign w:val="bottom"/>
            <w:tcBorders>
              <w:righ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8"/>
                <w:szCs w:val="18"/>
                <w:color w:val="0000EE"/>
              </w:rPr>
              <w:t>Executive Sessions</w:t>
            </w:r>
          </w:p>
        </w:tc>
        <w:tc>
          <w:tcPr>
            <w:tcW w:w="1560" w:type="dxa"/>
            <w:vAlign w:val="bottom"/>
            <w:tcBorders>
              <w:left w:val="single" w:sz="8" w:color="CCEEFF"/>
            </w:tcBorders>
            <w:gridSpan w:val="13"/>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60" w:type="dxa"/>
            <w:vAlign w:val="bottom"/>
            <w:gridSpan w:val="25"/>
          </w:tcPr>
          <w:p>
            <w:pPr>
              <w:ind w:left="20"/>
              <w:spacing w:after="0" w:line="169" w:lineRule="exact"/>
              <w:rPr>
                <w:sz w:val="20"/>
                <w:szCs w:val="20"/>
                <w:color w:val="auto"/>
              </w:rPr>
            </w:pPr>
            <w:r>
              <w:rPr>
                <w:rFonts w:ascii="Arial" w:cs="Arial" w:eastAsia="Arial" w:hAnsi="Arial"/>
                <w:sz w:val="18"/>
                <w:szCs w:val="18"/>
                <w:color w:val="0000EE"/>
              </w:rPr>
              <w:t>Director Nominations</w:t>
            </w: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640" w:type="dxa"/>
            <w:vAlign w:val="bottom"/>
            <w:gridSpan w:val="15"/>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Board and Committee Evaluation</w:t>
            </w:r>
          </w:p>
        </w:tc>
        <w:tc>
          <w:tcPr>
            <w:tcW w:w="1120" w:type="dxa"/>
            <w:vAlign w:val="bottom"/>
            <w:gridSpan w:val="10"/>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640" w:type="dxa"/>
            <w:vAlign w:val="bottom"/>
            <w:gridSpan w:val="24"/>
          </w:tcPr>
          <w:p>
            <w:pPr>
              <w:ind w:left="20"/>
              <w:spacing w:after="0" w:line="169" w:lineRule="exact"/>
              <w:rPr>
                <w:sz w:val="20"/>
                <w:szCs w:val="20"/>
                <w:color w:val="auto"/>
              </w:rPr>
            </w:pPr>
            <w:r>
              <w:rPr>
                <w:rFonts w:ascii="Arial" w:cs="Arial" w:eastAsia="Arial" w:hAnsi="Arial"/>
                <w:sz w:val="18"/>
                <w:szCs w:val="18"/>
                <w:color w:val="0000EE"/>
                <w:w w:val="98"/>
              </w:rPr>
              <w:t>The Board’s Role in Management Succession</w:t>
            </w:r>
          </w:p>
        </w:tc>
        <w:tc>
          <w:tcPr>
            <w:tcW w:w="120" w:type="dxa"/>
            <w:vAlign w:val="bottom"/>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800" w:type="dxa"/>
            <w:vAlign w:val="bottom"/>
            <w:gridSpan w:val="17"/>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The Board’s Role in Risk Oversight</w:t>
            </w:r>
          </w:p>
        </w:tc>
        <w:tc>
          <w:tcPr>
            <w:tcW w:w="840" w:type="dxa"/>
            <w:vAlign w:val="bottom"/>
            <w:gridSpan w:val="7"/>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120" w:type="dxa"/>
            <w:vAlign w:val="bottom"/>
            <w:gridSpan w:val="19"/>
          </w:tcPr>
          <w:p>
            <w:pPr>
              <w:ind w:left="20"/>
              <w:spacing w:after="0" w:line="169" w:lineRule="exact"/>
              <w:rPr>
                <w:sz w:val="20"/>
                <w:szCs w:val="20"/>
                <w:color w:val="auto"/>
              </w:rPr>
            </w:pPr>
            <w:r>
              <w:rPr>
                <w:rFonts w:ascii="Arial" w:cs="Arial" w:eastAsia="Arial" w:hAnsi="Arial"/>
                <w:sz w:val="18"/>
                <w:szCs w:val="18"/>
                <w:color w:val="0000EE"/>
                <w:w w:val="98"/>
              </w:rPr>
              <w:t>Environmental, Social and Governance</w:t>
            </w:r>
          </w:p>
        </w:tc>
        <w:tc>
          <w:tcPr>
            <w:tcW w:w="640" w:type="dxa"/>
            <w:vAlign w:val="bottom"/>
            <w:gridSpan w:val="6"/>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120" w:type="dxa"/>
            <w:vAlign w:val="bottom"/>
            <w:tcBorders>
              <w:right w:val="single" w:sz="8" w:color="CCEEFF"/>
            </w:tcBorders>
            <w:gridSpan w:val="19"/>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ESG Governance and Board Oversight</w:t>
            </w:r>
          </w:p>
        </w:tc>
        <w:tc>
          <w:tcPr>
            <w:tcW w:w="640" w:type="dxa"/>
            <w:vAlign w:val="bottom"/>
            <w:gridSpan w:val="6"/>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60" w:type="dxa"/>
            <w:vAlign w:val="bottom"/>
            <w:gridSpan w:val="25"/>
          </w:tcPr>
          <w:p>
            <w:pPr>
              <w:ind w:left="20"/>
              <w:spacing w:after="0" w:line="169" w:lineRule="exact"/>
              <w:rPr>
                <w:sz w:val="20"/>
                <w:szCs w:val="20"/>
                <w:color w:val="auto"/>
              </w:rPr>
            </w:pPr>
            <w:r>
              <w:rPr>
                <w:rFonts w:ascii="Arial" w:cs="Arial" w:eastAsia="Arial" w:hAnsi="Arial"/>
                <w:sz w:val="18"/>
                <w:szCs w:val="18"/>
                <w:color w:val="0000EE"/>
              </w:rPr>
              <w:t>Compensation Committee Interlocks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Insider Participation</w:t>
            </w:r>
          </w:p>
        </w:tc>
        <w:tc>
          <w:tcPr>
            <w:tcW w:w="520" w:type="dxa"/>
            <w:vAlign w:val="bottom"/>
            <w:gridSpan w:val="5"/>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34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0000EE"/>
                <w:w w:val="94"/>
              </w:rPr>
              <w:t>Code of Conduct</w:t>
            </w:r>
          </w:p>
        </w:tc>
        <w:tc>
          <w:tcPr>
            <w:tcW w:w="2420" w:type="dxa"/>
            <w:vAlign w:val="bottom"/>
            <w:tcBorders>
              <w:left w:val="single" w:sz="8" w:color="CCEEFF"/>
            </w:tcBorders>
            <w:gridSpan w:val="18"/>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60" w:type="dxa"/>
            <w:vAlign w:val="bottom"/>
            <w:gridSpan w:val="25"/>
          </w:tcPr>
          <w:p>
            <w:pPr>
              <w:ind w:left="20"/>
              <w:spacing w:after="0" w:line="169" w:lineRule="exact"/>
              <w:rPr>
                <w:sz w:val="20"/>
                <w:szCs w:val="20"/>
                <w:color w:val="auto"/>
              </w:rPr>
            </w:pPr>
            <w:r>
              <w:rPr>
                <w:rFonts w:ascii="Arial" w:cs="Arial" w:eastAsia="Arial" w:hAnsi="Arial"/>
                <w:sz w:val="18"/>
                <w:szCs w:val="18"/>
                <w:color w:val="0000EE"/>
              </w:rPr>
              <w:t>Policy Against Pledging and Hedging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24"/>
          </w:tcPr>
          <w:p>
            <w:pPr>
              <w:spacing w:after="0" w:line="196" w:lineRule="exact"/>
              <w:rPr>
                <w:sz w:val="20"/>
                <w:szCs w:val="20"/>
                <w:color w:val="auto"/>
              </w:rPr>
            </w:pPr>
            <w:r>
              <w:rPr>
                <w:rFonts w:ascii="Arial" w:cs="Arial" w:eastAsia="Arial" w:hAnsi="Arial"/>
                <w:sz w:val="18"/>
                <w:szCs w:val="18"/>
                <w:color w:val="0000EE"/>
              </w:rPr>
              <w:t>Economic Risk of Owning the Company’s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Securities</w:t>
            </w:r>
          </w:p>
        </w:tc>
        <w:tc>
          <w:tcPr>
            <w:tcW w:w="300" w:type="dxa"/>
            <w:vAlign w:val="bottom"/>
            <w:gridSpan w:val="3"/>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3760" w:type="dxa"/>
            <w:vAlign w:val="bottom"/>
            <w:gridSpan w:val="25"/>
            <w:shd w:val="clear" w:color="auto" w:fill="CCEEFF"/>
          </w:tcPr>
          <w:p>
            <w:pPr>
              <w:ind w:left="20"/>
              <w:spacing w:after="0" w:line="176" w:lineRule="exact"/>
              <w:rPr>
                <w:sz w:val="20"/>
                <w:szCs w:val="20"/>
                <w:color w:val="auto"/>
              </w:rPr>
            </w:pPr>
            <w:r>
              <w:rPr>
                <w:rFonts w:ascii="Arial" w:cs="Arial" w:eastAsia="Arial" w:hAnsi="Arial"/>
                <w:sz w:val="18"/>
                <w:szCs w:val="18"/>
                <w:color w:val="0000EE"/>
              </w:rPr>
              <w:t>Reporting Ethical Concerns</w:t>
            </w:r>
          </w:p>
        </w:tc>
        <w:tc>
          <w:tcPr>
            <w:tcW w:w="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200" w:type="dxa"/>
            <w:vAlign w:val="bottom"/>
            <w:gridSpan w:val="12"/>
          </w:tcPr>
          <w:p>
            <w:pPr>
              <w:ind w:left="20"/>
              <w:spacing w:after="0" w:line="169" w:lineRule="exact"/>
              <w:rPr>
                <w:sz w:val="20"/>
                <w:szCs w:val="20"/>
                <w:color w:val="auto"/>
              </w:rPr>
            </w:pPr>
            <w:r>
              <w:rPr>
                <w:rFonts w:ascii="Arial" w:cs="Arial" w:eastAsia="Arial" w:hAnsi="Arial"/>
                <w:sz w:val="18"/>
                <w:szCs w:val="18"/>
                <w:color w:val="0000EE"/>
                <w:w w:val="94"/>
              </w:rPr>
              <w:t>Stock Ownership Guidelines</w:t>
            </w:r>
          </w:p>
        </w:tc>
        <w:tc>
          <w:tcPr>
            <w:tcW w:w="1560" w:type="dxa"/>
            <w:vAlign w:val="bottom"/>
            <w:gridSpan w:val="13"/>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020" w:type="dxa"/>
            <w:vAlign w:val="bottom"/>
            <w:tcBorders>
              <w:right w:val="single" w:sz="8" w:color="CCEEFF"/>
            </w:tcBorders>
            <w:gridSpan w:val="11"/>
            <w:shd w:val="clear" w:color="auto" w:fill="CCEEFF"/>
          </w:tcPr>
          <w:p>
            <w:pPr>
              <w:ind w:left="20"/>
              <w:spacing w:after="0" w:line="169" w:lineRule="exact"/>
              <w:rPr>
                <w:sz w:val="20"/>
                <w:szCs w:val="20"/>
                <w:color w:val="auto"/>
              </w:rPr>
            </w:pPr>
            <w:r>
              <w:rPr>
                <w:rFonts w:ascii="Arial" w:cs="Arial" w:eastAsia="Arial" w:hAnsi="Arial"/>
                <w:sz w:val="18"/>
                <w:szCs w:val="18"/>
                <w:color w:val="0000EE"/>
                <w:w w:val="99"/>
              </w:rPr>
              <w:t>The Company’s Website</w:t>
            </w:r>
          </w:p>
        </w:tc>
        <w:tc>
          <w:tcPr>
            <w:tcW w:w="180" w:type="dxa"/>
            <w:vAlign w:val="bottom"/>
            <w:tcBorders>
              <w:right w:val="single" w:sz="8" w:color="CCEEFF"/>
            </w:tcBorders>
            <w:shd w:val="clear" w:color="auto" w:fill="CCEEFF"/>
          </w:tcPr>
          <w:p>
            <w:pPr>
              <w:spacing w:after="0"/>
              <w:rPr>
                <w:sz w:val="14"/>
                <w:szCs w:val="14"/>
                <w:color w:val="auto"/>
              </w:rPr>
            </w:pPr>
          </w:p>
        </w:tc>
        <w:tc>
          <w:tcPr>
            <w:tcW w:w="1560" w:type="dxa"/>
            <w:vAlign w:val="bottom"/>
            <w:tcBorders>
              <w:left w:val="single" w:sz="8" w:color="CCEEFF"/>
            </w:tcBorders>
            <w:gridSpan w:val="13"/>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0000EE"/>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020" w:type="dxa"/>
            <w:vAlign w:val="bottom"/>
            <w:gridSpan w:val="11"/>
          </w:tcPr>
          <w:p>
            <w:pPr>
              <w:ind w:left="20"/>
              <w:spacing w:after="0" w:line="169" w:lineRule="exact"/>
              <w:rPr>
                <w:sz w:val="20"/>
                <w:szCs w:val="20"/>
                <w:color w:val="auto"/>
              </w:rPr>
            </w:pPr>
            <w:r>
              <w:rPr>
                <w:rFonts w:ascii="Arial" w:cs="Arial" w:eastAsia="Arial" w:hAnsi="Arial"/>
                <w:sz w:val="18"/>
                <w:szCs w:val="18"/>
                <w:color w:val="0000EE"/>
                <w:w w:val="96"/>
              </w:rPr>
              <w:t>Director Communications</w:t>
            </w:r>
          </w:p>
        </w:tc>
        <w:tc>
          <w:tcPr>
            <w:tcW w:w="1740" w:type="dxa"/>
            <w:vAlign w:val="bottom"/>
            <w:gridSpan w:val="14"/>
          </w:tcPr>
          <w:p>
            <w:pPr>
              <w:spacing w:after="0"/>
              <w:rPr>
                <w:sz w:val="14"/>
                <w:szCs w:val="14"/>
                <w:color w:val="auto"/>
              </w:rPr>
            </w:pPr>
          </w:p>
        </w:tc>
        <w:tc>
          <w:tcPr>
            <w:tcW w:w="340" w:type="dxa"/>
            <w:vAlign w:val="bottom"/>
            <w:gridSpan w:val="3"/>
          </w:tcPr>
          <w:p>
            <w:pPr>
              <w:jc w:val="right"/>
              <w:spacing w:after="0" w:line="169" w:lineRule="exact"/>
              <w:rPr>
                <w:sz w:val="20"/>
                <w:szCs w:val="20"/>
                <w:color w:val="auto"/>
              </w:rPr>
            </w:pPr>
            <w:r>
              <w:rPr>
                <w:rFonts w:ascii="Arial" w:cs="Arial" w:eastAsia="Arial" w:hAnsi="Arial"/>
                <w:sz w:val="18"/>
                <w:szCs w:val="18"/>
                <w:color w:val="0000EE"/>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20" w:type="dxa"/>
            <w:vAlign w:val="bottom"/>
            <w:tcBorders>
              <w:bottom w:val="single" w:sz="8" w:color="53C072"/>
              <w:right w:val="single" w:sz="8" w:color="CCEEFF"/>
            </w:tcBorders>
            <w:gridSpan w:val="19"/>
            <w:shd w:val="clear" w:color="auto" w:fill="CCEEFF"/>
          </w:tcPr>
          <w:p>
            <w:pPr>
              <w:ind w:left="20"/>
              <w:spacing w:after="0"/>
              <w:rPr>
                <w:sz w:val="20"/>
                <w:szCs w:val="20"/>
                <w:color w:val="auto"/>
              </w:rPr>
            </w:pPr>
            <w:r>
              <w:rPr>
                <w:rFonts w:ascii="Arial" w:cs="Arial" w:eastAsia="Arial" w:hAnsi="Arial"/>
                <w:sz w:val="22"/>
                <w:szCs w:val="22"/>
                <w:b w:val="1"/>
                <w:bCs w:val="1"/>
                <w:color w:val="53C072"/>
                <w:w w:val="97"/>
              </w:rPr>
              <w:t>The Board of Directors and its</w:t>
            </w:r>
          </w:p>
        </w:tc>
        <w:tc>
          <w:tcPr>
            <w:tcW w:w="820" w:type="dxa"/>
            <w:vAlign w:val="bottom"/>
            <w:tcBorders>
              <w:bottom w:val="single" w:sz="8" w:color="CCEEFF"/>
            </w:tcBorders>
            <w:gridSpan w:val="7"/>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25"/>
            <w:shd w:val="clear" w:color="auto" w:fill="CCEEFF"/>
          </w:tcPr>
          <w:p>
            <w:pPr>
              <w:ind w:left="20"/>
              <w:spacing w:after="0" w:line="209" w:lineRule="exact"/>
              <w:rPr>
                <w:sz w:val="20"/>
                <w:szCs w:val="20"/>
                <w:color w:val="auto"/>
              </w:rPr>
            </w:pPr>
            <w:r>
              <w:rPr>
                <w:rFonts w:ascii="Arial" w:cs="Arial" w:eastAsia="Arial" w:hAnsi="Arial"/>
                <w:sz w:val="22"/>
                <w:szCs w:val="22"/>
                <w:b w:val="1"/>
                <w:bCs w:val="1"/>
                <w:color w:val="53C072"/>
              </w:rPr>
              <w:t>Committees</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tcBorders>
              <w:top w:val="single" w:sz="8" w:color="53C072"/>
            </w:tcBorders>
          </w:tcPr>
          <w:p>
            <w:pPr>
              <w:spacing w:after="0"/>
              <w:rPr>
                <w:sz w:val="17"/>
                <w:szCs w:val="17"/>
                <w:color w:val="auto"/>
              </w:rPr>
            </w:pPr>
          </w:p>
        </w:tc>
        <w:tc>
          <w:tcPr>
            <w:tcW w:w="1340" w:type="dxa"/>
            <w:vAlign w:val="bottom"/>
            <w:tcBorders>
              <w:top w:val="single" w:sz="8" w:color="53C072"/>
            </w:tcBorders>
            <w:gridSpan w:val="7"/>
          </w:tcPr>
          <w:p>
            <w:pPr>
              <w:ind w:left="20"/>
              <w:spacing w:after="0" w:line="197" w:lineRule="exact"/>
              <w:rPr>
                <w:sz w:val="20"/>
                <w:szCs w:val="20"/>
                <w:color w:val="auto"/>
              </w:rPr>
            </w:pPr>
            <w:r>
              <w:rPr>
                <w:rFonts w:ascii="Arial" w:cs="Arial" w:eastAsia="Arial" w:hAnsi="Arial"/>
                <w:sz w:val="18"/>
                <w:szCs w:val="18"/>
                <w:color w:val="0000EE"/>
                <w:w w:val="96"/>
              </w:rPr>
              <w:t>Audit Committee</w:t>
            </w:r>
          </w:p>
        </w:tc>
        <w:tc>
          <w:tcPr>
            <w:tcW w:w="2420" w:type="dxa"/>
            <w:vAlign w:val="bottom"/>
            <w:tcBorders>
              <w:top w:val="single" w:sz="8" w:color="53C072"/>
            </w:tcBorders>
            <w:gridSpan w:val="18"/>
          </w:tcPr>
          <w:p>
            <w:pPr>
              <w:spacing w:after="0"/>
              <w:rPr>
                <w:sz w:val="17"/>
                <w:szCs w:val="17"/>
                <w:color w:val="auto"/>
              </w:rPr>
            </w:pPr>
          </w:p>
        </w:tc>
        <w:tc>
          <w:tcPr>
            <w:tcW w:w="340" w:type="dxa"/>
            <w:vAlign w:val="bottom"/>
            <w:tcBorders>
              <w:top w:val="single" w:sz="8" w:color="53C072"/>
            </w:tcBorders>
            <w:gridSpan w:val="3"/>
          </w:tcPr>
          <w:p>
            <w:pPr>
              <w:jc w:val="right"/>
              <w:spacing w:after="0" w:line="197" w:lineRule="exact"/>
              <w:rPr>
                <w:sz w:val="20"/>
                <w:szCs w:val="20"/>
                <w:color w:val="auto"/>
              </w:rPr>
            </w:pPr>
            <w:r>
              <w:rPr>
                <w:rFonts w:ascii="Arial" w:cs="Arial" w:eastAsia="Arial" w:hAnsi="Arial"/>
                <w:sz w:val="18"/>
                <w:szCs w:val="18"/>
                <w:color w:val="0000EE"/>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560" w:type="dxa"/>
            <w:vAlign w:val="bottom"/>
            <w:tcBorders>
              <w:bottom w:val="single" w:sz="8" w:color="0000EE"/>
            </w:tcBorders>
            <w:gridSpan w:val="23"/>
          </w:tcPr>
          <w:p>
            <w:pPr>
              <w:ind w:left="20"/>
              <w:spacing w:after="0" w:line="169" w:lineRule="exact"/>
              <w:rPr>
                <w:sz w:val="20"/>
                <w:szCs w:val="20"/>
                <w:color w:val="auto"/>
              </w:rPr>
            </w:pPr>
            <w:r>
              <w:rPr>
                <w:rFonts w:ascii="Arial" w:cs="Arial" w:eastAsia="Arial" w:hAnsi="Arial"/>
                <w:sz w:val="18"/>
                <w:szCs w:val="18"/>
                <w:color w:val="0000EE"/>
                <w:w w:val="98"/>
              </w:rPr>
              <w:t>Compensation and Leadership Development</w:t>
            </w:r>
          </w:p>
        </w:tc>
        <w:tc>
          <w:tcPr>
            <w:tcW w:w="2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-119380</wp:posOffset>
            </wp:positionV>
            <wp:extent cx="270891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891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3160" w:type="dxa"/>
            <w:vAlign w:val="bottom"/>
            <w:tcBorders>
              <w:bottom w:val="single" w:sz="8" w:color="53C072"/>
              <w:right w:val="single" w:sz="8" w:color="CCEEFF"/>
            </w:tcBorders>
            <w:gridSpan w:val="11"/>
            <w:shd w:val="clear" w:color="auto" w:fill="CCEEFF"/>
          </w:tcPr>
          <w:p>
            <w:pPr>
              <w:spacing w:after="0"/>
              <w:rPr>
                <w:sz w:val="20"/>
                <w:szCs w:val="20"/>
                <w:color w:val="auto"/>
              </w:rPr>
            </w:pPr>
            <w:r>
              <w:rPr>
                <w:rFonts w:ascii="Arial" w:cs="Arial" w:eastAsia="Arial" w:hAnsi="Arial"/>
                <w:sz w:val="22"/>
                <w:szCs w:val="22"/>
                <w:b w:val="1"/>
                <w:bCs w:val="1"/>
                <w:color w:val="53C072"/>
                <w:w w:val="96"/>
              </w:rPr>
              <w:t>Proposal 2 — Advisory Vote on</w:t>
            </w:r>
          </w:p>
        </w:tc>
        <w:tc>
          <w:tcPr>
            <w:tcW w:w="800" w:type="dxa"/>
            <w:vAlign w:val="bottom"/>
            <w:tcBorders>
              <w:left w:val="single" w:sz="8" w:color="CCEEFF"/>
              <w:bottom w:val="single" w:sz="8" w:color="CCEEFF"/>
            </w:tcBorders>
            <w:gridSpan w:val="6"/>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0" w:type="dxa"/>
            <w:vAlign w:val="bottom"/>
            <w:shd w:val="clear" w:color="auto" w:fill="CCEEFF"/>
          </w:tcPr>
          <w:p>
            <w:pPr>
              <w:spacing w:after="0"/>
              <w:rPr>
                <w:sz w:val="24"/>
                <w:szCs w:val="24"/>
                <w:color w:val="auto"/>
              </w:rPr>
            </w:pPr>
          </w:p>
        </w:tc>
        <w:tc>
          <w:tcPr>
            <w:tcW w:w="3780" w:type="dxa"/>
            <w:vAlign w:val="bottom"/>
            <w:gridSpan w:val="16"/>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Named Executive Compensation</w:t>
            </w:r>
            <w:r>
              <w:rPr>
                <w:rFonts w:ascii="Arial" w:cs="Arial" w:eastAsia="Arial" w:hAnsi="Arial"/>
                <w:sz w:val="17"/>
                <w:szCs w:val="17"/>
                <w:color w:val="53C072"/>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53C072"/>
              <w:bottom w:val="single" w:sz="8" w:color="53C072"/>
            </w:tcBorders>
            <w:gridSpan w:val="11"/>
          </w:tcPr>
          <w:p>
            <w:pPr>
              <w:spacing w:after="0"/>
              <w:rPr>
                <w:sz w:val="20"/>
                <w:szCs w:val="20"/>
                <w:color w:val="auto"/>
              </w:rPr>
            </w:pPr>
            <w:r>
              <w:rPr>
                <w:rFonts w:ascii="Arial" w:cs="Arial" w:eastAsia="Arial" w:hAnsi="Arial"/>
                <w:sz w:val="22"/>
                <w:szCs w:val="22"/>
                <w:b w:val="1"/>
                <w:bCs w:val="1"/>
                <w:color w:val="53C072"/>
                <w:w w:val="97"/>
              </w:rPr>
              <w:t>Compensation Discussion and</w:t>
            </w:r>
          </w:p>
        </w:tc>
        <w:tc>
          <w:tcPr>
            <w:tcW w:w="800" w:type="dxa"/>
            <w:vAlign w:val="bottom"/>
            <w:tcBorders>
              <w:top w:val="single" w:sz="8" w:color="53C072"/>
            </w:tcBorders>
            <w:gridSpan w:val="6"/>
          </w:tcPr>
          <w:p>
            <w:pPr>
              <w:spacing w:after="0"/>
              <w:rPr>
                <w:sz w:val="24"/>
                <w:szCs w:val="24"/>
                <w:color w:val="auto"/>
              </w:rPr>
            </w:pPr>
          </w:p>
        </w:tc>
        <w:tc>
          <w:tcPr>
            <w:tcW w:w="10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780" w:type="dxa"/>
            <w:vAlign w:val="bottom"/>
            <w:gridSpan w:val="16"/>
          </w:tcPr>
          <w:p>
            <w:pPr>
              <w:spacing w:after="0" w:line="209" w:lineRule="exact"/>
              <w:rPr>
                <w:sz w:val="20"/>
                <w:szCs w:val="20"/>
                <w:color w:val="auto"/>
              </w:rPr>
            </w:pPr>
            <w:r>
              <w:rPr>
                <w:rFonts w:ascii="Arial" w:cs="Arial" w:eastAsia="Arial" w:hAnsi="Arial"/>
                <w:sz w:val="22"/>
                <w:szCs w:val="22"/>
                <w:b w:val="1"/>
                <w:bCs w:val="1"/>
                <w:color w:val="53C072"/>
              </w:rPr>
              <w:t>Analysis</w:t>
            </w:r>
          </w:p>
        </w:tc>
        <w:tc>
          <w:tcPr>
            <w:tcW w:w="100" w:type="dxa"/>
            <w:vAlign w:val="bottom"/>
          </w:tcPr>
          <w:p>
            <w:pPr>
              <w:spacing w:after="0"/>
              <w:rPr>
                <w:sz w:val="18"/>
                <w:szCs w:val="18"/>
                <w:color w:val="auto"/>
              </w:rPr>
            </w:pPr>
          </w:p>
        </w:tc>
        <w:tc>
          <w:tcPr>
            <w:tcW w:w="2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700" w:type="dxa"/>
            <w:vAlign w:val="bottom"/>
            <w:tcBorders>
              <w:bottom w:val="single" w:sz="8" w:color="53C07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700" w:type="dxa"/>
            <w:vAlign w:val="bottom"/>
            <w:tcBorders>
              <w:bottom w:val="single" w:sz="8" w:color="53C072"/>
            </w:tcBorders>
          </w:tcPr>
          <w:p>
            <w:pPr>
              <w:spacing w:after="0" w:line="20" w:lineRule="exact"/>
              <w:rPr>
                <w:sz w:val="1"/>
                <w:szCs w:val="1"/>
                <w:color w:val="auto"/>
              </w:rPr>
            </w:pPr>
          </w:p>
        </w:tc>
        <w:tc>
          <w:tcPr>
            <w:tcW w:w="46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500" w:type="dxa"/>
            <w:vAlign w:val="bottom"/>
            <w:tcBorders>
              <w:bottom w:val="single" w:sz="8" w:color="53C072"/>
            </w:tcBorders>
          </w:tcPr>
          <w:p>
            <w:pPr>
              <w:spacing w:after="0" w:line="20" w:lineRule="exact"/>
              <w:rPr>
                <w:sz w:val="1"/>
                <w:szCs w:val="1"/>
                <w:color w:val="auto"/>
              </w:rPr>
            </w:pPr>
          </w:p>
        </w:tc>
        <w:tc>
          <w:tcPr>
            <w:tcW w:w="2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0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3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200" w:type="dxa"/>
            <w:vAlign w:val="bottom"/>
            <w:tcBorders>
              <w:bottom w:val="single" w:sz="8" w:color="53C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shd w:val="clear" w:color="auto" w:fill="CCEEFF"/>
          </w:tcPr>
          <w:p>
            <w:pPr>
              <w:spacing w:after="0"/>
              <w:rPr>
                <w:sz w:val="17"/>
                <w:szCs w:val="17"/>
                <w:color w:val="auto"/>
              </w:rPr>
            </w:pPr>
          </w:p>
        </w:tc>
        <w:tc>
          <w:tcPr>
            <w:tcW w:w="3780" w:type="dxa"/>
            <w:vAlign w:val="bottom"/>
            <w:gridSpan w:val="16"/>
            <w:shd w:val="clear" w:color="auto" w:fill="CCEEFF"/>
          </w:tcPr>
          <w:p>
            <w:pPr>
              <w:spacing w:after="0" w:line="197" w:lineRule="exact"/>
              <w:rPr>
                <w:sz w:val="20"/>
                <w:szCs w:val="20"/>
                <w:color w:val="auto"/>
              </w:rPr>
            </w:pPr>
            <w:r>
              <w:rPr>
                <w:rFonts w:ascii="Arial" w:cs="Arial" w:eastAsia="Arial" w:hAnsi="Arial"/>
                <w:sz w:val="18"/>
                <w:szCs w:val="18"/>
                <w:color w:val="0000EE"/>
              </w:rPr>
              <w:t>Executive Summary</w:t>
            </w:r>
          </w:p>
        </w:tc>
        <w:tc>
          <w:tcPr>
            <w:tcW w:w="30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8"/>
                <w:szCs w:val="18"/>
                <w:color w:val="0000EE"/>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220" w:type="dxa"/>
            <w:vAlign w:val="bottom"/>
            <w:gridSpan w:val="11"/>
          </w:tcPr>
          <w:p>
            <w:pPr>
              <w:spacing w:after="0" w:line="169" w:lineRule="exact"/>
              <w:rPr>
                <w:sz w:val="20"/>
                <w:szCs w:val="20"/>
                <w:color w:val="auto"/>
              </w:rPr>
            </w:pPr>
            <w:r>
              <w:rPr>
                <w:rFonts w:ascii="Arial" w:cs="Arial" w:eastAsia="Arial" w:hAnsi="Arial"/>
                <w:sz w:val="18"/>
                <w:szCs w:val="18"/>
                <w:color w:val="0000EE"/>
                <w:w w:val="98"/>
              </w:rPr>
              <w:t>Compensation Governance and Process</w:t>
            </w:r>
          </w:p>
        </w:tc>
        <w:tc>
          <w:tcPr>
            <w:tcW w:w="560" w:type="dxa"/>
            <w:vAlign w:val="bottom"/>
            <w:gridSpan w:val="5"/>
          </w:tcPr>
          <w:p>
            <w:pPr>
              <w:spacing w:after="0"/>
              <w:rPr>
                <w:sz w:val="14"/>
                <w:szCs w:val="14"/>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220" w:type="dxa"/>
            <w:vAlign w:val="bottom"/>
            <w:tcBorders>
              <w:right w:val="single" w:sz="8" w:color="CCEE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EE"/>
              </w:rPr>
              <w:t>Overview of Pay Programs</w:t>
            </w:r>
          </w:p>
        </w:tc>
        <w:tc>
          <w:tcPr>
            <w:tcW w:w="560" w:type="dxa"/>
            <w:vAlign w:val="bottom"/>
            <w:gridSpan w:val="5"/>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980" w:type="dxa"/>
            <w:vAlign w:val="bottom"/>
            <w:gridSpan w:val="10"/>
          </w:tcPr>
          <w:p>
            <w:pPr>
              <w:spacing w:after="0" w:line="169" w:lineRule="exact"/>
              <w:rPr>
                <w:sz w:val="20"/>
                <w:szCs w:val="20"/>
                <w:color w:val="auto"/>
              </w:rPr>
            </w:pPr>
            <w:r>
              <w:rPr>
                <w:rFonts w:ascii="Arial" w:cs="Arial" w:eastAsia="Arial" w:hAnsi="Arial"/>
                <w:sz w:val="18"/>
                <w:szCs w:val="18"/>
                <w:color w:val="0000EE"/>
                <w:w w:val="98"/>
              </w:rPr>
              <w:t>Elements of Executive Compensation</w:t>
            </w:r>
          </w:p>
        </w:tc>
        <w:tc>
          <w:tcPr>
            <w:tcW w:w="800" w:type="dxa"/>
            <w:vAlign w:val="bottom"/>
            <w:gridSpan w:val="6"/>
          </w:tcPr>
          <w:p>
            <w:pPr>
              <w:spacing w:after="0"/>
              <w:rPr>
                <w:sz w:val="14"/>
                <w:szCs w:val="14"/>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45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80" w:type="dxa"/>
            <w:vAlign w:val="bottom"/>
            <w:gridSpan w:val="16"/>
            <w:shd w:val="clear" w:color="auto" w:fill="CCEEFF"/>
          </w:tcPr>
          <w:p>
            <w:pPr>
              <w:spacing w:after="0" w:line="169" w:lineRule="exact"/>
              <w:rPr>
                <w:sz w:val="20"/>
                <w:szCs w:val="20"/>
                <w:color w:val="auto"/>
              </w:rPr>
            </w:pPr>
            <w:r>
              <w:rPr>
                <w:rFonts w:ascii="Arial" w:cs="Arial" w:eastAsia="Arial" w:hAnsi="Arial"/>
                <w:sz w:val="18"/>
                <w:szCs w:val="18"/>
                <w:color w:val="0000EE"/>
              </w:rPr>
              <w:t>Additional Practices, Policies and Guidelines</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60" w:type="dxa"/>
            <w:vAlign w:val="bottom"/>
            <w:tcBorders>
              <w:bottom w:val="single" w:sz="8" w:color="53C072"/>
            </w:tcBorders>
            <w:gridSpan w:val="11"/>
          </w:tcPr>
          <w:p>
            <w:pPr>
              <w:spacing w:after="0"/>
              <w:rPr>
                <w:sz w:val="20"/>
                <w:szCs w:val="20"/>
                <w:color w:val="auto"/>
              </w:rPr>
            </w:pPr>
            <w:r>
              <w:rPr>
                <w:rFonts w:ascii="Arial" w:cs="Arial" w:eastAsia="Arial" w:hAnsi="Arial"/>
                <w:sz w:val="22"/>
                <w:szCs w:val="22"/>
                <w:b w:val="1"/>
                <w:bCs w:val="1"/>
                <w:color w:val="53C072"/>
                <w:w w:val="97"/>
              </w:rPr>
              <w:t>Compensation and Leadership</w:t>
            </w:r>
          </w:p>
        </w:tc>
        <w:tc>
          <w:tcPr>
            <w:tcW w:w="80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780" w:type="dxa"/>
            <w:vAlign w:val="bottom"/>
            <w:gridSpan w:val="16"/>
          </w:tcPr>
          <w:p>
            <w:pPr>
              <w:spacing w:after="0" w:line="209" w:lineRule="exact"/>
              <w:rPr>
                <w:sz w:val="20"/>
                <w:szCs w:val="20"/>
                <w:color w:val="auto"/>
              </w:rPr>
            </w:pPr>
            <w:r>
              <w:rPr>
                <w:rFonts w:ascii="Arial" w:cs="Arial" w:eastAsia="Arial" w:hAnsi="Arial"/>
                <w:sz w:val="22"/>
                <w:szCs w:val="22"/>
                <w:b w:val="1"/>
                <w:bCs w:val="1"/>
                <w:color w:val="53C072"/>
              </w:rPr>
              <w:t>Development Committee Report</w:t>
            </w:r>
            <w:r>
              <w:rPr>
                <w:rFonts w:ascii="Arial" w:cs="Arial" w:eastAsia="Arial" w:hAnsi="Arial"/>
                <w:sz w:val="17"/>
                <w:szCs w:val="17"/>
                <w:color w:val="000000"/>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EE"/>
              </w:rPr>
              <w:t>54</w:t>
            </w:r>
          </w:p>
        </w:tc>
        <w:tc>
          <w:tcPr>
            <w:tcW w:w="0" w:type="dxa"/>
            <w:vAlign w:val="bottom"/>
          </w:tcPr>
          <w:p>
            <w:pPr>
              <w:spacing w:after="0"/>
              <w:rPr>
                <w:sz w:val="1"/>
                <w:szCs w:val="1"/>
                <w:color w:val="auto"/>
              </w:rPr>
            </w:pPr>
          </w:p>
        </w:tc>
      </w:tr>
      <w:tr>
        <w:trPr>
          <w:trHeight w:val="28"/>
        </w:trPr>
        <w:tc>
          <w:tcPr>
            <w:tcW w:w="180" w:type="dxa"/>
            <w:vAlign w:val="bottom"/>
            <w:tcBorders>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700" w:type="dxa"/>
            <w:vAlign w:val="bottom"/>
            <w:tcBorders>
              <w:top w:val="single" w:sz="8" w:color="53C072"/>
              <w:bottom w:val="single" w:sz="8" w:color="53C072"/>
            </w:tcBorders>
          </w:tcPr>
          <w:p>
            <w:pPr>
              <w:spacing w:after="0"/>
              <w:rPr>
                <w:sz w:val="2"/>
                <w:szCs w:val="2"/>
                <w:color w:val="auto"/>
              </w:rPr>
            </w:pPr>
          </w:p>
        </w:tc>
        <w:tc>
          <w:tcPr>
            <w:tcW w:w="460" w:type="dxa"/>
            <w:vAlign w:val="bottom"/>
            <w:tcBorders>
              <w:top w:val="single" w:sz="8" w:color="53C072"/>
              <w:bottom w:val="single" w:sz="8" w:color="53C072"/>
            </w:tcBorders>
          </w:tcPr>
          <w:p>
            <w:pPr>
              <w:spacing w:after="0"/>
              <w:rPr>
                <w:sz w:val="2"/>
                <w:szCs w:val="2"/>
                <w:color w:val="auto"/>
              </w:rPr>
            </w:pPr>
          </w:p>
        </w:tc>
        <w:tc>
          <w:tcPr>
            <w:tcW w:w="280" w:type="dxa"/>
            <w:vAlign w:val="bottom"/>
            <w:tcBorders>
              <w:top w:val="single" w:sz="8" w:color="53C072"/>
              <w:bottom w:val="single" w:sz="8" w:color="53C072"/>
            </w:tcBorders>
          </w:tcPr>
          <w:p>
            <w:pPr>
              <w:spacing w:after="0"/>
              <w:rPr>
                <w:sz w:val="2"/>
                <w:szCs w:val="2"/>
                <w:color w:val="auto"/>
              </w:rPr>
            </w:pPr>
          </w:p>
        </w:tc>
        <w:tc>
          <w:tcPr>
            <w:tcW w:w="50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0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40" w:type="dxa"/>
            <w:vAlign w:val="bottom"/>
            <w:tcBorders>
              <w:top w:val="single" w:sz="8" w:color="53C072"/>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3960" w:type="dxa"/>
            <w:vAlign w:val="bottom"/>
            <w:gridSpan w:val="17"/>
            <w:shd w:val="clear" w:color="auto" w:fill="CCEEFF"/>
          </w:tcPr>
          <w:p>
            <w:pPr>
              <w:spacing w:after="0"/>
              <w:rPr>
                <w:sz w:val="20"/>
                <w:szCs w:val="20"/>
                <w:color w:val="auto"/>
              </w:rPr>
            </w:pPr>
            <w:r>
              <w:rPr>
                <w:rFonts w:ascii="Arial" w:cs="Arial" w:eastAsia="Arial" w:hAnsi="Arial"/>
                <w:sz w:val="22"/>
                <w:szCs w:val="22"/>
                <w:b w:val="1"/>
                <w:bCs w:val="1"/>
                <w:color w:val="53C072"/>
                <w:shd w:val="clear" w:color="auto" w:fill="CCEEFF"/>
              </w:rPr>
              <w:t>Compensation of Executive Officers</w:t>
            </w:r>
            <w:r>
              <w:rPr>
                <w:rFonts w:ascii="Arial" w:cs="Arial" w:eastAsia="Arial" w:hAnsi="Arial"/>
                <w:sz w:val="17"/>
                <w:szCs w:val="17"/>
                <w:color w:val="000000"/>
                <w:shd w:val="clear" w:color="auto" w:fill="CCEEFF"/>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shd w:val="clear" w:color="auto" w:fill="CCEE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700" w:type="dxa"/>
            <w:vAlign w:val="bottom"/>
            <w:tcBorders>
              <w:top w:val="single" w:sz="8" w:color="53C072"/>
            </w:tcBorders>
            <w:shd w:val="clear" w:color="auto" w:fill="53C072"/>
          </w:tcPr>
          <w:p>
            <w:pPr>
              <w:spacing w:after="0" w:line="20" w:lineRule="exact"/>
              <w:rPr>
                <w:sz w:val="1"/>
                <w:szCs w:val="1"/>
                <w:color w:val="auto"/>
              </w:rPr>
            </w:pPr>
          </w:p>
        </w:tc>
        <w:tc>
          <w:tcPr>
            <w:tcW w:w="4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50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4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34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780" w:type="dxa"/>
            <w:vAlign w:val="bottom"/>
            <w:gridSpan w:val="16"/>
          </w:tcPr>
          <w:p>
            <w:pPr>
              <w:spacing w:after="0"/>
              <w:rPr>
                <w:sz w:val="20"/>
                <w:szCs w:val="20"/>
                <w:color w:val="auto"/>
              </w:rPr>
            </w:pPr>
            <w:r>
              <w:rPr>
                <w:rFonts w:ascii="Arial" w:cs="Arial" w:eastAsia="Arial" w:hAnsi="Arial"/>
                <w:sz w:val="18"/>
                <w:szCs w:val="18"/>
                <w:color w:val="0000EE"/>
              </w:rPr>
              <w:t>Summary Compensation Table</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EE"/>
              </w:rPr>
              <w:t>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80" w:type="dxa"/>
            <w:vAlign w:val="bottom"/>
            <w:gridSpan w:val="16"/>
            <w:shd w:val="clear" w:color="auto" w:fill="CCEEFF"/>
          </w:tcPr>
          <w:p>
            <w:pPr>
              <w:spacing w:after="0" w:line="169" w:lineRule="exact"/>
              <w:rPr>
                <w:sz w:val="20"/>
                <w:szCs w:val="20"/>
                <w:color w:val="auto"/>
              </w:rPr>
            </w:pPr>
            <w:r>
              <w:rPr>
                <w:rFonts w:ascii="Arial" w:cs="Arial" w:eastAsia="Arial" w:hAnsi="Arial"/>
                <w:sz w:val="18"/>
                <w:szCs w:val="18"/>
                <w:color w:val="0000EE"/>
              </w:rPr>
              <w:t>Equity Compensation Plan Information</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980" w:type="dxa"/>
            <w:vAlign w:val="bottom"/>
            <w:gridSpan w:val="10"/>
          </w:tcPr>
          <w:p>
            <w:pPr>
              <w:spacing w:after="0" w:line="169" w:lineRule="exact"/>
              <w:rPr>
                <w:sz w:val="20"/>
                <w:szCs w:val="20"/>
                <w:color w:val="auto"/>
              </w:rPr>
            </w:pPr>
            <w:r>
              <w:rPr>
                <w:rFonts w:ascii="Arial" w:cs="Arial" w:eastAsia="Arial" w:hAnsi="Arial"/>
                <w:sz w:val="18"/>
                <w:szCs w:val="18"/>
                <w:color w:val="0000EE"/>
              </w:rPr>
              <w:t>Grants of Plan-Based Awards</w:t>
            </w:r>
          </w:p>
        </w:tc>
        <w:tc>
          <w:tcPr>
            <w:tcW w:w="800" w:type="dxa"/>
            <w:vAlign w:val="bottom"/>
            <w:gridSpan w:val="6"/>
          </w:tcPr>
          <w:p>
            <w:pPr>
              <w:spacing w:after="0"/>
              <w:rPr>
                <w:sz w:val="14"/>
                <w:szCs w:val="14"/>
                <w:color w:val="auto"/>
              </w:rPr>
            </w:pPr>
          </w:p>
        </w:tc>
        <w:tc>
          <w:tcPr>
            <w:tcW w:w="3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80" w:type="dxa"/>
            <w:vAlign w:val="bottom"/>
            <w:tcBorders>
              <w:right w:val="single" w:sz="8" w:color="CCEEFF"/>
            </w:tcBorders>
            <w:gridSpan w:val="15"/>
            <w:shd w:val="clear" w:color="auto" w:fill="CCEEFF"/>
          </w:tcPr>
          <w:p>
            <w:pPr>
              <w:spacing w:after="0" w:line="169" w:lineRule="exact"/>
              <w:rPr>
                <w:sz w:val="20"/>
                <w:szCs w:val="20"/>
                <w:color w:val="auto"/>
              </w:rPr>
            </w:pPr>
            <w:r>
              <w:rPr>
                <w:rFonts w:ascii="Arial" w:cs="Arial" w:eastAsia="Arial" w:hAnsi="Arial"/>
                <w:sz w:val="18"/>
                <w:szCs w:val="18"/>
                <w:color w:val="0000EE"/>
                <w:w w:val="98"/>
              </w:rPr>
              <w:t>Outstanding Equity Awards at Fiscal Year-End</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680" w:type="dxa"/>
            <w:vAlign w:val="bottom"/>
            <w:gridSpan w:val="15"/>
          </w:tcPr>
          <w:p>
            <w:pPr>
              <w:spacing w:after="0" w:line="176" w:lineRule="exact"/>
              <w:rPr>
                <w:sz w:val="20"/>
                <w:szCs w:val="20"/>
                <w:color w:val="auto"/>
              </w:rPr>
            </w:pPr>
            <w:r>
              <w:rPr>
                <w:rFonts w:ascii="Arial" w:cs="Arial" w:eastAsia="Arial" w:hAnsi="Arial"/>
                <w:sz w:val="18"/>
                <w:szCs w:val="18"/>
                <w:color w:val="0000EE"/>
              </w:rPr>
              <w:t>Option Exercises and Stock Vested</w:t>
            </w:r>
          </w:p>
        </w:tc>
        <w:tc>
          <w:tcPr>
            <w:tcW w:w="100" w:type="dxa"/>
            <w:vAlign w:val="bottom"/>
          </w:tcPr>
          <w:p>
            <w:pPr>
              <w:spacing w:after="0"/>
              <w:rPr>
                <w:sz w:val="15"/>
                <w:szCs w:val="15"/>
                <w:color w:val="auto"/>
              </w:rPr>
            </w:pP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EE"/>
                <w:w w:val="96"/>
              </w:rPr>
              <w:t>Pension Benefits</w:t>
            </w:r>
          </w:p>
        </w:tc>
        <w:tc>
          <w:tcPr>
            <w:tcW w:w="1440" w:type="dxa"/>
            <w:vAlign w:val="bottom"/>
            <w:gridSpan w:val="6"/>
            <w:shd w:val="clear" w:color="auto" w:fill="CCEEFF"/>
          </w:tcPr>
          <w:p>
            <w:pPr>
              <w:spacing w:after="0"/>
              <w:rPr>
                <w:sz w:val="14"/>
                <w:szCs w:val="14"/>
                <w:color w:val="auto"/>
              </w:rPr>
            </w:pPr>
          </w:p>
        </w:tc>
        <w:tc>
          <w:tcPr>
            <w:tcW w:w="1000" w:type="dxa"/>
            <w:vAlign w:val="bottom"/>
            <w:gridSpan w:val="7"/>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80" w:type="dxa"/>
            <w:vAlign w:val="bottom"/>
            <w:gridSpan w:val="16"/>
          </w:tcPr>
          <w:p>
            <w:pPr>
              <w:spacing w:after="0" w:line="169" w:lineRule="exact"/>
              <w:rPr>
                <w:sz w:val="20"/>
                <w:szCs w:val="20"/>
                <w:color w:val="auto"/>
              </w:rPr>
            </w:pPr>
            <w:r>
              <w:rPr>
                <w:rFonts w:ascii="Arial" w:cs="Arial" w:eastAsia="Arial" w:hAnsi="Arial"/>
                <w:sz w:val="18"/>
                <w:szCs w:val="18"/>
                <w:color w:val="0000EE"/>
              </w:rPr>
              <w:t>Potential Payouts Upon Termination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top w:val="single" w:sz="8" w:color="0000EE"/>
            </w:tcBorders>
            <w:gridSpan w:val="11"/>
          </w:tcPr>
          <w:p>
            <w:pPr>
              <w:ind w:left="180"/>
              <w:spacing w:after="0" w:line="196" w:lineRule="exact"/>
              <w:rPr>
                <w:sz w:val="20"/>
                <w:szCs w:val="20"/>
                <w:color w:val="auto"/>
              </w:rPr>
            </w:pPr>
            <w:r>
              <w:rPr>
                <w:rFonts w:ascii="Arial" w:cs="Arial" w:eastAsia="Arial" w:hAnsi="Arial"/>
                <w:sz w:val="18"/>
                <w:szCs w:val="18"/>
                <w:color w:val="0000EE"/>
              </w:rPr>
              <w:t>Change of Control</w:t>
            </w:r>
          </w:p>
        </w:tc>
        <w:tc>
          <w:tcPr>
            <w:tcW w:w="560" w:type="dxa"/>
            <w:vAlign w:val="bottom"/>
            <w:gridSpan w:val="5"/>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EE"/>
              </w:rPr>
              <w:t>60</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60" w:type="dxa"/>
            <w:vAlign w:val="bottom"/>
            <w:gridSpan w:val="17"/>
            <w:shd w:val="clear" w:color="auto" w:fill="CCEEFF"/>
          </w:tcPr>
          <w:p>
            <w:pPr>
              <w:spacing w:after="0"/>
              <w:rPr>
                <w:sz w:val="20"/>
                <w:szCs w:val="20"/>
                <w:color w:val="auto"/>
              </w:rPr>
            </w:pPr>
            <w:r>
              <w:rPr>
                <w:rFonts w:ascii="Arial" w:cs="Arial" w:eastAsia="Arial" w:hAnsi="Arial"/>
                <w:sz w:val="22"/>
                <w:szCs w:val="22"/>
                <w:b w:val="1"/>
                <w:bCs w:val="1"/>
                <w:color w:val="53C072"/>
              </w:rPr>
              <w:t>CEO Pay Ratio</w:t>
            </w:r>
            <w:r>
              <w:rPr>
                <w:rFonts w:ascii="Arial" w:cs="Arial" w:eastAsia="Arial" w:hAnsi="Arial"/>
                <w:sz w:val="17"/>
                <w:szCs w:val="17"/>
                <w:color w:val="000000"/>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700" w:type="dxa"/>
            <w:vAlign w:val="bottom"/>
            <w:tcBorders>
              <w:top w:val="single" w:sz="8" w:color="53C072"/>
            </w:tcBorders>
            <w:shd w:val="clear" w:color="auto" w:fill="53C072"/>
          </w:tcPr>
          <w:p>
            <w:pPr>
              <w:spacing w:after="0" w:line="20" w:lineRule="exact"/>
              <w:rPr>
                <w:sz w:val="1"/>
                <w:szCs w:val="1"/>
                <w:color w:val="auto"/>
              </w:rPr>
            </w:pPr>
          </w:p>
        </w:tc>
        <w:tc>
          <w:tcPr>
            <w:tcW w:w="4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8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500" w:type="dxa"/>
            <w:vAlign w:val="bottom"/>
            <w:tcBorders>
              <w:top w:val="single" w:sz="8" w:color="CCEEFF"/>
            </w:tcBorders>
            <w:shd w:val="clear" w:color="auto" w:fill="53C072"/>
          </w:tcPr>
          <w:p>
            <w:pPr>
              <w:spacing w:after="0" w:line="20" w:lineRule="exact"/>
              <w:rPr>
                <w:sz w:val="1"/>
                <w:szCs w:val="1"/>
                <w:color w:val="auto"/>
              </w:rPr>
            </w:pPr>
          </w:p>
        </w:tc>
        <w:tc>
          <w:tcPr>
            <w:tcW w:w="22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6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CCEEFF"/>
              <w:left w:val="single" w:sz="8" w:color="53C072"/>
              <w:right w:val="single" w:sz="8" w:color="53C072"/>
            </w:tcBorders>
            <w:shd w:val="clear" w:color="auto" w:fill="53C072"/>
          </w:tcPr>
          <w:p>
            <w:pPr>
              <w:spacing w:after="0" w:line="20" w:lineRule="exact"/>
              <w:rPr>
                <w:sz w:val="1"/>
                <w:szCs w:val="1"/>
                <w:color w:val="auto"/>
              </w:rPr>
            </w:pPr>
          </w:p>
        </w:tc>
        <w:tc>
          <w:tcPr>
            <w:tcW w:w="4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34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60" w:type="dxa"/>
            <w:vAlign w:val="bottom"/>
            <w:gridSpan w:val="17"/>
          </w:tcPr>
          <w:p>
            <w:pPr>
              <w:spacing w:after="0"/>
              <w:rPr>
                <w:sz w:val="20"/>
                <w:szCs w:val="20"/>
                <w:color w:val="auto"/>
              </w:rPr>
            </w:pPr>
            <w:r>
              <w:rPr>
                <w:rFonts w:ascii="Arial" w:cs="Arial" w:eastAsia="Arial" w:hAnsi="Arial"/>
                <w:sz w:val="22"/>
                <w:szCs w:val="22"/>
                <w:b w:val="1"/>
                <w:bCs w:val="1"/>
                <w:color w:val="53C072"/>
              </w:rPr>
              <w:t>Pay Versus Performance</w:t>
            </w:r>
            <w:r>
              <w:rPr>
                <w:rFonts w:ascii="Arial" w:cs="Arial" w:eastAsia="Arial" w:hAnsi="Arial"/>
                <w:sz w:val="17"/>
                <w:szCs w:val="17"/>
                <w:color w:val="000000"/>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700" w:type="dxa"/>
            <w:vAlign w:val="bottom"/>
            <w:tcBorders>
              <w:top w:val="single" w:sz="8" w:color="53C072"/>
              <w:bottom w:val="single" w:sz="8" w:color="53C072"/>
            </w:tcBorders>
          </w:tcPr>
          <w:p>
            <w:pPr>
              <w:spacing w:after="0"/>
              <w:rPr>
                <w:sz w:val="2"/>
                <w:szCs w:val="2"/>
                <w:color w:val="auto"/>
              </w:rPr>
            </w:pPr>
          </w:p>
        </w:tc>
        <w:tc>
          <w:tcPr>
            <w:tcW w:w="460" w:type="dxa"/>
            <w:vAlign w:val="bottom"/>
            <w:tcBorders>
              <w:top w:val="single" w:sz="8" w:color="53C072"/>
              <w:bottom w:val="single" w:sz="8" w:color="53C072"/>
            </w:tcBorders>
          </w:tcPr>
          <w:p>
            <w:pPr>
              <w:spacing w:after="0"/>
              <w:rPr>
                <w:sz w:val="2"/>
                <w:szCs w:val="2"/>
                <w:color w:val="auto"/>
              </w:rPr>
            </w:pPr>
          </w:p>
        </w:tc>
        <w:tc>
          <w:tcPr>
            <w:tcW w:w="280" w:type="dxa"/>
            <w:vAlign w:val="bottom"/>
            <w:tcBorders>
              <w:top w:val="single" w:sz="8" w:color="53C072"/>
              <w:bottom w:val="single" w:sz="8" w:color="53C072"/>
            </w:tcBorders>
          </w:tcPr>
          <w:p>
            <w:pPr>
              <w:spacing w:after="0"/>
              <w:rPr>
                <w:sz w:val="2"/>
                <w:szCs w:val="2"/>
                <w:color w:val="auto"/>
              </w:rPr>
            </w:pPr>
          </w:p>
        </w:tc>
        <w:tc>
          <w:tcPr>
            <w:tcW w:w="50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4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3960" w:type="dxa"/>
            <w:vAlign w:val="bottom"/>
            <w:gridSpan w:val="17"/>
            <w:shd w:val="clear" w:color="auto" w:fill="CCEEFF"/>
          </w:tcPr>
          <w:p>
            <w:pPr>
              <w:spacing w:after="0"/>
              <w:rPr>
                <w:sz w:val="20"/>
                <w:szCs w:val="20"/>
                <w:color w:val="auto"/>
              </w:rPr>
            </w:pPr>
            <w:r>
              <w:rPr>
                <w:rFonts w:ascii="Arial" w:cs="Arial" w:eastAsia="Arial" w:hAnsi="Arial"/>
                <w:sz w:val="22"/>
                <w:szCs w:val="22"/>
                <w:b w:val="1"/>
                <w:bCs w:val="1"/>
                <w:color w:val="53C072"/>
              </w:rPr>
              <w:t>Proposal 3 — Advisory Vote on the</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53C072"/>
          </w:tcPr>
          <w:p>
            <w:pPr>
              <w:spacing w:after="0" w:line="20" w:lineRule="exact"/>
              <w:rPr>
                <w:sz w:val="1"/>
                <w:szCs w:val="1"/>
                <w:color w:val="auto"/>
              </w:rPr>
            </w:pPr>
          </w:p>
        </w:tc>
        <w:tc>
          <w:tcPr>
            <w:tcW w:w="2700" w:type="dxa"/>
            <w:vAlign w:val="bottom"/>
            <w:gridSpan w:val="8"/>
            <w:shd w:val="clear" w:color="auto" w:fill="53C072"/>
          </w:tcPr>
          <w:p>
            <w:pPr>
              <w:spacing w:after="0" w:line="20" w:lineRule="exact"/>
              <w:rPr>
                <w:sz w:val="1"/>
                <w:szCs w:val="1"/>
                <w:color w:val="auto"/>
              </w:rPr>
            </w:pPr>
          </w:p>
        </w:tc>
        <w:tc>
          <w:tcPr>
            <w:tcW w:w="280" w:type="dxa"/>
            <w:vAlign w:val="bottom"/>
            <w:tcBorders>
              <w:right w:val="single" w:sz="8" w:color="53C072"/>
            </w:tcBorders>
            <w:gridSpan w:val="2"/>
            <w:shd w:val="clear" w:color="auto" w:fill="53C072"/>
          </w:tcPr>
          <w:p>
            <w:pPr>
              <w:spacing w:after="0" w:line="20" w:lineRule="exact"/>
              <w:rPr>
                <w:sz w:val="1"/>
                <w:szCs w:val="1"/>
                <w:color w:val="auto"/>
              </w:rPr>
            </w:pPr>
          </w:p>
        </w:tc>
        <w:tc>
          <w:tcPr>
            <w:tcW w:w="360" w:type="dxa"/>
            <w:vAlign w:val="bottom"/>
            <w:tcBorders>
              <w:left w:val="single" w:sz="8" w:color="53C072"/>
            </w:tcBorders>
            <w:gridSpan w:val="4"/>
            <w:shd w:val="clear" w:color="auto" w:fill="53C072"/>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3780" w:type="dxa"/>
            <w:vAlign w:val="bottom"/>
            <w:gridSpan w:val="16"/>
            <w:shd w:val="clear" w:color="auto" w:fill="CCEEFF"/>
          </w:tcPr>
          <w:p>
            <w:pPr>
              <w:spacing w:after="0" w:line="237" w:lineRule="exact"/>
              <w:rPr>
                <w:sz w:val="20"/>
                <w:szCs w:val="20"/>
                <w:color w:val="auto"/>
              </w:rPr>
            </w:pPr>
            <w:r>
              <w:rPr>
                <w:rFonts w:ascii="Arial" w:cs="Arial" w:eastAsia="Arial" w:hAnsi="Arial"/>
                <w:sz w:val="22"/>
                <w:szCs w:val="22"/>
                <w:b w:val="1"/>
                <w:bCs w:val="1"/>
                <w:color w:val="53C072"/>
                <w:w w:val="99"/>
              </w:rPr>
              <w:t>Frequency of Future Advisory Votes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0" w:type="dxa"/>
            <w:vAlign w:val="bottom"/>
            <w:tcBorders>
              <w:top w:val="single" w:sz="8" w:color="CCEEFF"/>
            </w:tcBorders>
            <w:shd w:val="clear" w:color="auto" w:fill="CCEEFF"/>
          </w:tcPr>
          <w:p>
            <w:pPr>
              <w:spacing w:after="0"/>
              <w:rPr>
                <w:sz w:val="24"/>
                <w:szCs w:val="24"/>
                <w:color w:val="auto"/>
              </w:rPr>
            </w:pPr>
          </w:p>
        </w:tc>
        <w:tc>
          <w:tcPr>
            <w:tcW w:w="3680" w:type="dxa"/>
            <w:vAlign w:val="bottom"/>
            <w:tcBorders>
              <w:top w:val="single" w:sz="8" w:color="53C072"/>
              <w:right w:val="single" w:sz="8" w:color="CCEEFF"/>
            </w:tcBorders>
            <w:gridSpan w:val="15"/>
            <w:shd w:val="clear" w:color="auto" w:fill="CCEEFF"/>
          </w:tcPr>
          <w:p>
            <w:pPr>
              <w:spacing w:after="0" w:line="195" w:lineRule="exact"/>
              <w:rPr>
                <w:sz w:val="20"/>
                <w:szCs w:val="20"/>
                <w:color w:val="auto"/>
              </w:rPr>
            </w:pPr>
            <w:r>
              <w:rPr>
                <w:rFonts w:ascii="Arial" w:cs="Arial" w:eastAsia="Arial" w:hAnsi="Arial"/>
                <w:sz w:val="22"/>
                <w:szCs w:val="22"/>
                <w:b w:val="1"/>
                <w:bCs w:val="1"/>
                <w:color w:val="53C072"/>
                <w:w w:val="97"/>
              </w:rPr>
              <w:t>on Named Executive Compensation</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80" w:type="dxa"/>
            <w:vAlign w:val="bottom"/>
            <w:tcBorders>
              <w:top w:val="single" w:sz="8" w:color="53C072"/>
              <w:bottom w:val="single" w:sz="8" w:color="53C072"/>
            </w:tcBorders>
            <w:gridSpan w:val="9"/>
          </w:tcPr>
          <w:p>
            <w:pPr>
              <w:spacing w:after="0"/>
              <w:rPr>
                <w:sz w:val="20"/>
                <w:szCs w:val="20"/>
                <w:color w:val="auto"/>
              </w:rPr>
            </w:pPr>
            <w:r>
              <w:rPr>
                <w:rFonts w:ascii="Arial" w:cs="Arial" w:eastAsia="Arial" w:hAnsi="Arial"/>
                <w:sz w:val="22"/>
                <w:szCs w:val="22"/>
                <w:b w:val="1"/>
                <w:bCs w:val="1"/>
                <w:color w:val="53C072"/>
                <w:w w:val="98"/>
              </w:rPr>
              <w:t>Proposal 4 — Ratification of</w:t>
            </w:r>
          </w:p>
        </w:tc>
        <w:tc>
          <w:tcPr>
            <w:tcW w:w="1080" w:type="dxa"/>
            <w:vAlign w:val="bottom"/>
            <w:tcBorders>
              <w:top w:val="single" w:sz="8" w:color="53C072"/>
            </w:tcBorders>
            <w:gridSpan w:val="8"/>
          </w:tcPr>
          <w:p>
            <w:pPr>
              <w:spacing w:after="0"/>
              <w:rPr>
                <w:sz w:val="24"/>
                <w:szCs w:val="24"/>
                <w:color w:val="auto"/>
              </w:rPr>
            </w:pPr>
          </w:p>
        </w:tc>
        <w:tc>
          <w:tcPr>
            <w:tcW w:w="10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3780" w:type="dxa"/>
            <w:vAlign w:val="bottom"/>
            <w:gridSpan w:val="16"/>
          </w:tcPr>
          <w:p>
            <w:pPr>
              <w:spacing w:after="0" w:line="237" w:lineRule="exact"/>
              <w:rPr>
                <w:sz w:val="20"/>
                <w:szCs w:val="20"/>
                <w:color w:val="auto"/>
              </w:rPr>
            </w:pPr>
            <w:r>
              <w:rPr>
                <w:rFonts w:ascii="Arial" w:cs="Arial" w:eastAsia="Arial" w:hAnsi="Arial"/>
                <w:sz w:val="22"/>
                <w:szCs w:val="22"/>
                <w:b w:val="1"/>
                <w:bCs w:val="1"/>
                <w:color w:val="53C072"/>
              </w:rPr>
              <w:t>Appointment of Independent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980" w:type="dxa"/>
            <w:vAlign w:val="bottom"/>
            <w:tcBorders>
              <w:top w:val="single" w:sz="8" w:color="53C072"/>
            </w:tcBorders>
            <w:gridSpan w:val="10"/>
          </w:tcPr>
          <w:p>
            <w:pPr>
              <w:spacing w:after="0" w:line="223" w:lineRule="exact"/>
              <w:rPr>
                <w:sz w:val="20"/>
                <w:szCs w:val="20"/>
                <w:color w:val="auto"/>
              </w:rPr>
            </w:pPr>
            <w:r>
              <w:rPr>
                <w:rFonts w:ascii="Arial" w:cs="Arial" w:eastAsia="Arial" w:hAnsi="Arial"/>
                <w:sz w:val="22"/>
                <w:szCs w:val="22"/>
                <w:b w:val="1"/>
                <w:bCs w:val="1"/>
                <w:color w:val="53C072"/>
                <w:w w:val="93"/>
              </w:rPr>
              <w:t>Registered Public Accounting</w:t>
            </w:r>
          </w:p>
        </w:tc>
        <w:tc>
          <w:tcPr>
            <w:tcW w:w="800" w:type="dxa"/>
            <w:vAlign w:val="bottom"/>
            <w:gridSpan w:val="6"/>
          </w:tcPr>
          <w:p>
            <w:pPr>
              <w:ind w:left="140"/>
              <w:spacing w:after="0" w:line="223" w:lineRule="exact"/>
              <w:rPr>
                <w:sz w:val="20"/>
                <w:szCs w:val="20"/>
                <w:color w:val="auto"/>
              </w:rPr>
            </w:pPr>
            <w:r>
              <w:rPr>
                <w:rFonts w:ascii="Arial" w:cs="Arial" w:eastAsia="Arial" w:hAnsi="Arial"/>
                <w:sz w:val="22"/>
                <w:szCs w:val="22"/>
                <w:b w:val="1"/>
                <w:bCs w:val="1"/>
                <w:color w:val="53C072"/>
              </w:rPr>
              <w:t>Firm</w:t>
            </w:r>
            <w:r>
              <w:rPr>
                <w:rFonts w:ascii="Arial" w:cs="Arial" w:eastAsia="Arial" w:hAnsi="Arial"/>
                <w:sz w:val="17"/>
                <w:szCs w:val="17"/>
                <w:color w:val="53C072"/>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48"/>
        </w:trPr>
        <w:tc>
          <w:tcPr>
            <w:tcW w:w="180" w:type="dxa"/>
            <w:vAlign w:val="bottom"/>
            <w:tcBorders>
              <w:bottom w:val="single" w:sz="8" w:color="53C072"/>
            </w:tcBorders>
          </w:tcPr>
          <w:p>
            <w:pPr>
              <w:spacing w:after="0"/>
              <w:rPr>
                <w:sz w:val="4"/>
                <w:szCs w:val="4"/>
                <w:color w:val="auto"/>
              </w:rPr>
            </w:pPr>
          </w:p>
        </w:tc>
        <w:tc>
          <w:tcPr>
            <w:tcW w:w="180" w:type="dxa"/>
            <w:vAlign w:val="bottom"/>
            <w:tcBorders>
              <w:top w:val="single" w:sz="8" w:color="53C072"/>
              <w:bottom w:val="single" w:sz="8" w:color="53C072"/>
            </w:tcBorders>
          </w:tcPr>
          <w:p>
            <w:pPr>
              <w:spacing w:after="0"/>
              <w:rPr>
                <w:sz w:val="4"/>
                <w:szCs w:val="4"/>
                <w:color w:val="auto"/>
              </w:rPr>
            </w:pPr>
          </w:p>
        </w:tc>
        <w:tc>
          <w:tcPr>
            <w:tcW w:w="700" w:type="dxa"/>
            <w:vAlign w:val="bottom"/>
            <w:tcBorders>
              <w:top w:val="single" w:sz="8" w:color="53C072"/>
              <w:bottom w:val="single" w:sz="8" w:color="53C072"/>
            </w:tcBorders>
          </w:tcPr>
          <w:p>
            <w:pPr>
              <w:spacing w:after="0"/>
              <w:rPr>
                <w:sz w:val="4"/>
                <w:szCs w:val="4"/>
                <w:color w:val="auto"/>
              </w:rPr>
            </w:pPr>
          </w:p>
        </w:tc>
        <w:tc>
          <w:tcPr>
            <w:tcW w:w="460" w:type="dxa"/>
            <w:vAlign w:val="bottom"/>
            <w:tcBorders>
              <w:top w:val="single" w:sz="8" w:color="53C072"/>
              <w:bottom w:val="single" w:sz="8" w:color="53C072"/>
            </w:tcBorders>
          </w:tcPr>
          <w:p>
            <w:pPr>
              <w:spacing w:after="0"/>
              <w:rPr>
                <w:sz w:val="4"/>
                <w:szCs w:val="4"/>
                <w:color w:val="auto"/>
              </w:rPr>
            </w:pPr>
          </w:p>
        </w:tc>
        <w:tc>
          <w:tcPr>
            <w:tcW w:w="280" w:type="dxa"/>
            <w:vAlign w:val="bottom"/>
            <w:tcBorders>
              <w:top w:val="single" w:sz="8" w:color="53C072"/>
              <w:bottom w:val="single" w:sz="8" w:color="53C072"/>
            </w:tcBorders>
          </w:tcPr>
          <w:p>
            <w:pPr>
              <w:spacing w:after="0"/>
              <w:rPr>
                <w:sz w:val="4"/>
                <w:szCs w:val="4"/>
                <w:color w:val="auto"/>
              </w:rPr>
            </w:pPr>
          </w:p>
        </w:tc>
        <w:tc>
          <w:tcPr>
            <w:tcW w:w="500" w:type="dxa"/>
            <w:vAlign w:val="bottom"/>
            <w:tcBorders>
              <w:top w:val="single" w:sz="8" w:color="53C072"/>
              <w:bottom w:val="single" w:sz="8" w:color="53C072"/>
            </w:tcBorders>
          </w:tcPr>
          <w:p>
            <w:pPr>
              <w:spacing w:after="0"/>
              <w:rPr>
                <w:sz w:val="4"/>
                <w:szCs w:val="4"/>
                <w:color w:val="auto"/>
              </w:rPr>
            </w:pPr>
          </w:p>
        </w:tc>
        <w:tc>
          <w:tcPr>
            <w:tcW w:w="220" w:type="dxa"/>
            <w:vAlign w:val="bottom"/>
            <w:tcBorders>
              <w:top w:val="single" w:sz="8" w:color="53C072"/>
              <w:bottom w:val="single" w:sz="8" w:color="53C072"/>
            </w:tcBorders>
          </w:tcPr>
          <w:p>
            <w:pPr>
              <w:spacing w:after="0"/>
              <w:rPr>
                <w:sz w:val="4"/>
                <w:szCs w:val="4"/>
                <w:color w:val="auto"/>
              </w:rPr>
            </w:pPr>
          </w:p>
        </w:tc>
        <w:tc>
          <w:tcPr>
            <w:tcW w:w="100" w:type="dxa"/>
            <w:vAlign w:val="bottom"/>
            <w:tcBorders>
              <w:top w:val="single" w:sz="8" w:color="53C072"/>
              <w:bottom w:val="single" w:sz="8" w:color="53C072"/>
            </w:tcBorders>
          </w:tcPr>
          <w:p>
            <w:pPr>
              <w:spacing w:after="0"/>
              <w:rPr>
                <w:sz w:val="4"/>
                <w:szCs w:val="4"/>
                <w:color w:val="auto"/>
              </w:rPr>
            </w:pPr>
          </w:p>
        </w:tc>
        <w:tc>
          <w:tcPr>
            <w:tcW w:w="260" w:type="dxa"/>
            <w:vAlign w:val="bottom"/>
            <w:tcBorders>
              <w:top w:val="single" w:sz="8" w:color="53C072"/>
              <w:bottom w:val="single" w:sz="8" w:color="53C072"/>
            </w:tcBorders>
          </w:tcPr>
          <w:p>
            <w:pPr>
              <w:spacing w:after="0"/>
              <w:rPr>
                <w:sz w:val="4"/>
                <w:szCs w:val="4"/>
                <w:color w:val="auto"/>
              </w:rPr>
            </w:pPr>
          </w:p>
        </w:tc>
        <w:tc>
          <w:tcPr>
            <w:tcW w:w="80" w:type="dxa"/>
            <w:vAlign w:val="bottom"/>
            <w:tcBorders>
              <w:top w:val="single" w:sz="8" w:color="53C072"/>
              <w:bottom w:val="single" w:sz="8" w:color="53C072"/>
            </w:tcBorders>
          </w:tcPr>
          <w:p>
            <w:pPr>
              <w:spacing w:after="0"/>
              <w:rPr>
                <w:sz w:val="4"/>
                <w:szCs w:val="4"/>
                <w:color w:val="auto"/>
              </w:rPr>
            </w:pPr>
          </w:p>
        </w:tc>
        <w:tc>
          <w:tcPr>
            <w:tcW w:w="200" w:type="dxa"/>
            <w:vAlign w:val="bottom"/>
            <w:tcBorders>
              <w:top w:val="single" w:sz="8" w:color="53C072"/>
              <w:bottom w:val="single" w:sz="8" w:color="53C072"/>
            </w:tcBorders>
          </w:tcPr>
          <w:p>
            <w:pPr>
              <w:spacing w:after="0"/>
              <w:rPr>
                <w:sz w:val="4"/>
                <w:szCs w:val="4"/>
                <w:color w:val="auto"/>
              </w:rPr>
            </w:pPr>
          </w:p>
        </w:tc>
        <w:tc>
          <w:tcPr>
            <w:tcW w:w="240" w:type="dxa"/>
            <w:vAlign w:val="bottom"/>
            <w:tcBorders>
              <w:top w:val="single" w:sz="8" w:color="53C072"/>
              <w:bottom w:val="single" w:sz="8" w:color="53C072"/>
            </w:tcBorders>
          </w:tcPr>
          <w:p>
            <w:pPr>
              <w:spacing w:after="0"/>
              <w:rPr>
                <w:sz w:val="4"/>
                <w:szCs w:val="4"/>
                <w:color w:val="auto"/>
              </w:rPr>
            </w:pPr>
          </w:p>
        </w:tc>
        <w:tc>
          <w:tcPr>
            <w:tcW w:w="40" w:type="dxa"/>
            <w:vAlign w:val="bottom"/>
            <w:tcBorders>
              <w:top w:val="single" w:sz="8" w:color="53C072"/>
              <w:bottom w:val="single" w:sz="8" w:color="53C072"/>
            </w:tcBorders>
          </w:tcPr>
          <w:p>
            <w:pPr>
              <w:spacing w:after="0"/>
              <w:rPr>
                <w:sz w:val="4"/>
                <w:szCs w:val="4"/>
                <w:color w:val="auto"/>
              </w:rPr>
            </w:pPr>
          </w:p>
        </w:tc>
        <w:tc>
          <w:tcPr>
            <w:tcW w:w="60" w:type="dxa"/>
            <w:vAlign w:val="bottom"/>
            <w:tcBorders>
              <w:top w:val="single" w:sz="8" w:color="53C072"/>
              <w:bottom w:val="single" w:sz="8" w:color="53C072"/>
            </w:tcBorders>
          </w:tcPr>
          <w:p>
            <w:pPr>
              <w:spacing w:after="0"/>
              <w:rPr>
                <w:sz w:val="4"/>
                <w:szCs w:val="4"/>
                <w:color w:val="auto"/>
              </w:rPr>
            </w:pPr>
          </w:p>
        </w:tc>
        <w:tc>
          <w:tcPr>
            <w:tcW w:w="20" w:type="dxa"/>
            <w:vAlign w:val="bottom"/>
            <w:tcBorders>
              <w:top w:val="single" w:sz="8" w:color="53C072"/>
              <w:bottom w:val="single" w:sz="8" w:color="53C072"/>
            </w:tcBorders>
          </w:tcPr>
          <w:p>
            <w:pPr>
              <w:spacing w:after="0"/>
              <w:rPr>
                <w:sz w:val="4"/>
                <w:szCs w:val="4"/>
                <w:color w:val="auto"/>
              </w:rPr>
            </w:pPr>
          </w:p>
        </w:tc>
        <w:tc>
          <w:tcPr>
            <w:tcW w:w="340" w:type="dxa"/>
            <w:vAlign w:val="bottom"/>
            <w:tcBorders>
              <w:top w:val="single" w:sz="8" w:color="53C072"/>
              <w:bottom w:val="single" w:sz="8" w:color="53C072"/>
            </w:tcBorders>
          </w:tcPr>
          <w:p>
            <w:pPr>
              <w:spacing w:after="0"/>
              <w:rPr>
                <w:sz w:val="4"/>
                <w:szCs w:val="4"/>
                <w:color w:val="auto"/>
              </w:rPr>
            </w:pPr>
          </w:p>
        </w:tc>
        <w:tc>
          <w:tcPr>
            <w:tcW w:w="100" w:type="dxa"/>
            <w:vAlign w:val="bottom"/>
            <w:tcBorders>
              <w:bottom w:val="single" w:sz="8" w:color="53C072"/>
            </w:tcBorders>
          </w:tcPr>
          <w:p>
            <w:pPr>
              <w:spacing w:after="0"/>
              <w:rPr>
                <w:sz w:val="4"/>
                <w:szCs w:val="4"/>
                <w:color w:val="auto"/>
              </w:rPr>
            </w:pPr>
          </w:p>
        </w:tc>
        <w:tc>
          <w:tcPr>
            <w:tcW w:w="100" w:type="dxa"/>
            <w:vAlign w:val="bottom"/>
            <w:tcBorders>
              <w:bottom w:val="single" w:sz="8" w:color="53C072"/>
            </w:tcBorders>
          </w:tcPr>
          <w:p>
            <w:pPr>
              <w:spacing w:after="0"/>
              <w:rPr>
                <w:sz w:val="4"/>
                <w:szCs w:val="4"/>
                <w:color w:val="auto"/>
              </w:rPr>
            </w:pPr>
          </w:p>
        </w:tc>
        <w:tc>
          <w:tcPr>
            <w:tcW w:w="200" w:type="dxa"/>
            <w:vAlign w:val="bottom"/>
            <w:tcBorders>
              <w:top w:val="single" w:sz="8" w:color="0000EE"/>
              <w:bottom w:val="single" w:sz="8" w:color="53C072"/>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960" w:type="dxa"/>
            <w:vAlign w:val="bottom"/>
            <w:gridSpan w:val="17"/>
            <w:shd w:val="clear" w:color="auto" w:fill="CCEEFF"/>
          </w:tcPr>
          <w:p>
            <w:pPr>
              <w:spacing w:after="0"/>
              <w:rPr>
                <w:sz w:val="20"/>
                <w:szCs w:val="20"/>
                <w:color w:val="auto"/>
              </w:rPr>
            </w:pPr>
            <w:r>
              <w:rPr>
                <w:rFonts w:ascii="Arial" w:cs="Arial" w:eastAsia="Arial" w:hAnsi="Arial"/>
                <w:sz w:val="22"/>
                <w:szCs w:val="22"/>
                <w:b w:val="1"/>
                <w:bCs w:val="1"/>
                <w:color w:val="53C072"/>
              </w:rPr>
              <w:t>Principal Accounting Firm Fees</w:t>
            </w:r>
            <w:r>
              <w:rPr>
                <w:rFonts w:ascii="Arial" w:cs="Arial" w:eastAsia="Arial" w:hAnsi="Arial"/>
                <w:sz w:val="17"/>
                <w:szCs w:val="17"/>
                <w:color w:val="000000"/>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700" w:type="dxa"/>
            <w:vAlign w:val="bottom"/>
            <w:tcBorders>
              <w:top w:val="single" w:sz="8" w:color="53C072"/>
            </w:tcBorders>
            <w:shd w:val="clear" w:color="auto" w:fill="53C072"/>
          </w:tcPr>
          <w:p>
            <w:pPr>
              <w:spacing w:after="0" w:line="20" w:lineRule="exact"/>
              <w:rPr>
                <w:sz w:val="1"/>
                <w:szCs w:val="1"/>
                <w:color w:val="auto"/>
              </w:rPr>
            </w:pPr>
          </w:p>
        </w:tc>
        <w:tc>
          <w:tcPr>
            <w:tcW w:w="4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50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CCEEFF"/>
              <w:left w:val="single" w:sz="8" w:color="53C072"/>
              <w:right w:val="single" w:sz="8" w:color="53C072"/>
            </w:tcBorders>
            <w:shd w:val="clear" w:color="auto" w:fill="53C072"/>
          </w:tcPr>
          <w:p>
            <w:pPr>
              <w:spacing w:after="0" w:line="20" w:lineRule="exact"/>
              <w:rPr>
                <w:sz w:val="1"/>
                <w:szCs w:val="1"/>
                <w:color w:val="auto"/>
              </w:rPr>
            </w:pPr>
          </w:p>
        </w:tc>
        <w:tc>
          <w:tcPr>
            <w:tcW w:w="4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34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2">
            <w:col w:w="5260" w:space="220"/>
            <w:col w:w="5240"/>
          </w:cols>
          <w:pgMar w:left="580" w:top="90" w:right="599" w:bottom="1014" w:gutter="0" w:footer="0" w:header="0"/>
          <w:type w:val="continuous"/>
        </w:sectPr>
      </w:pPr>
    </w:p>
    <w:p>
      <w:pPr>
        <w:spacing w:after="0" w:line="1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0000EE"/>
        </w:rPr>
        <w:t>Committee</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Corporate Governance Committee</w:t>
      </w:r>
    </w:p>
    <w:p>
      <w:pPr>
        <w:ind w:left="1180"/>
        <w:spacing w:after="0" w:line="219" w:lineRule="auto"/>
        <w:rPr>
          <w:sz w:val="20"/>
          <w:szCs w:val="20"/>
          <w:color w:val="auto"/>
        </w:rPr>
      </w:pPr>
      <w:r>
        <w:rPr>
          <w:rFonts w:ascii="Arial" w:cs="Arial" w:eastAsia="Arial" w:hAnsi="Arial"/>
          <w:sz w:val="18"/>
          <w:szCs w:val="18"/>
          <w:u w:val="single" w:color="auto"/>
          <w:color w:val="0000EE"/>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-118745</wp:posOffset>
            </wp:positionV>
            <wp:extent cx="270891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8910" cy="12001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u w:val="single" w:color="auto"/>
          <w:color w:val="0000EE"/>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-10160</wp:posOffset>
            </wp:positionV>
            <wp:extent cx="2708910"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08910" cy="248920"/>
                    </a:xfrm>
                    <a:prstGeom prst="rect">
                      <a:avLst/>
                    </a:prstGeom>
                    <a:noFill/>
                  </pic:spPr>
                </pic:pic>
              </a:graphicData>
            </a:graphic>
          </wp:anchor>
        </w:drawing>
      </w:r>
    </w:p>
    <w:p>
      <w:pPr>
        <w:spacing w:after="0" w:line="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u w:val="single" w:color="auto"/>
          <w:color w:val="53C072"/>
        </w:rPr>
        <w:t>Director Compensation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22860</wp:posOffset>
            </wp:positionV>
            <wp:extent cx="27089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9" w:lineRule="exact"/>
        <w:rPr>
          <w:sz w:val="20"/>
          <w:szCs w:val="20"/>
          <w:color w:val="auto"/>
        </w:rPr>
      </w:pPr>
    </w:p>
    <w:p>
      <w:pPr>
        <w:ind w:left="1340" w:right="420" w:hanging="179"/>
        <w:spacing w:after="0" w:line="250" w:lineRule="auto"/>
        <w:rPr>
          <w:sz w:val="20"/>
          <w:szCs w:val="20"/>
          <w:color w:val="auto"/>
        </w:rPr>
      </w:pPr>
      <w:r>
        <w:rPr>
          <w:rFonts w:ascii="Arial" w:cs="Arial" w:eastAsia="Arial" w:hAnsi="Arial"/>
          <w:sz w:val="18"/>
          <w:szCs w:val="18"/>
          <w:u w:val="single" w:color="auto"/>
          <w:color w:val="0000EE"/>
        </w:rPr>
        <w:t>Process for Reviewing Non-Employee Director Compensation</w:t>
      </w:r>
    </w:p>
    <w:p>
      <w:pPr>
        <w:ind w:left="1180"/>
        <w:spacing w:after="0" w:line="220" w:lineRule="auto"/>
        <w:rPr>
          <w:sz w:val="20"/>
          <w:szCs w:val="20"/>
          <w:color w:val="auto"/>
        </w:rPr>
      </w:pPr>
      <w:r>
        <w:rPr>
          <w:rFonts w:ascii="Arial" w:cs="Arial" w:eastAsia="Arial" w:hAnsi="Arial"/>
          <w:sz w:val="18"/>
          <w:szCs w:val="18"/>
          <w:u w:val="single" w:color="auto"/>
          <w:color w:val="0000EE"/>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-118745</wp:posOffset>
            </wp:positionV>
            <wp:extent cx="270891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8910" cy="12001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u w:val="single" w:color="auto"/>
          <w:color w:val="0000EE"/>
        </w:rPr>
        <w:t>D&amp;O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-10160</wp:posOffset>
            </wp:positionV>
            <wp:extent cx="270891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248285"/>
                    </a:xfrm>
                    <a:prstGeom prst="rect">
                      <a:avLst/>
                    </a:prstGeom>
                    <a:noFill/>
                  </pic:spPr>
                </pic:pic>
              </a:graphicData>
            </a:graphic>
          </wp:anchor>
        </w:drawing>
      </w:r>
    </w:p>
    <w:p>
      <w:pPr>
        <w:spacing w:after="0" w:line="65" w:lineRule="exact"/>
        <w:rPr>
          <w:sz w:val="20"/>
          <w:szCs w:val="20"/>
          <w:color w:val="auto"/>
        </w:rPr>
      </w:pPr>
    </w:p>
    <w:p>
      <w:pPr>
        <w:ind w:left="1000"/>
        <w:spacing w:after="0"/>
        <w:rPr>
          <w:sz w:val="20"/>
          <w:szCs w:val="20"/>
          <w:color w:val="auto"/>
        </w:rPr>
      </w:pPr>
      <w:r>
        <w:rPr>
          <w:rFonts w:ascii="Arial" w:cs="Arial" w:eastAsia="Arial" w:hAnsi="Arial"/>
          <w:sz w:val="21"/>
          <w:szCs w:val="21"/>
          <w:b w:val="1"/>
          <w:bCs w:val="1"/>
          <w:u w:val="single" w:color="auto"/>
          <w:color w:val="53C072"/>
        </w:rPr>
        <w:t>Executive Officers of the Company</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03"/>
        </w:trPr>
        <w:tc>
          <w:tcPr>
            <w:tcW w:w="200" w:type="dxa"/>
            <w:vAlign w:val="bottom"/>
            <w:tcBorders>
              <w:bottom w:val="single" w:sz="8" w:color="0000EE"/>
            </w:tcBorders>
          </w:tcPr>
          <w:p>
            <w:pPr>
              <w:jc w:val="right"/>
              <w:spacing w:after="0" w:line="182" w:lineRule="exact"/>
              <w:rPr>
                <w:sz w:val="20"/>
                <w:szCs w:val="20"/>
                <w:color w:val="auto"/>
              </w:rPr>
            </w:pPr>
            <w:r>
              <w:rPr>
                <w:rFonts w:ascii="Arial" w:cs="Arial" w:eastAsia="Arial" w:hAnsi="Arial"/>
                <w:sz w:val="18"/>
                <w:szCs w:val="18"/>
                <w:color w:val="0000EE"/>
                <w:w w:val="89"/>
              </w:rPr>
              <w:t>25</w:t>
            </w:r>
          </w:p>
        </w:tc>
        <w:tc>
          <w:tcPr>
            <w:tcW w:w="220" w:type="dxa"/>
            <w:vAlign w:val="bottom"/>
            <w:vMerge w:val="restart"/>
          </w:tcPr>
          <w:p>
            <w:pPr>
              <w:spacing w:after="0"/>
              <w:rPr>
                <w:sz w:val="17"/>
                <w:szCs w:val="17"/>
                <w:color w:val="auto"/>
              </w:rPr>
            </w:pPr>
          </w:p>
        </w:tc>
        <w:tc>
          <w:tcPr>
            <w:tcW w:w="3420" w:type="dxa"/>
            <w:vAlign w:val="bottom"/>
            <w:gridSpan w:val="3"/>
            <w:vMerge w:val="restart"/>
          </w:tcPr>
          <w:p>
            <w:pPr>
              <w:spacing w:after="0"/>
              <w:rPr>
                <w:sz w:val="20"/>
                <w:szCs w:val="20"/>
                <w:color w:val="auto"/>
              </w:rPr>
            </w:pPr>
            <w:r>
              <w:rPr>
                <w:rFonts w:ascii="Arial" w:cs="Arial" w:eastAsia="Arial" w:hAnsi="Arial"/>
                <w:sz w:val="22"/>
                <w:szCs w:val="22"/>
                <w:b w:val="1"/>
                <w:bCs w:val="1"/>
                <w:color w:val="53C072"/>
              </w:rPr>
              <w:t>Audit Committee Report</w:t>
            </w:r>
            <w:r>
              <w:rPr>
                <w:rFonts w:ascii="Arial" w:cs="Arial" w:eastAsia="Arial" w:hAnsi="Arial"/>
                <w:sz w:val="17"/>
                <w:szCs w:val="17"/>
                <w:color w:val="000000"/>
              </w:rPr>
              <w:t>​</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rPr>
              <w:t>72</w:t>
            </w:r>
          </w:p>
        </w:tc>
        <w:tc>
          <w:tcPr>
            <w:tcW w:w="0" w:type="dxa"/>
            <w:vAlign w:val="bottom"/>
          </w:tcPr>
          <w:p>
            <w:pPr>
              <w:spacing w:after="0"/>
              <w:rPr>
                <w:sz w:val="1"/>
                <w:szCs w:val="1"/>
                <w:color w:val="auto"/>
              </w:rPr>
            </w:pPr>
          </w:p>
        </w:tc>
      </w:tr>
      <w:tr>
        <w:trPr>
          <w:trHeight w:val="88"/>
        </w:trPr>
        <w:tc>
          <w:tcPr>
            <w:tcW w:w="200" w:type="dxa"/>
            <w:vAlign w:val="bottom"/>
            <w:vMerge w:val="restart"/>
          </w:tcPr>
          <w:p>
            <w:pPr>
              <w:jc w:val="right"/>
              <w:spacing w:after="0" w:line="196" w:lineRule="exact"/>
              <w:rPr>
                <w:sz w:val="20"/>
                <w:szCs w:val="20"/>
                <w:color w:val="auto"/>
              </w:rPr>
            </w:pPr>
            <w:r>
              <w:rPr>
                <w:rFonts w:ascii="Arial" w:cs="Arial" w:eastAsia="Arial" w:hAnsi="Arial"/>
                <w:sz w:val="18"/>
                <w:szCs w:val="18"/>
                <w:color w:val="0000EE"/>
                <w:w w:val="89"/>
              </w:rPr>
              <w:t>26</w:t>
            </w:r>
          </w:p>
        </w:tc>
        <w:tc>
          <w:tcPr>
            <w:tcW w:w="220" w:type="dxa"/>
            <w:vAlign w:val="bottom"/>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Borders>
              <w:top w:val="single" w:sz="8" w:color="53C072"/>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640" w:type="dxa"/>
            <w:vAlign w:val="bottom"/>
            <w:tcBorders>
              <w:bottom w:val="single" w:sz="8" w:color="53C072"/>
            </w:tcBorders>
          </w:tcPr>
          <w:p>
            <w:pPr>
              <w:spacing w:after="0"/>
              <w:rPr>
                <w:sz w:val="2"/>
                <w:szCs w:val="2"/>
                <w:color w:val="auto"/>
              </w:rPr>
            </w:pPr>
          </w:p>
        </w:tc>
        <w:tc>
          <w:tcPr>
            <w:tcW w:w="64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0" w:type="dxa"/>
            <w:vAlign w:val="bottom"/>
            <w:tcBorders>
              <w:bottom w:val="single" w:sz="8" w:color="0000EE"/>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0000EE"/>
            </w:tcBorders>
          </w:tcPr>
          <w:p>
            <w:pPr>
              <w:jc w:val="right"/>
              <w:spacing w:after="0" w:line="156" w:lineRule="exact"/>
              <w:rPr>
                <w:sz w:val="20"/>
                <w:szCs w:val="20"/>
                <w:color w:val="auto"/>
              </w:rPr>
            </w:pPr>
            <w:r>
              <w:rPr>
                <w:rFonts w:ascii="Arial" w:cs="Arial" w:eastAsia="Arial" w:hAnsi="Arial"/>
                <w:sz w:val="18"/>
                <w:szCs w:val="18"/>
                <w:color w:val="0000EE"/>
                <w:w w:val="89"/>
              </w:rPr>
              <w:t>26</w:t>
            </w:r>
          </w:p>
        </w:tc>
        <w:tc>
          <w:tcPr>
            <w:tcW w:w="220" w:type="dxa"/>
            <w:vAlign w:val="bottom"/>
            <w:vMerge w:val="restart"/>
          </w:tcPr>
          <w:p>
            <w:pPr>
              <w:spacing w:after="0"/>
              <w:rPr>
                <w:sz w:val="14"/>
                <w:szCs w:val="14"/>
                <w:color w:val="auto"/>
              </w:rPr>
            </w:pPr>
          </w:p>
        </w:tc>
        <w:tc>
          <w:tcPr>
            <w:tcW w:w="3420" w:type="dxa"/>
            <w:vAlign w:val="bottom"/>
            <w:gridSpan w:val="3"/>
            <w:vMerge w:val="restart"/>
          </w:tcPr>
          <w:p>
            <w:pPr>
              <w:spacing w:after="0"/>
              <w:rPr>
                <w:sz w:val="20"/>
                <w:szCs w:val="20"/>
                <w:color w:val="auto"/>
              </w:rPr>
            </w:pPr>
            <w:r>
              <w:rPr>
                <w:rFonts w:ascii="Arial" w:cs="Arial" w:eastAsia="Arial" w:hAnsi="Arial"/>
                <w:sz w:val="22"/>
                <w:szCs w:val="22"/>
                <w:b w:val="1"/>
                <w:bCs w:val="1"/>
                <w:color w:val="53C072"/>
              </w:rPr>
              <w:t>Shareholder Proposals and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0" w:type="dxa"/>
            <w:vAlign w:val="bottom"/>
            <w:vMerge w:val="restart"/>
          </w:tcPr>
          <w:p>
            <w:pPr>
              <w:jc w:val="right"/>
              <w:spacing w:after="0" w:line="169" w:lineRule="exact"/>
              <w:rPr>
                <w:sz w:val="20"/>
                <w:szCs w:val="20"/>
                <w:color w:val="auto"/>
              </w:rPr>
            </w:pPr>
            <w:r>
              <w:rPr>
                <w:rFonts w:ascii="Arial" w:cs="Arial" w:eastAsia="Arial" w:hAnsi="Arial"/>
                <w:sz w:val="18"/>
                <w:szCs w:val="18"/>
                <w:color w:val="0000EE"/>
                <w:w w:val="89"/>
              </w:rPr>
              <w:t>27</w:t>
            </w:r>
          </w:p>
        </w:tc>
        <w:tc>
          <w:tcPr>
            <w:tcW w:w="220" w:type="dxa"/>
            <w:vAlign w:val="bottom"/>
            <w:vMerge w:val="continue"/>
          </w:tcPr>
          <w:p>
            <w:pPr>
              <w:spacing w:after="0"/>
              <w:rPr>
                <w:sz w:val="6"/>
                <w:szCs w:val="6"/>
                <w:color w:val="auto"/>
              </w:rPr>
            </w:pPr>
          </w:p>
        </w:tc>
        <w:tc>
          <w:tcPr>
            <w:tcW w:w="342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 w:type="dxa"/>
            <w:vAlign w:val="bottom"/>
            <w:tcBorders>
              <w:bottom w:val="single" w:sz="8" w:color="0000EE"/>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780" w:type="dxa"/>
            <w:vAlign w:val="bottom"/>
            <w:tcBorders>
              <w:top w:val="single" w:sz="8" w:color="53C072"/>
              <w:bottom w:val="single" w:sz="8" w:color="53C072"/>
            </w:tcBorders>
            <w:gridSpan w:val="2"/>
            <w:vMerge w:val="restart"/>
          </w:tcPr>
          <w:p>
            <w:pPr>
              <w:ind w:left="180"/>
              <w:spacing w:after="0" w:line="209" w:lineRule="exact"/>
              <w:rPr>
                <w:sz w:val="20"/>
                <w:szCs w:val="20"/>
                <w:color w:val="auto"/>
              </w:rPr>
            </w:pPr>
            <w:r>
              <w:rPr>
                <w:rFonts w:ascii="Arial" w:cs="Arial" w:eastAsia="Arial" w:hAnsi="Arial"/>
                <w:sz w:val="22"/>
                <w:szCs w:val="22"/>
                <w:b w:val="1"/>
                <w:bCs w:val="1"/>
                <w:u w:val="single" w:color="auto"/>
                <w:color w:val="53C072"/>
              </w:rPr>
              <w:t>Nominations</w:t>
            </w:r>
          </w:p>
        </w:tc>
        <w:tc>
          <w:tcPr>
            <w:tcW w:w="640" w:type="dxa"/>
            <w:vAlign w:val="bottom"/>
            <w:vMerge w:val="restart"/>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restart"/>
          </w:tcPr>
          <w:p>
            <w:pPr>
              <w:jc w:val="right"/>
              <w:spacing w:after="0" w:line="196" w:lineRule="exact"/>
              <w:rPr>
                <w:sz w:val="20"/>
                <w:szCs w:val="20"/>
                <w:color w:val="auto"/>
              </w:rPr>
            </w:pPr>
            <w:r>
              <w:rPr>
                <w:rFonts w:ascii="Arial" w:cs="Arial" w:eastAsia="Arial" w:hAnsi="Arial"/>
                <w:sz w:val="18"/>
                <w:szCs w:val="18"/>
                <w:color w:val="0000EE"/>
                <w:w w:val="89"/>
              </w:rPr>
              <w:t>73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tcBorders>
              <w:bottom w:val="single" w:sz="8" w:color="53C072"/>
            </w:tcBorders>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0000EE"/>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-367665</wp:posOffset>
            </wp:positionV>
            <wp:extent cx="270891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403225"/>
                    </a:xfrm>
                    <a:prstGeom prst="rect">
                      <a:avLst/>
                    </a:prstGeom>
                    <a:noFill/>
                  </pic:spPr>
                </pic:pic>
              </a:graphicData>
            </a:graphic>
          </wp:anchor>
        </w:drawing>
      </w:r>
    </w:p>
    <w:p>
      <w:pPr>
        <w:spacing w:after="0" w:line="5" w:lineRule="exact"/>
        <w:rPr>
          <w:sz w:val="20"/>
          <w:szCs w:val="20"/>
          <w:color w:val="auto"/>
        </w:rPr>
      </w:pPr>
    </w:p>
    <w:p>
      <w:pPr>
        <w:ind w:left="423" w:hanging="423"/>
        <w:spacing w:after="0"/>
        <w:tabs>
          <w:tab w:leader="none" w:pos="423" w:val="left"/>
        </w:tabs>
        <w:numPr>
          <w:ilvl w:val="0"/>
          <w:numId w:val="6"/>
        </w:numPr>
        <w:rPr>
          <w:rFonts w:ascii="Arial" w:cs="Arial" w:eastAsia="Arial" w:hAnsi="Arial"/>
          <w:sz w:val="36"/>
          <w:szCs w:val="36"/>
          <w:u w:val="single" w:color="auto"/>
          <w:color w:val="0000EE"/>
          <w:vertAlign w:val="superscript"/>
        </w:rPr>
      </w:pPr>
      <w:r>
        <w:rPr>
          <w:rFonts w:ascii="Arial" w:cs="Arial" w:eastAsia="Arial" w:hAnsi="Arial"/>
          <w:sz w:val="22"/>
          <w:szCs w:val="22"/>
          <w:b w:val="1"/>
          <w:bCs w:val="1"/>
          <w:u w:val="single" w:color="auto"/>
          <w:color w:val="53C072"/>
        </w:rPr>
        <w:t>Delivery of Documents to</w:t>
      </w:r>
    </w:p>
    <w:p>
      <w:pPr>
        <w:ind w:left="603" w:hanging="603"/>
        <w:spacing w:after="0" w:line="198" w:lineRule="auto"/>
        <w:tabs>
          <w:tab w:leader="none" w:pos="603" w:val="left"/>
        </w:tabs>
        <w:numPr>
          <w:ilvl w:val="0"/>
          <w:numId w:val="6"/>
        </w:numPr>
        <w:rPr>
          <w:rFonts w:ascii="Arial" w:cs="Arial" w:eastAsia="Arial" w:hAnsi="Arial"/>
          <w:sz w:val="18"/>
          <w:szCs w:val="18"/>
          <w:color w:val="0000EE"/>
        </w:rPr>
      </w:pPr>
      <w:r>
        <w:rPr>
          <w:rFonts w:ascii="Arial" w:cs="Arial" w:eastAsia="Arial" w:hAnsi="Arial"/>
          <w:sz w:val="22"/>
          <w:szCs w:val="22"/>
          <w:b w:val="1"/>
          <w:bCs w:val="1"/>
          <w:color w:val="53C072"/>
        </w:rPr>
        <w:t>Shareholders with Same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-376555</wp:posOffset>
            </wp:positionV>
            <wp:extent cx="27089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tbl>
      <w:tblPr>
        <w:tblLayout w:type="fixed"/>
        <w:tblInd w:w="3" w:type="dxa"/>
        <w:tblCellMar>
          <w:top w:w="0" w:type="dxa"/>
          <w:left w:w="0" w:type="dxa"/>
          <w:bottom w:w="0" w:type="dxa"/>
          <w:right w:w="0" w:type="dxa"/>
        </w:tblCellMar>
      </w:tblPr>
      <w:tr>
        <w:trPr>
          <w:trHeight w:val="230"/>
        </w:trPr>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Borders>
              <w:top w:val="single" w:sz="8" w:color="53C072"/>
            </w:tcBorders>
            <w:gridSpan w:val="3"/>
          </w:tcPr>
          <w:p>
            <w:pPr>
              <w:jc w:val="center"/>
              <w:ind w:right="2360"/>
              <w:spacing w:after="0" w:line="209" w:lineRule="exact"/>
              <w:rPr>
                <w:sz w:val="20"/>
                <w:szCs w:val="20"/>
                <w:color w:val="auto"/>
              </w:rPr>
            </w:pPr>
            <w:r>
              <w:rPr>
                <w:rFonts w:ascii="Arial" w:cs="Arial" w:eastAsia="Arial" w:hAnsi="Arial"/>
                <w:sz w:val="22"/>
                <w:szCs w:val="22"/>
                <w:b w:val="1"/>
                <w:bCs w:val="1"/>
                <w:color w:val="53C072"/>
              </w:rPr>
              <w:t>and Address</w:t>
            </w:r>
            <w:r>
              <w:rPr>
                <w:rFonts w:ascii="Arial" w:cs="Arial" w:eastAsia="Arial" w:hAnsi="Arial"/>
                <w:sz w:val="17"/>
                <w:szCs w:val="17"/>
                <w:color w:val="53C072"/>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0000EE"/>
              </w:rPr>
              <w:t>74</w:t>
            </w:r>
          </w:p>
        </w:tc>
        <w:tc>
          <w:tcPr>
            <w:tcW w:w="0" w:type="dxa"/>
            <w:vAlign w:val="bottom"/>
          </w:tcPr>
          <w:p>
            <w:pPr>
              <w:spacing w:after="0"/>
              <w:rPr>
                <w:sz w:val="1"/>
                <w:szCs w:val="1"/>
                <w:color w:val="auto"/>
              </w:rPr>
            </w:pPr>
          </w:p>
        </w:tc>
      </w:tr>
      <w:tr>
        <w:trPr>
          <w:trHeight w:val="41"/>
        </w:trPr>
        <w:tc>
          <w:tcPr>
            <w:tcW w:w="200" w:type="dxa"/>
            <w:vAlign w:val="bottom"/>
            <w:vMerge w:val="restart"/>
          </w:tcPr>
          <w:p>
            <w:pPr>
              <w:jc w:val="right"/>
              <w:spacing w:after="0" w:line="149" w:lineRule="exact"/>
              <w:rPr>
                <w:sz w:val="20"/>
                <w:szCs w:val="20"/>
                <w:color w:val="auto"/>
              </w:rPr>
            </w:pPr>
            <w:r>
              <w:rPr>
                <w:rFonts w:ascii="Arial" w:cs="Arial" w:eastAsia="Arial" w:hAnsi="Arial"/>
                <w:sz w:val="17"/>
                <w:szCs w:val="17"/>
                <w:color w:val="0000EE"/>
                <w:w w:val="94"/>
              </w:rPr>
              <w:t>30</w:t>
            </w:r>
          </w:p>
        </w:tc>
        <w:tc>
          <w:tcPr>
            <w:tcW w:w="220" w:type="dxa"/>
            <w:vAlign w:val="bottom"/>
          </w:tcPr>
          <w:p>
            <w:pPr>
              <w:spacing w:after="0"/>
              <w:rPr>
                <w:sz w:val="3"/>
                <w:szCs w:val="3"/>
                <w:color w:val="auto"/>
              </w:rPr>
            </w:pPr>
          </w:p>
        </w:tc>
        <w:tc>
          <w:tcPr>
            <w:tcW w:w="180" w:type="dxa"/>
            <w:vAlign w:val="bottom"/>
            <w:tcBorders>
              <w:bottom w:val="single" w:sz="8" w:color="53C072"/>
            </w:tcBorders>
          </w:tcPr>
          <w:p>
            <w:pPr>
              <w:spacing w:after="0"/>
              <w:rPr>
                <w:sz w:val="3"/>
                <w:szCs w:val="3"/>
                <w:color w:val="auto"/>
              </w:rPr>
            </w:pPr>
          </w:p>
        </w:tc>
        <w:tc>
          <w:tcPr>
            <w:tcW w:w="620" w:type="dxa"/>
            <w:vAlign w:val="bottom"/>
            <w:tcBorders>
              <w:top w:val="single" w:sz="8" w:color="53C072"/>
              <w:bottom w:val="single" w:sz="8" w:color="53C072"/>
            </w:tcBorders>
          </w:tcPr>
          <w:p>
            <w:pPr>
              <w:spacing w:after="0"/>
              <w:rPr>
                <w:sz w:val="3"/>
                <w:szCs w:val="3"/>
                <w:color w:val="auto"/>
              </w:rPr>
            </w:pPr>
          </w:p>
        </w:tc>
        <w:tc>
          <w:tcPr>
            <w:tcW w:w="680" w:type="dxa"/>
            <w:vAlign w:val="bottom"/>
            <w:tcBorders>
              <w:top w:val="single" w:sz="8" w:color="53C072"/>
              <w:bottom w:val="single" w:sz="8" w:color="53C072"/>
            </w:tcBorders>
          </w:tcPr>
          <w:p>
            <w:pPr>
              <w:spacing w:after="0"/>
              <w:rPr>
                <w:sz w:val="3"/>
                <w:szCs w:val="3"/>
                <w:color w:val="auto"/>
              </w:rPr>
            </w:pPr>
          </w:p>
        </w:tc>
        <w:tc>
          <w:tcPr>
            <w:tcW w:w="2400" w:type="dxa"/>
            <w:vAlign w:val="bottom"/>
            <w:tcBorders>
              <w:bottom w:val="single" w:sz="8" w:color="53C072"/>
            </w:tcBorders>
          </w:tcPr>
          <w:p>
            <w:pPr>
              <w:spacing w:after="0"/>
              <w:rPr>
                <w:sz w:val="3"/>
                <w:szCs w:val="3"/>
                <w:color w:val="auto"/>
              </w:rPr>
            </w:pPr>
          </w:p>
        </w:tc>
        <w:tc>
          <w:tcPr>
            <w:tcW w:w="180" w:type="dxa"/>
            <w:vAlign w:val="bottom"/>
            <w:tcBorders>
              <w:bottom w:val="single" w:sz="8" w:color="53C072"/>
            </w:tcBorders>
          </w:tcPr>
          <w:p>
            <w:pPr>
              <w:spacing w:after="0"/>
              <w:rPr>
                <w:sz w:val="3"/>
                <w:szCs w:val="3"/>
                <w:color w:val="auto"/>
              </w:rPr>
            </w:pPr>
          </w:p>
        </w:tc>
        <w:tc>
          <w:tcPr>
            <w:tcW w:w="200" w:type="dxa"/>
            <w:vAlign w:val="bottom"/>
            <w:tcBorders>
              <w:top w:val="single" w:sz="8" w:color="0000EE"/>
              <w:bottom w:val="single" w:sz="8" w:color="53C072"/>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00" w:type="dxa"/>
            <w:vAlign w:val="bottom"/>
            <w:tcBorders>
              <w:bottom w:val="single" w:sz="8" w:color="0000EE"/>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22"/>
                <w:szCs w:val="22"/>
                <w:b w:val="1"/>
                <w:bCs w:val="1"/>
                <w:color w:val="53C072"/>
                <w:w w:val="95"/>
              </w:rPr>
              <w:t>General</w:t>
            </w:r>
          </w:p>
        </w:tc>
        <w:tc>
          <w:tcPr>
            <w:tcW w:w="3080" w:type="dxa"/>
            <w:vAlign w:val="bottom"/>
            <w:tcBorders>
              <w:bottom w:val="single" w:sz="8" w:color="CCEEFF"/>
            </w:tcBorders>
            <w:gridSpan w:val="2"/>
            <w:vMerge w:val="restart"/>
            <w:shd w:val="clear" w:color="auto" w:fill="CCEEFF"/>
          </w:tcPr>
          <w:p>
            <w:pPr>
              <w:jc w:val="center"/>
              <w:ind w:right="3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74</w:t>
            </w:r>
          </w:p>
        </w:tc>
        <w:tc>
          <w:tcPr>
            <w:tcW w:w="0" w:type="dxa"/>
            <w:vAlign w:val="bottom"/>
          </w:tcPr>
          <w:p>
            <w:pPr>
              <w:spacing w:after="0"/>
              <w:rPr>
                <w:sz w:val="1"/>
                <w:szCs w:val="1"/>
                <w:color w:val="auto"/>
              </w:rPr>
            </w:pPr>
          </w:p>
        </w:tc>
      </w:tr>
      <w:tr>
        <w:trPr>
          <w:trHeight w:val="282"/>
        </w:trPr>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31</w:t>
            </w:r>
          </w:p>
        </w:tc>
        <w:tc>
          <w:tcPr>
            <w:tcW w:w="220" w:type="dxa"/>
            <w:vAlign w:val="bottom"/>
          </w:tcPr>
          <w:p>
            <w:pPr>
              <w:spacing w:after="0"/>
              <w:rPr>
                <w:sz w:val="24"/>
                <w:szCs w:val="24"/>
                <w:color w:val="auto"/>
              </w:rPr>
            </w:pPr>
          </w:p>
        </w:tc>
        <w:tc>
          <w:tcPr>
            <w:tcW w:w="800" w:type="dxa"/>
            <w:vAlign w:val="bottom"/>
            <w:tcBorders>
              <w:bottom w:val="single" w:sz="8" w:color="53C072"/>
            </w:tcBorders>
            <w:gridSpan w:val="2"/>
            <w:vMerge w:val="continue"/>
            <w:shd w:val="clear" w:color="auto" w:fill="CCEEFF"/>
          </w:tcPr>
          <w:p>
            <w:pPr>
              <w:spacing w:after="0"/>
              <w:rPr>
                <w:sz w:val="24"/>
                <w:szCs w:val="24"/>
                <w:color w:val="auto"/>
              </w:rPr>
            </w:pPr>
          </w:p>
        </w:tc>
        <w:tc>
          <w:tcPr>
            <w:tcW w:w="3080" w:type="dxa"/>
            <w:vAlign w:val="bottom"/>
            <w:tcBorders>
              <w:bottom w:val="single" w:sz="8" w:color="CCEEFF"/>
            </w:tcBorders>
            <w:gridSpan w:val="2"/>
            <w:vMerge w:val="continue"/>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0" w:type="dxa"/>
            <w:vAlign w:val="bottom"/>
            <w:tcBorders>
              <w:bottom w:val="single" w:sz="8" w:color="0000EE"/>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53C072"/>
            </w:tcBorders>
          </w:tcPr>
          <w:p>
            <w:pPr>
              <w:spacing w:after="0"/>
              <w:rPr>
                <w:sz w:val="2"/>
                <w:szCs w:val="2"/>
                <w:color w:val="auto"/>
              </w:rPr>
            </w:pPr>
          </w:p>
        </w:tc>
        <w:tc>
          <w:tcPr>
            <w:tcW w:w="620" w:type="dxa"/>
            <w:vAlign w:val="bottom"/>
            <w:tcBorders>
              <w:top w:val="single" w:sz="8" w:color="53C072"/>
            </w:tcBorders>
          </w:tcPr>
          <w:p>
            <w:pPr>
              <w:spacing w:after="0"/>
              <w:rPr>
                <w:sz w:val="2"/>
                <w:szCs w:val="2"/>
                <w:color w:val="auto"/>
              </w:rPr>
            </w:pPr>
          </w:p>
        </w:tc>
        <w:tc>
          <w:tcPr>
            <w:tcW w:w="680" w:type="dxa"/>
            <w:vAlign w:val="bottom"/>
            <w:tcBorders>
              <w:top w:val="single" w:sz="8" w:color="53C072"/>
            </w:tcBorders>
          </w:tcPr>
          <w:p>
            <w:pPr>
              <w:spacing w:after="0"/>
              <w:rPr>
                <w:sz w:val="2"/>
                <w:szCs w:val="2"/>
                <w:color w:val="auto"/>
              </w:rPr>
            </w:pPr>
          </w:p>
        </w:tc>
        <w:tc>
          <w:tcPr>
            <w:tcW w:w="2400" w:type="dxa"/>
            <w:vAlign w:val="bottom"/>
            <w:tcBorders>
              <w:top w:val="single" w:sz="8" w:color="53C072"/>
            </w:tcBorders>
          </w:tcPr>
          <w:p>
            <w:pPr>
              <w:spacing w:after="0"/>
              <w:rPr>
                <w:sz w:val="2"/>
                <w:szCs w:val="2"/>
                <w:color w:val="auto"/>
              </w:rPr>
            </w:pPr>
          </w:p>
        </w:tc>
        <w:tc>
          <w:tcPr>
            <w:tcW w:w="180" w:type="dxa"/>
            <w:vAlign w:val="bottom"/>
            <w:tcBorders>
              <w:top w:val="single" w:sz="8" w:color="53C072"/>
            </w:tcBorders>
          </w:tcPr>
          <w:p>
            <w:pPr>
              <w:spacing w:after="0"/>
              <w:rPr>
                <w:sz w:val="2"/>
                <w:szCs w:val="2"/>
                <w:color w:val="auto"/>
              </w:rPr>
            </w:pPr>
          </w:p>
        </w:tc>
        <w:tc>
          <w:tcPr>
            <w:tcW w:w="200" w:type="dxa"/>
            <w:vAlign w:val="bottom"/>
            <w:tcBorders>
              <w:top w:val="single" w:sz="8" w:color="53C07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4600" w:space="457"/>
            <w:col w:w="5663"/>
          </w:cols>
          <w:pgMar w:left="580" w:top="90" w:right="599" w:bottom="1014"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3100" w:type="dxa"/>
            <w:vAlign w:val="bottom"/>
            <w:tcBorders>
              <w:top w:val="single" w:sz="8" w:color="53C072"/>
              <w:bottom w:val="single" w:sz="8" w:color="53C072"/>
            </w:tcBorders>
            <w:gridSpan w:val="5"/>
            <w:vMerge w:val="restart"/>
          </w:tcPr>
          <w:p>
            <w:pPr>
              <w:ind w:left="20"/>
              <w:spacing w:after="0"/>
              <w:rPr>
                <w:sz w:val="20"/>
                <w:szCs w:val="20"/>
                <w:color w:val="auto"/>
              </w:rPr>
            </w:pPr>
            <w:r>
              <w:rPr>
                <w:rFonts w:ascii="Arial" w:cs="Arial" w:eastAsia="Arial" w:hAnsi="Arial"/>
                <w:sz w:val="22"/>
                <w:szCs w:val="22"/>
                <w:b w:val="1"/>
                <w:bCs w:val="1"/>
                <w:color w:val="53C072"/>
                <w:w w:val="96"/>
              </w:rPr>
              <w:t>Security Ownership of Certain</w:t>
            </w:r>
          </w:p>
        </w:tc>
        <w:tc>
          <w:tcPr>
            <w:tcW w:w="660" w:type="dxa"/>
            <w:vAlign w:val="bottom"/>
            <w:tcBorders>
              <w:top w:val="single" w:sz="8" w:color="53C072"/>
              <w:bottom w:val="single" w:sz="8" w:color="53C072"/>
            </w:tcBorders>
            <w:gridSpan w:val="2"/>
            <w:vMerge w:val="restart"/>
          </w:tcPr>
          <w:p>
            <w:pPr>
              <w:spacing w:after="0"/>
              <w:rPr>
                <w:sz w:val="18"/>
                <w:szCs w:val="18"/>
                <w:color w:val="auto"/>
              </w:rPr>
            </w:pPr>
          </w:p>
        </w:tc>
        <w:tc>
          <w:tcPr>
            <w:tcW w:w="320" w:type="dxa"/>
            <w:vAlign w:val="bottom"/>
            <w:tcBorders>
              <w:top w:val="single" w:sz="8" w:color="53C072"/>
            </w:tcBorders>
          </w:tcPr>
          <w:p>
            <w:pPr>
              <w:spacing w:after="0"/>
              <w:rPr>
                <w:sz w:val="18"/>
                <w:szCs w:val="18"/>
                <w:color w:val="auto"/>
              </w:rPr>
            </w:pPr>
          </w:p>
        </w:tc>
        <w:tc>
          <w:tcPr>
            <w:tcW w:w="200" w:type="dxa"/>
            <w:vAlign w:val="bottom"/>
            <w:tcBorders>
              <w:top w:val="single" w:sz="8" w:color="53C072"/>
            </w:tcBorders>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Borders>
              <w:bottom w:val="single" w:sz="8" w:color="53C072"/>
            </w:tcBorders>
            <w:gridSpan w:val="3"/>
          </w:tcPr>
          <w:p>
            <w:pPr>
              <w:jc w:val="center"/>
              <w:spacing w:after="0" w:line="190" w:lineRule="exact"/>
              <w:rPr>
                <w:sz w:val="20"/>
                <w:szCs w:val="20"/>
                <w:color w:val="auto"/>
              </w:rPr>
            </w:pPr>
            <w:r>
              <w:rPr>
                <w:rFonts w:ascii="Arial" w:cs="Arial" w:eastAsia="Arial" w:hAnsi="Arial"/>
                <w:sz w:val="21"/>
                <w:szCs w:val="21"/>
                <w:b w:val="1"/>
                <w:bCs w:val="1"/>
                <w:color w:val="53C072"/>
              </w:rPr>
              <w:t>Appendix A — Reconciliation of Non-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3100" w:type="dxa"/>
            <w:vAlign w:val="bottom"/>
            <w:tcBorders>
              <w:bottom w:val="single" w:sz="8" w:color="53C072"/>
            </w:tcBorders>
            <w:gridSpan w:val="5"/>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spacing w:after="0" w:line="223" w:lineRule="exact"/>
              <w:rPr>
                <w:sz w:val="20"/>
                <w:szCs w:val="20"/>
                <w:color w:val="auto"/>
              </w:rPr>
            </w:pPr>
            <w:r>
              <w:rPr>
                <w:rFonts w:ascii="Arial" w:cs="Arial" w:eastAsia="Arial" w:hAnsi="Arial"/>
                <w:sz w:val="22"/>
                <w:szCs w:val="22"/>
                <w:b w:val="1"/>
                <w:bCs w:val="1"/>
                <w:color w:val="53C072"/>
                <w:w w:val="95"/>
              </w:rPr>
              <w:t>GAAP Measures</w:t>
            </w:r>
          </w:p>
        </w:tc>
        <w:tc>
          <w:tcPr>
            <w:tcW w:w="2080" w:type="dxa"/>
            <w:vAlign w:val="bottom"/>
            <w:gridSpan w:val="2"/>
            <w:vMerge w:val="restart"/>
          </w:tcPr>
          <w:p>
            <w:pPr>
              <w:jc w:val="center"/>
              <w:ind w:right="2020"/>
              <w:spacing w:after="0"/>
              <w:rPr>
                <w:sz w:val="20"/>
                <w:szCs w:val="20"/>
                <w:color w:val="auto"/>
              </w:rPr>
            </w:pPr>
            <w:r>
              <w:rPr>
                <w:rFonts w:ascii="Arial" w:cs="Arial" w:eastAsia="Arial" w:hAnsi="Arial"/>
                <w:sz w:val="18"/>
                <w:szCs w:val="18"/>
                <w:color w:val="53C072"/>
              </w:rPr>
              <w:t>​</w:t>
            </w:r>
          </w:p>
        </w:tc>
        <w:tc>
          <w:tcPr>
            <w:tcW w:w="140" w:type="dxa"/>
            <w:vAlign w:val="bottom"/>
          </w:tcPr>
          <w:p>
            <w:pPr>
              <w:spacing w:after="0"/>
              <w:rPr>
                <w:sz w:val="4"/>
                <w:szCs w:val="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75</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gridSpan w:val="6"/>
            <w:vMerge w:val="restart"/>
          </w:tcPr>
          <w:p>
            <w:pPr>
              <w:ind w:left="20"/>
              <w:spacing w:after="0" w:line="209" w:lineRule="exact"/>
              <w:rPr>
                <w:sz w:val="20"/>
                <w:szCs w:val="20"/>
                <w:color w:val="auto"/>
              </w:rPr>
            </w:pPr>
            <w:r>
              <w:rPr>
                <w:rFonts w:ascii="Arial" w:cs="Arial" w:eastAsia="Arial" w:hAnsi="Arial"/>
                <w:sz w:val="22"/>
                <w:szCs w:val="22"/>
                <w:b w:val="1"/>
                <w:bCs w:val="1"/>
                <w:color w:val="53C072"/>
              </w:rPr>
              <w:t>Beneficial Owners and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Borders>
              <w:bottom w:val="single" w:sz="8" w:color="53C072"/>
            </w:tcBorders>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200" w:type="dxa"/>
            <w:vAlign w:val="bottom"/>
            <w:tcBorders>
              <w:bottom w:val="single" w:sz="8" w:color="0000EE"/>
            </w:tcBorders>
            <w:vMerge w:val="continue"/>
          </w:tcPr>
          <w:p>
            <w:pPr>
              <w:spacing w:after="0"/>
              <w:rPr>
                <w:sz w:val="15"/>
                <w:szCs w:val="15"/>
                <w:color w:val="auto"/>
              </w:rPr>
            </w:pPr>
          </w:p>
        </w:tc>
        <w:tc>
          <w:tcPr>
            <w:tcW w:w="9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580" w:type="dxa"/>
            <w:vAlign w:val="bottom"/>
            <w:gridSpan w:val="6"/>
            <w:vMerge w:val="continue"/>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tcBorders>
              <w:top w:val="single" w:sz="8" w:color="53C072"/>
            </w:tcBorders>
            <w:gridSpan w:val="2"/>
          </w:tcPr>
          <w:p>
            <w:pPr>
              <w:ind w:left="20"/>
              <w:spacing w:after="0" w:line="195" w:lineRule="exact"/>
              <w:rPr>
                <w:sz w:val="20"/>
                <w:szCs w:val="20"/>
                <w:color w:val="auto"/>
              </w:rPr>
            </w:pPr>
            <w:r>
              <w:rPr>
                <w:rFonts w:ascii="Arial" w:cs="Arial" w:eastAsia="Arial" w:hAnsi="Arial"/>
                <w:sz w:val="22"/>
                <w:szCs w:val="22"/>
                <w:b w:val="1"/>
                <w:bCs w:val="1"/>
                <w:color w:val="53C072"/>
              </w:rPr>
              <w:t>Management</w:t>
            </w:r>
          </w:p>
        </w:tc>
        <w:tc>
          <w:tcPr>
            <w:tcW w:w="4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33</w:t>
            </w:r>
          </w:p>
        </w:tc>
        <w:tc>
          <w:tcPr>
            <w:tcW w:w="220" w:type="dxa"/>
            <w:vAlign w:val="bottom"/>
          </w:tcPr>
          <w:p>
            <w:pPr>
              <w:spacing w:after="0"/>
              <w:rPr>
                <w:sz w:val="20"/>
                <w:szCs w:val="20"/>
                <w:color w:val="auto"/>
              </w:rPr>
            </w:pPr>
          </w:p>
        </w:tc>
        <w:tc>
          <w:tcPr>
            <w:tcW w:w="180" w:type="dxa"/>
            <w:vAlign w:val="bottom"/>
            <w:tcBorders>
              <w:top w:val="single" w:sz="8" w:color="53C072"/>
            </w:tcBorders>
          </w:tcPr>
          <w:p>
            <w:pPr>
              <w:spacing w:after="0"/>
              <w:rPr>
                <w:sz w:val="20"/>
                <w:szCs w:val="20"/>
                <w:color w:val="auto"/>
              </w:rPr>
            </w:pPr>
          </w:p>
        </w:tc>
        <w:tc>
          <w:tcPr>
            <w:tcW w:w="1660" w:type="dxa"/>
            <w:vAlign w:val="bottom"/>
            <w:tcBorders>
              <w:top w:val="single" w:sz="8" w:color="53C072"/>
            </w:tcBorders>
          </w:tcPr>
          <w:p>
            <w:pPr>
              <w:spacing w:after="0"/>
              <w:rPr>
                <w:sz w:val="20"/>
                <w:szCs w:val="20"/>
                <w:color w:val="auto"/>
              </w:rPr>
            </w:pPr>
          </w:p>
        </w:tc>
        <w:tc>
          <w:tcPr>
            <w:tcW w:w="1920" w:type="dxa"/>
            <w:vAlign w:val="bottom"/>
            <w:tcBorders>
              <w:top w:val="single" w:sz="8" w:color="53C072"/>
            </w:tcBorders>
          </w:tcPr>
          <w:p>
            <w:pPr>
              <w:spacing w:after="0"/>
              <w:rPr>
                <w:sz w:val="20"/>
                <w:szCs w:val="20"/>
                <w:color w:val="auto"/>
              </w:rPr>
            </w:pPr>
          </w:p>
        </w:tc>
        <w:tc>
          <w:tcPr>
            <w:tcW w:w="160" w:type="dxa"/>
            <w:vAlign w:val="bottom"/>
            <w:tcBorders>
              <w:top w:val="single" w:sz="8" w:color="53C072"/>
            </w:tcBorders>
          </w:tcPr>
          <w:p>
            <w:pPr>
              <w:spacing w:after="0"/>
              <w:rPr>
                <w:sz w:val="20"/>
                <w:szCs w:val="20"/>
                <w:color w:val="auto"/>
              </w:rPr>
            </w:pPr>
          </w:p>
        </w:tc>
        <w:tc>
          <w:tcPr>
            <w:tcW w:w="140" w:type="dxa"/>
            <w:vAlign w:val="bottom"/>
            <w:tcBorders>
              <w:top w:val="single" w:sz="8" w:color="53C072"/>
            </w:tcBorders>
          </w:tcPr>
          <w:p>
            <w:pPr>
              <w:spacing w:after="0"/>
              <w:rPr>
                <w:sz w:val="20"/>
                <w:szCs w:val="20"/>
                <w:color w:val="auto"/>
              </w:rPr>
            </w:pPr>
          </w:p>
        </w:tc>
        <w:tc>
          <w:tcPr>
            <w:tcW w:w="200" w:type="dxa"/>
            <w:vAlign w:val="bottom"/>
            <w:tcBorders>
              <w:top w:val="single" w:sz="8" w:color="53C072"/>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320" w:type="dxa"/>
            <w:vAlign w:val="bottom"/>
            <w:tcBorders>
              <w:top w:val="single" w:sz="8" w:color="53C072"/>
              <w:bottom w:val="single" w:sz="8" w:color="53C072"/>
            </w:tcBorders>
          </w:tcPr>
          <w:p>
            <w:pPr>
              <w:spacing w:after="0"/>
              <w:rPr>
                <w:sz w:val="2"/>
                <w:szCs w:val="2"/>
                <w:color w:val="auto"/>
              </w:rPr>
            </w:pPr>
          </w:p>
        </w:tc>
        <w:tc>
          <w:tcPr>
            <w:tcW w:w="1000" w:type="dxa"/>
            <w:vAlign w:val="bottom"/>
            <w:tcBorders>
              <w:bottom w:val="single" w:sz="8" w:color="53C072"/>
            </w:tcBorders>
          </w:tcPr>
          <w:p>
            <w:pPr>
              <w:spacing w:after="0"/>
              <w:rPr>
                <w:sz w:val="2"/>
                <w:szCs w:val="2"/>
                <w:color w:val="auto"/>
              </w:rPr>
            </w:pPr>
          </w:p>
        </w:tc>
        <w:tc>
          <w:tcPr>
            <w:tcW w:w="46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30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3760" w:type="dxa"/>
            <w:vAlign w:val="bottom"/>
            <w:gridSpan w:val="7"/>
            <w:shd w:val="clear" w:color="auto" w:fill="CCEEFF"/>
          </w:tcPr>
          <w:p>
            <w:pPr>
              <w:ind w:left="20"/>
              <w:spacing w:after="0"/>
              <w:rPr>
                <w:sz w:val="20"/>
                <w:szCs w:val="20"/>
                <w:color w:val="auto"/>
              </w:rPr>
            </w:pPr>
            <w:r>
              <w:rPr>
                <w:rFonts w:ascii="Arial" w:cs="Arial" w:eastAsia="Arial" w:hAnsi="Arial"/>
                <w:sz w:val="22"/>
                <w:szCs w:val="22"/>
                <w:b w:val="1"/>
                <w:bCs w:val="1"/>
                <w:color w:val="53C072"/>
              </w:rPr>
              <w:t>Delinquent Section 16(a) Reports</w:t>
            </w:r>
            <w:r>
              <w:rPr>
                <w:rFonts w:ascii="Arial" w:cs="Arial" w:eastAsia="Arial" w:hAnsi="Arial"/>
                <w:sz w:val="17"/>
                <w:szCs w:val="17"/>
                <w:color w:val="000000"/>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1320" w:type="dxa"/>
            <w:vAlign w:val="bottom"/>
            <w:tcBorders>
              <w:top w:val="single" w:sz="8" w:color="53C072"/>
            </w:tcBorders>
            <w:shd w:val="clear" w:color="auto" w:fill="53C072"/>
          </w:tcPr>
          <w:p>
            <w:pPr>
              <w:spacing w:after="0" w:line="20" w:lineRule="exact"/>
              <w:rPr>
                <w:sz w:val="1"/>
                <w:szCs w:val="1"/>
                <w:color w:val="auto"/>
              </w:rPr>
            </w:pPr>
          </w:p>
        </w:tc>
        <w:tc>
          <w:tcPr>
            <w:tcW w:w="1000" w:type="dxa"/>
            <w:vAlign w:val="bottom"/>
            <w:tcBorders>
              <w:top w:val="single" w:sz="8" w:color="53C072"/>
            </w:tcBorders>
            <w:shd w:val="clear" w:color="auto" w:fill="53C072"/>
          </w:tcPr>
          <w:p>
            <w:pPr>
              <w:spacing w:after="0" w:line="20" w:lineRule="exact"/>
              <w:rPr>
                <w:sz w:val="1"/>
                <w:szCs w:val="1"/>
                <w:color w:val="auto"/>
              </w:rPr>
            </w:pPr>
          </w:p>
        </w:tc>
        <w:tc>
          <w:tcPr>
            <w:tcW w:w="46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300" w:type="dxa"/>
            <w:vAlign w:val="bottom"/>
            <w:tcBorders>
              <w:top w:val="single" w:sz="8" w:color="53C072"/>
            </w:tcBorders>
            <w:shd w:val="clear" w:color="auto" w:fill="53C072"/>
          </w:tcPr>
          <w:p>
            <w:pPr>
              <w:spacing w:after="0" w:line="20" w:lineRule="exact"/>
              <w:rPr>
                <w:sz w:val="1"/>
                <w:szCs w:val="1"/>
                <w:color w:val="auto"/>
              </w:rPr>
            </w:pPr>
          </w:p>
        </w:tc>
        <w:tc>
          <w:tcPr>
            <w:tcW w:w="360" w:type="dxa"/>
            <w:vAlign w:val="bottom"/>
            <w:tcBorders>
              <w:top w:val="single" w:sz="8" w:color="CCEEFF"/>
            </w:tcBorders>
            <w:shd w:val="clear" w:color="auto" w:fill="53C072"/>
          </w:tcPr>
          <w:p>
            <w:pPr>
              <w:spacing w:after="0" w:line="20" w:lineRule="exact"/>
              <w:rPr>
                <w:sz w:val="1"/>
                <w:szCs w:val="1"/>
                <w:color w:val="auto"/>
              </w:rPr>
            </w:pPr>
          </w:p>
        </w:tc>
        <w:tc>
          <w:tcPr>
            <w:tcW w:w="32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spacing w:after="0"/>
              <w:rPr>
                <w:sz w:val="24"/>
                <w:szCs w:val="24"/>
                <w:color w:val="auto"/>
              </w:rPr>
            </w:pPr>
          </w:p>
        </w:tc>
        <w:tc>
          <w:tcPr>
            <w:tcW w:w="3760" w:type="dxa"/>
            <w:vAlign w:val="bottom"/>
            <w:gridSpan w:val="7"/>
          </w:tcPr>
          <w:p>
            <w:pPr>
              <w:ind w:left="20"/>
              <w:spacing w:after="0"/>
              <w:rPr>
                <w:sz w:val="20"/>
                <w:szCs w:val="20"/>
                <w:color w:val="auto"/>
              </w:rPr>
            </w:pPr>
            <w:r>
              <w:rPr>
                <w:rFonts w:ascii="Arial" w:cs="Arial" w:eastAsia="Arial" w:hAnsi="Arial"/>
                <w:sz w:val="22"/>
                <w:szCs w:val="22"/>
                <w:b w:val="1"/>
                <w:bCs w:val="1"/>
                <w:color w:val="53C072"/>
              </w:rPr>
              <w:t>Related Person Transactions</w:t>
            </w:r>
            <w:r>
              <w:rPr>
                <w:rFonts w:ascii="Arial" w:cs="Arial" w:eastAsia="Arial" w:hAnsi="Arial"/>
                <w:sz w:val="17"/>
                <w:szCs w:val="17"/>
                <w:color w:val="000000"/>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0000EE"/>
              </w:rPr>
              <w:t>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1320" w:type="dxa"/>
            <w:vAlign w:val="bottom"/>
            <w:tcBorders>
              <w:top w:val="single" w:sz="8" w:color="53C072"/>
              <w:bottom w:val="single" w:sz="8" w:color="53C072"/>
            </w:tcBorders>
          </w:tcPr>
          <w:p>
            <w:pPr>
              <w:spacing w:after="0"/>
              <w:rPr>
                <w:sz w:val="2"/>
                <w:szCs w:val="2"/>
                <w:color w:val="auto"/>
              </w:rPr>
            </w:pPr>
          </w:p>
        </w:tc>
        <w:tc>
          <w:tcPr>
            <w:tcW w:w="1000" w:type="dxa"/>
            <w:vAlign w:val="bottom"/>
            <w:tcBorders>
              <w:top w:val="single" w:sz="8" w:color="53C072"/>
              <w:bottom w:val="single" w:sz="8" w:color="53C072"/>
            </w:tcBorders>
          </w:tcPr>
          <w:p>
            <w:pPr>
              <w:spacing w:after="0"/>
              <w:rPr>
                <w:sz w:val="2"/>
                <w:szCs w:val="2"/>
                <w:color w:val="auto"/>
              </w:rPr>
            </w:pPr>
          </w:p>
        </w:tc>
        <w:tc>
          <w:tcPr>
            <w:tcW w:w="460" w:type="dxa"/>
            <w:vAlign w:val="bottom"/>
            <w:tcBorders>
              <w:top w:val="single" w:sz="8" w:color="53C072"/>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30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9"/>
        </w:trPr>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0" w:right="599" w:bottom="1014"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20"/>
        <w:spacing w:after="0"/>
        <w:rPr>
          <w:sz w:val="20"/>
          <w:szCs w:val="20"/>
          <w:color w:val="auto"/>
        </w:rPr>
      </w:pPr>
      <w:r>
        <w:rPr>
          <w:rFonts w:ascii="Arial" w:cs="Arial" w:eastAsia="Arial" w:hAnsi="Arial"/>
          <w:sz w:val="40"/>
          <w:szCs w:val="40"/>
          <w:b w:val="1"/>
          <w:bCs w:val="1"/>
          <w:color w:val="FEFEFE"/>
        </w:rPr>
        <w:t>PROXY STATEMENT SUMMARY</w:t>
      </w:r>
    </w:p>
    <w:p>
      <w:pPr>
        <w:spacing w:after="0" w:line="354" w:lineRule="exact"/>
        <w:rPr>
          <w:sz w:val="20"/>
          <w:szCs w:val="20"/>
          <w:color w:val="auto"/>
        </w:rPr>
      </w:pPr>
    </w:p>
    <w:p>
      <w:pPr>
        <w:ind w:left="1000" w:right="579"/>
        <w:spacing w:after="0" w:line="275" w:lineRule="auto"/>
        <w:rPr>
          <w:sz w:val="20"/>
          <w:szCs w:val="20"/>
          <w:color w:val="auto"/>
        </w:rPr>
      </w:pPr>
      <w:r>
        <w:rPr>
          <w:rFonts w:ascii="Arial" w:cs="Arial" w:eastAsia="Arial" w:hAnsi="Arial"/>
          <w:sz w:val="18"/>
          <w:szCs w:val="18"/>
          <w:color w:val="auto"/>
        </w:rPr>
        <w:t>This summary highlights selected information in this Proxy Statement. Please review the entire document before voting.</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134620</wp:posOffset>
            </wp:positionV>
            <wp:extent cx="5554980" cy="1234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4980" cy="1234440"/>
                    </a:xfrm>
                    <a:prstGeom prst="rect">
                      <a:avLst/>
                    </a:prstGeom>
                    <a:noFill/>
                  </pic:spPr>
                </pic:pic>
              </a:graphicData>
            </a:graphic>
          </wp:anchor>
        </w:drawing>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500" w:type="dxa"/>
            <w:vAlign w:val="bottom"/>
            <w:tcBorders>
              <w:top w:val="single" w:sz="8" w:color="53C072"/>
            </w:tcBorders>
          </w:tcPr>
          <w:p>
            <w:pPr>
              <w:ind w:left="220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3C072"/>
            </w:tcBorders>
          </w:tcPr>
          <w:p>
            <w:pPr>
              <w:ind w:left="1800"/>
              <w:spacing w:after="0"/>
              <w:rPr>
                <w:sz w:val="20"/>
                <w:szCs w:val="20"/>
                <w:color w:val="auto"/>
              </w:rPr>
            </w:pPr>
            <w:r>
              <w:rPr>
                <w:rFonts w:ascii="Arial" w:cs="Arial" w:eastAsia="Arial" w:hAnsi="Arial"/>
                <w:sz w:val="16"/>
                <w:szCs w:val="16"/>
                <w:color w:val="404040"/>
              </w:rPr>
              <w:t>​ ​</w:t>
            </w:r>
          </w:p>
        </w:tc>
        <w:tc>
          <w:tcPr>
            <w:tcW w:w="2180" w:type="dxa"/>
            <w:vAlign w:val="bottom"/>
            <w:tcBorders>
              <w:top w:val="single" w:sz="8" w:color="53C072"/>
            </w:tcBorders>
          </w:tcPr>
          <w:p>
            <w:pPr>
              <w:ind w:left="190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3C072"/>
            </w:tcBorders>
          </w:tcPr>
          <w:p>
            <w:pPr>
              <w:ind w:left="1920"/>
              <w:spacing w:after="0"/>
              <w:rPr>
                <w:sz w:val="20"/>
                <w:szCs w:val="20"/>
                <w:color w:val="auto"/>
              </w:rPr>
            </w:pPr>
            <w:r>
              <w:rPr>
                <w:rFonts w:ascii="Arial" w:cs="Arial" w:eastAsia="Arial" w:hAnsi="Arial"/>
                <w:sz w:val="16"/>
                <w:szCs w:val="16"/>
                <w:color w:val="404040"/>
              </w:rPr>
              <w:t>​</w:t>
            </w:r>
          </w:p>
        </w:tc>
      </w:tr>
      <w:tr>
        <w:trPr>
          <w:trHeight w:val="914"/>
        </w:trPr>
        <w:tc>
          <w:tcPr>
            <w:tcW w:w="2500" w:type="dxa"/>
            <w:vAlign w:val="bottom"/>
          </w:tcPr>
          <w:p>
            <w:pPr>
              <w:jc w:val="center"/>
              <w:ind w:right="79"/>
              <w:spacing w:after="0"/>
              <w:rPr>
                <w:sz w:val="20"/>
                <w:szCs w:val="20"/>
                <w:color w:val="auto"/>
              </w:rPr>
            </w:pPr>
            <w:r>
              <w:rPr>
                <w:rFonts w:ascii="Arial" w:cs="Arial" w:eastAsia="Arial" w:hAnsi="Arial"/>
                <w:sz w:val="16"/>
                <w:szCs w:val="16"/>
                <w:b w:val="1"/>
                <w:bCs w:val="1"/>
                <w:color w:val="404040"/>
                <w:w w:val="96"/>
              </w:rPr>
              <w:t>DATE</w:t>
            </w:r>
          </w:p>
        </w:tc>
        <w:tc>
          <w:tcPr>
            <w:tcW w:w="2040" w:type="dxa"/>
            <w:vAlign w:val="bottom"/>
          </w:tcPr>
          <w:p>
            <w:pPr>
              <w:jc w:val="center"/>
              <w:ind w:right="379"/>
              <w:spacing w:after="0"/>
              <w:rPr>
                <w:sz w:val="20"/>
                <w:szCs w:val="20"/>
                <w:color w:val="auto"/>
              </w:rPr>
            </w:pPr>
            <w:r>
              <w:rPr>
                <w:rFonts w:ascii="Arial" w:cs="Arial" w:eastAsia="Arial" w:hAnsi="Arial"/>
                <w:sz w:val="16"/>
                <w:szCs w:val="16"/>
                <w:b w:val="1"/>
                <w:bCs w:val="1"/>
                <w:color w:val="404040"/>
                <w:w w:val="99"/>
              </w:rPr>
              <w:t>TIME</w:t>
            </w:r>
          </w:p>
        </w:tc>
        <w:tc>
          <w:tcPr>
            <w:tcW w:w="2180" w:type="dxa"/>
            <w:vAlign w:val="bottom"/>
          </w:tcPr>
          <w:p>
            <w:pPr>
              <w:jc w:val="center"/>
              <w:ind w:right="359"/>
              <w:spacing w:after="0"/>
              <w:rPr>
                <w:sz w:val="20"/>
                <w:szCs w:val="20"/>
                <w:color w:val="auto"/>
              </w:rPr>
            </w:pPr>
            <w:r>
              <w:rPr>
                <w:rFonts w:ascii="Arial" w:cs="Arial" w:eastAsia="Arial" w:hAnsi="Arial"/>
                <w:sz w:val="16"/>
                <w:szCs w:val="16"/>
                <w:b w:val="1"/>
                <w:bCs w:val="1"/>
                <w:color w:val="404040"/>
                <w:w w:val="99"/>
              </w:rPr>
              <w:t>PLACE</w:t>
            </w:r>
          </w:p>
        </w:tc>
        <w:tc>
          <w:tcPr>
            <w:tcW w:w="2040" w:type="dxa"/>
            <w:vAlign w:val="bottom"/>
          </w:tcPr>
          <w:p>
            <w:pPr>
              <w:jc w:val="center"/>
              <w:ind w:right="319"/>
              <w:spacing w:after="0"/>
              <w:rPr>
                <w:sz w:val="20"/>
                <w:szCs w:val="20"/>
                <w:color w:val="auto"/>
              </w:rPr>
            </w:pPr>
            <w:r>
              <w:rPr>
                <w:rFonts w:ascii="Arial" w:cs="Arial" w:eastAsia="Arial" w:hAnsi="Arial"/>
                <w:sz w:val="16"/>
                <w:szCs w:val="16"/>
                <w:b w:val="1"/>
                <w:bCs w:val="1"/>
                <w:color w:val="404040"/>
                <w:w w:val="98"/>
              </w:rPr>
              <w:t>RECORD DATE</w:t>
            </w:r>
          </w:p>
        </w:tc>
      </w:tr>
      <w:tr>
        <w:trPr>
          <w:trHeight w:val="237"/>
        </w:trPr>
        <w:tc>
          <w:tcPr>
            <w:tcW w:w="2500" w:type="dxa"/>
            <w:vAlign w:val="bottom"/>
          </w:tcPr>
          <w:p>
            <w:pPr>
              <w:jc w:val="center"/>
              <w:ind w:right="39"/>
              <w:spacing w:after="0"/>
              <w:rPr>
                <w:sz w:val="20"/>
                <w:szCs w:val="20"/>
                <w:color w:val="auto"/>
              </w:rPr>
            </w:pPr>
            <w:r>
              <w:rPr>
                <w:rFonts w:ascii="Arial" w:cs="Arial" w:eastAsia="Arial" w:hAnsi="Arial"/>
                <w:sz w:val="16"/>
                <w:szCs w:val="16"/>
                <w:color w:val="404040"/>
              </w:rPr>
              <w:t>November 16, 2023</w:t>
            </w:r>
          </w:p>
        </w:tc>
        <w:tc>
          <w:tcPr>
            <w:tcW w:w="2040" w:type="dxa"/>
            <w:vAlign w:val="bottom"/>
          </w:tcPr>
          <w:p>
            <w:pPr>
              <w:jc w:val="center"/>
              <w:ind w:right="359"/>
              <w:spacing w:after="0"/>
              <w:rPr>
                <w:sz w:val="20"/>
                <w:szCs w:val="20"/>
                <w:color w:val="auto"/>
              </w:rPr>
            </w:pPr>
            <w:r>
              <w:rPr>
                <w:rFonts w:ascii="Arial" w:cs="Arial" w:eastAsia="Arial" w:hAnsi="Arial"/>
                <w:sz w:val="16"/>
                <w:szCs w:val="16"/>
                <w:color w:val="404040"/>
              </w:rPr>
              <w:t>8:00 am local time</w:t>
            </w:r>
          </w:p>
        </w:tc>
        <w:tc>
          <w:tcPr>
            <w:tcW w:w="2180" w:type="dxa"/>
            <w:vAlign w:val="bottom"/>
          </w:tcPr>
          <w:p>
            <w:pPr>
              <w:jc w:val="center"/>
              <w:ind w:right="359"/>
              <w:spacing w:after="0"/>
              <w:rPr>
                <w:sz w:val="20"/>
                <w:szCs w:val="20"/>
                <w:color w:val="auto"/>
              </w:rPr>
            </w:pPr>
            <w:r>
              <w:rPr>
                <w:rFonts w:ascii="Arial" w:cs="Arial" w:eastAsia="Arial" w:hAnsi="Arial"/>
                <w:sz w:val="16"/>
                <w:szCs w:val="16"/>
                <w:color w:val="404040"/>
              </w:rPr>
              <w:t>Avnet’s Headquarters</w:t>
            </w:r>
          </w:p>
        </w:tc>
        <w:tc>
          <w:tcPr>
            <w:tcW w:w="2040" w:type="dxa"/>
            <w:vAlign w:val="bottom"/>
          </w:tcPr>
          <w:p>
            <w:pPr>
              <w:jc w:val="center"/>
              <w:ind w:right="279"/>
              <w:spacing w:after="0"/>
              <w:rPr>
                <w:sz w:val="20"/>
                <w:szCs w:val="20"/>
                <w:color w:val="auto"/>
              </w:rPr>
            </w:pPr>
            <w:r>
              <w:rPr>
                <w:rFonts w:ascii="Arial" w:cs="Arial" w:eastAsia="Arial" w:hAnsi="Arial"/>
                <w:sz w:val="16"/>
                <w:szCs w:val="16"/>
                <w:color w:val="404040"/>
              </w:rPr>
              <w:t>September 18, 2023</w:t>
            </w:r>
          </w:p>
        </w:tc>
      </w:tr>
    </w:tbl>
    <w:p>
      <w:pPr>
        <w:ind w:left="5560"/>
        <w:spacing w:after="0"/>
        <w:rPr>
          <w:sz w:val="20"/>
          <w:szCs w:val="20"/>
          <w:color w:val="auto"/>
        </w:rPr>
      </w:pPr>
      <w:r>
        <w:rPr>
          <w:rFonts w:ascii="Arial" w:cs="Arial" w:eastAsia="Arial" w:hAnsi="Arial"/>
          <w:sz w:val="16"/>
          <w:szCs w:val="16"/>
          <w:color w:val="404040"/>
        </w:rPr>
        <w:t>2211 South 47th Street</w:t>
      </w:r>
    </w:p>
    <w:p>
      <w:pPr>
        <w:spacing w:after="0" w:line="13" w:lineRule="exact"/>
        <w:rPr>
          <w:sz w:val="20"/>
          <w:szCs w:val="20"/>
          <w:color w:val="auto"/>
        </w:rPr>
      </w:pPr>
    </w:p>
    <w:p>
      <w:pPr>
        <w:ind w:left="5560"/>
        <w:spacing w:after="0"/>
        <w:rPr>
          <w:sz w:val="20"/>
          <w:szCs w:val="20"/>
          <w:color w:val="auto"/>
        </w:rPr>
      </w:pPr>
      <w:r>
        <w:rPr>
          <w:rFonts w:ascii="Arial" w:cs="Arial" w:eastAsia="Arial" w:hAnsi="Arial"/>
          <w:sz w:val="16"/>
          <w:szCs w:val="16"/>
          <w:color w:val="404040"/>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121920</wp:posOffset>
            </wp:positionV>
            <wp:extent cx="5554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6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PROPOSALS AND BOARD RECOMMENDATIONS</w:t>
      </w:r>
    </w:p>
    <w:p>
      <w:pPr>
        <w:sectPr>
          <w:pgSz w:w="11900" w:h="16838" w:orient="portrait"/>
          <w:cols w:equalWidth="0" w:num="1">
            <w:col w:w="9879"/>
          </w:cols>
          <w:pgMar w:left="580" w:top="90" w:right="1440" w:bottom="1440" w:gutter="0" w:footer="0" w:header="0"/>
        </w:sect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20320</wp:posOffset>
            </wp:positionV>
            <wp:extent cx="3771900" cy="1157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71900" cy="1157605"/>
                    </a:xfrm>
                    <a:prstGeom prst="rect">
                      <a:avLst/>
                    </a:prstGeom>
                    <a:noFill/>
                  </pic:spPr>
                </pic:pic>
              </a:graphicData>
            </a:graphic>
          </wp:anchor>
        </w:drawing>
      </w:r>
    </w:p>
    <w:p>
      <w:pPr>
        <w:ind w:left="1940" w:hanging="680"/>
        <w:spacing w:after="0"/>
        <w:tabs>
          <w:tab w:leader="none" w:pos="1940" w:val="left"/>
        </w:tabs>
        <w:numPr>
          <w:ilvl w:val="0"/>
          <w:numId w:val="7"/>
        </w:numPr>
        <w:rPr>
          <w:rFonts w:ascii="Arial" w:cs="Arial" w:eastAsia="Arial" w:hAnsi="Arial"/>
          <w:sz w:val="32"/>
          <w:szCs w:val="32"/>
          <w:b w:val="1"/>
          <w:bCs w:val="1"/>
          <w:color w:val="FEFEFE"/>
        </w:rPr>
      </w:pPr>
      <w:r>
        <w:rPr>
          <w:rFonts w:ascii="Arial" w:cs="Arial" w:eastAsia="Arial" w:hAnsi="Arial"/>
          <w:sz w:val="18"/>
          <w:szCs w:val="18"/>
          <w:b w:val="1"/>
          <w:bCs w:val="1"/>
          <w:color w:val="auto"/>
        </w:rPr>
        <w:t>Election of Directors</w:t>
      </w:r>
    </w:p>
    <w:p>
      <w:pPr>
        <w:spacing w:after="0" w:line="24" w:lineRule="exact"/>
        <w:rPr>
          <w:sz w:val="20"/>
          <w:szCs w:val="20"/>
          <w:color w:val="auto"/>
        </w:rPr>
      </w:pPr>
    </w:p>
    <w:p>
      <w:pPr>
        <w:ind w:left="1940" w:hanging="680"/>
        <w:spacing w:after="0"/>
        <w:tabs>
          <w:tab w:leader="none" w:pos="1940" w:val="left"/>
        </w:tabs>
        <w:numPr>
          <w:ilvl w:val="0"/>
          <w:numId w:val="8"/>
        </w:numPr>
        <w:rPr>
          <w:rFonts w:ascii="Arial" w:cs="Arial" w:eastAsia="Arial" w:hAnsi="Arial"/>
          <w:sz w:val="32"/>
          <w:szCs w:val="32"/>
          <w:b w:val="1"/>
          <w:bCs w:val="1"/>
          <w:color w:val="FEFEFE"/>
        </w:rPr>
      </w:pPr>
      <w:r>
        <w:rPr>
          <w:rFonts w:ascii="Arial" w:cs="Arial" w:eastAsia="Arial" w:hAnsi="Arial"/>
          <w:sz w:val="18"/>
          <w:szCs w:val="18"/>
          <w:b w:val="1"/>
          <w:bCs w:val="1"/>
          <w:color w:val="auto"/>
        </w:rPr>
        <w:t>Advisory vote on named executive compensation</w:t>
      </w:r>
    </w:p>
    <w:p>
      <w:pPr>
        <w:spacing w:after="0" w:line="108" w:lineRule="exact"/>
        <w:rPr>
          <w:sz w:val="20"/>
          <w:szCs w:val="20"/>
          <w:color w:val="auto"/>
        </w:rPr>
      </w:pPr>
    </w:p>
    <w:p>
      <w:pPr>
        <w:ind w:left="1940" w:right="60" w:hanging="680"/>
        <w:spacing w:after="0" w:line="182" w:lineRule="auto"/>
        <w:tabs>
          <w:tab w:leader="none" w:pos="1940" w:val="left"/>
        </w:tabs>
        <w:numPr>
          <w:ilvl w:val="0"/>
          <w:numId w:val="9"/>
        </w:numPr>
        <w:rPr>
          <w:rFonts w:ascii="Arial" w:cs="Arial" w:eastAsia="Arial" w:hAnsi="Arial"/>
          <w:sz w:val="36"/>
          <w:szCs w:val="36"/>
          <w:b w:val="1"/>
          <w:bCs w:val="1"/>
          <w:color w:val="FEFEFE"/>
          <w:vertAlign w:val="subscript"/>
        </w:rPr>
      </w:pPr>
      <w:r>
        <w:rPr>
          <w:rFonts w:ascii="Arial" w:cs="Arial" w:eastAsia="Arial" w:hAnsi="Arial"/>
          <w:sz w:val="15"/>
          <w:szCs w:val="15"/>
          <w:b w:val="1"/>
          <w:bCs w:val="1"/>
          <w:color w:val="auto"/>
        </w:rPr>
        <w:t>Advisory vote on the frequency of future advisory votes on named executive compensation</w:t>
      </w:r>
    </w:p>
    <w:p>
      <w:pPr>
        <w:spacing w:after="0" w:line="20" w:lineRule="exact"/>
        <w:rPr>
          <w:sz w:val="20"/>
          <w:szCs w:val="20"/>
          <w:color w:val="auto"/>
        </w:rPr>
      </w:pPr>
    </w:p>
    <w:p>
      <w:pPr>
        <w:ind w:left="1940" w:hanging="680"/>
        <w:spacing w:after="0" w:line="187" w:lineRule="auto"/>
        <w:tabs>
          <w:tab w:leader="none" w:pos="1940" w:val="left"/>
        </w:tabs>
        <w:numPr>
          <w:ilvl w:val="0"/>
          <w:numId w:val="10"/>
        </w:numPr>
        <w:rPr>
          <w:rFonts w:ascii="Arial" w:cs="Arial" w:eastAsia="Arial" w:hAnsi="Arial"/>
          <w:sz w:val="52"/>
          <w:szCs w:val="52"/>
          <w:b w:val="1"/>
          <w:bCs w:val="1"/>
          <w:color w:val="FEFEFE"/>
          <w:vertAlign w:val="subscript"/>
        </w:rPr>
      </w:pPr>
      <w:r>
        <w:rPr>
          <w:rFonts w:ascii="Arial" w:cs="Arial" w:eastAsia="Arial" w:hAnsi="Arial"/>
          <w:sz w:val="16"/>
          <w:szCs w:val="16"/>
          <w:b w:val="1"/>
          <w:bCs w:val="1"/>
          <w:color w:val="auto"/>
        </w:rPr>
        <w:t>Ratification of independent registered public accounting firm</w:t>
      </w:r>
    </w:p>
    <w:p>
      <w:pPr>
        <w:spacing w:after="0" w:line="2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160020</wp:posOffset>
            </wp:positionV>
            <wp:extent cx="2708910" cy="643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0891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right="159" w:firstLine="468"/>
        <w:spacing w:after="0" w:line="267" w:lineRule="auto"/>
        <w:rPr>
          <w:sz w:val="20"/>
          <w:szCs w:val="20"/>
          <w:color w:val="auto"/>
        </w:rPr>
      </w:pPr>
      <w:r>
        <w:rPr>
          <w:rFonts w:ascii="Arial" w:cs="Arial" w:eastAsia="Arial" w:hAnsi="Arial"/>
          <w:sz w:val="18"/>
          <w:szCs w:val="18"/>
          <w:b w:val="1"/>
          <w:bCs w:val="1"/>
          <w:color w:val="53C072"/>
        </w:rPr>
        <w:t>Board Page Recommendation ​ ​ Reference</w:t>
      </w:r>
    </w:p>
    <w:tbl>
      <w:tblPr>
        <w:tblLayout w:type="fixed"/>
        <w:tblInd w:w="0" w:type="dxa"/>
        <w:tblCellMar>
          <w:top w:w="0" w:type="dxa"/>
          <w:left w:w="0" w:type="dxa"/>
          <w:bottom w:w="0" w:type="dxa"/>
          <w:right w:w="0" w:type="dxa"/>
        </w:tblCellMar>
      </w:tblPr>
      <w:tr>
        <w:trPr>
          <w:trHeight w:val="2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shd w:val="clear" w:color="auto" w:fill="53C072"/>
          </w:tcPr>
          <w:p>
            <w:pPr>
              <w:jc w:val="center"/>
              <w:spacing w:after="0" w:line="271" w:lineRule="exact"/>
              <w:rPr>
                <w:sz w:val="20"/>
                <w:szCs w:val="20"/>
                <w:color w:val="auto"/>
              </w:rPr>
            </w:pPr>
            <w:r>
              <w:rPr>
                <w:rFonts w:ascii="Arial" w:cs="Arial" w:eastAsia="Arial" w:hAnsi="Arial"/>
                <w:sz w:val="29"/>
                <w:szCs w:val="29"/>
                <w:b w:val="1"/>
                <w:bCs w:val="1"/>
                <w:color w:val="FFFFFF"/>
                <w:w w:val="97"/>
              </w:rPr>
              <w:t>FOR</w:t>
            </w:r>
          </w:p>
        </w:tc>
        <w:tc>
          <w:tcPr>
            <w:tcW w:w="120" w:type="dxa"/>
            <w:vAlign w:val="bottom"/>
            <w:tcBorders>
              <w:bottom w:val="single" w:sz="8" w:color="53C072"/>
            </w:tcBorders>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D8D8D8"/>
            </w:tcBorders>
            <w:shd w:val="clear" w:color="auto" w:fill="D8D8D8"/>
          </w:tcPr>
          <w:p>
            <w:pPr>
              <w:spacing w:after="0"/>
              <w:rPr>
                <w:sz w:val="24"/>
                <w:szCs w:val="24"/>
                <w:color w:val="auto"/>
              </w:rPr>
            </w:pPr>
          </w:p>
        </w:tc>
        <w:tc>
          <w:tcPr>
            <w:tcW w:w="2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0000EE"/>
            </w:tcBorders>
            <w:shd w:val="clear" w:color="auto" w:fill="D8D8D8"/>
          </w:tcPr>
          <w:p>
            <w:pPr>
              <w:spacing w:after="0"/>
              <w:rPr>
                <w:sz w:val="20"/>
                <w:szCs w:val="20"/>
                <w:color w:val="auto"/>
              </w:rPr>
            </w:pPr>
            <w:r>
              <w:rPr>
                <w:rFonts w:ascii="Arial" w:cs="Arial" w:eastAsia="Arial" w:hAnsi="Arial"/>
                <w:sz w:val="18"/>
                <w:szCs w:val="18"/>
                <w:b w:val="1"/>
                <w:bCs w:val="1"/>
                <w:color w:val="0000EE"/>
                <w:w w:val="79"/>
              </w:rPr>
              <w:t>8</w:t>
            </w:r>
          </w:p>
        </w:tc>
        <w:tc>
          <w:tcPr>
            <w:tcW w:w="60" w:type="dxa"/>
            <w:vAlign w:val="bottom"/>
            <w:tcBorders>
              <w:bottom w:val="single" w:sz="8" w:color="D8D8D8"/>
            </w:tcBorders>
            <w:shd w:val="clear" w:color="auto" w:fill="D8D8D8"/>
          </w:tcPr>
          <w:p>
            <w:pPr>
              <w:spacing w:after="0"/>
              <w:rPr>
                <w:sz w:val="24"/>
                <w:szCs w:val="24"/>
                <w:color w:val="auto"/>
              </w:rPr>
            </w:pPr>
          </w:p>
        </w:tc>
        <w:tc>
          <w:tcPr>
            <w:tcW w:w="20" w:type="dxa"/>
            <w:vAlign w:val="bottom"/>
            <w:tcBorders>
              <w:bottom w:val="single" w:sz="8" w:color="D8D8D8"/>
            </w:tcBorders>
            <w:shd w:val="clear" w:color="auto" w:fill="D8D8D8"/>
          </w:tcPr>
          <w:p>
            <w:pPr>
              <w:spacing w:after="0"/>
              <w:rPr>
                <w:sz w:val="24"/>
                <w:szCs w:val="24"/>
                <w:color w:val="auto"/>
              </w:rPr>
            </w:pPr>
          </w:p>
        </w:tc>
        <w:tc>
          <w:tcPr>
            <w:tcW w:w="32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w w:val="97"/>
              </w:rPr>
              <w:t>FOR</w:t>
            </w:r>
          </w:p>
        </w:tc>
        <w:tc>
          <w:tcPr>
            <w:tcW w:w="1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D8D8D8"/>
            </w:tcBorders>
            <w:vMerge w:val="restart"/>
            <w:shd w:val="clear" w:color="auto" w:fill="D8D8D8"/>
          </w:tcPr>
          <w:p>
            <w:pPr>
              <w:spacing w:after="0"/>
              <w:rPr>
                <w:sz w:val="24"/>
                <w:szCs w:val="24"/>
                <w:color w:val="auto"/>
              </w:rPr>
            </w:pPr>
          </w:p>
        </w:tc>
        <w:tc>
          <w:tcPr>
            <w:tcW w:w="18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79"/>
              </w:rPr>
              <w:t>36</w:t>
            </w:r>
          </w:p>
        </w:tc>
        <w:tc>
          <w:tcPr>
            <w:tcW w:w="20" w:type="dxa"/>
            <w:vAlign w:val="bottom"/>
            <w:tcBorders>
              <w:bottom w:val="single" w:sz="8" w:color="D8D8D8"/>
            </w:tcBorders>
            <w:vMerge w:val="restart"/>
            <w:shd w:val="clear" w:color="auto" w:fill="D8D8D8"/>
          </w:tcPr>
          <w:p>
            <w:pPr>
              <w:spacing w:after="0"/>
              <w:rPr>
                <w:sz w:val="24"/>
                <w:szCs w:val="24"/>
                <w:color w:val="auto"/>
              </w:rPr>
            </w:pPr>
          </w:p>
        </w:tc>
        <w:tc>
          <w:tcPr>
            <w:tcW w:w="320" w:type="dxa"/>
            <w:vAlign w:val="bottom"/>
            <w:tcBorders>
              <w:bottom w:val="single" w:sz="8" w:color="D8D8D8"/>
            </w:tcBorders>
            <w:vMerge w:val="restart"/>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53C072"/>
          </w:tcPr>
          <w:p>
            <w:pPr>
              <w:spacing w:after="0"/>
              <w:rPr>
                <w:sz w:val="8"/>
                <w:szCs w:val="8"/>
                <w:color w:val="auto"/>
              </w:rPr>
            </w:pPr>
          </w:p>
        </w:tc>
        <w:tc>
          <w:tcPr>
            <w:tcW w:w="1540" w:type="dxa"/>
            <w:vAlign w:val="bottom"/>
            <w:vMerge w:val="continue"/>
            <w:shd w:val="clear" w:color="auto" w:fill="53C072"/>
          </w:tcPr>
          <w:p>
            <w:pPr>
              <w:spacing w:after="0"/>
              <w:rPr>
                <w:sz w:val="8"/>
                <w:szCs w:val="8"/>
                <w:color w:val="auto"/>
              </w:rPr>
            </w:pPr>
          </w:p>
        </w:tc>
        <w:tc>
          <w:tcPr>
            <w:tcW w:w="120" w:type="dxa"/>
            <w:vAlign w:val="bottom"/>
            <w:vMerge w:val="continue"/>
            <w:shd w:val="clear" w:color="auto" w:fill="53C072"/>
          </w:tcPr>
          <w:p>
            <w:pPr>
              <w:spacing w:after="0"/>
              <w:rPr>
                <w:sz w:val="8"/>
                <w:szCs w:val="8"/>
                <w:color w:val="auto"/>
              </w:rPr>
            </w:pPr>
          </w:p>
        </w:tc>
        <w:tc>
          <w:tcPr>
            <w:tcW w:w="480" w:type="dxa"/>
            <w:vAlign w:val="bottom"/>
            <w:vMerge w:val="continue"/>
            <w:shd w:val="clear" w:color="auto" w:fill="D8D8D8"/>
          </w:tcPr>
          <w:p>
            <w:pPr>
              <w:spacing w:after="0"/>
              <w:rPr>
                <w:sz w:val="8"/>
                <w:szCs w:val="8"/>
                <w:color w:val="auto"/>
              </w:rPr>
            </w:pPr>
          </w:p>
        </w:tc>
        <w:tc>
          <w:tcPr>
            <w:tcW w:w="20" w:type="dxa"/>
            <w:vAlign w:val="bottom"/>
            <w:vMerge w:val="continue"/>
            <w:shd w:val="clear" w:color="auto" w:fill="D8D8D8"/>
          </w:tcPr>
          <w:p>
            <w:pPr>
              <w:spacing w:after="0"/>
              <w:rPr>
                <w:sz w:val="8"/>
                <w:szCs w:val="8"/>
                <w:color w:val="auto"/>
              </w:rPr>
            </w:pPr>
          </w:p>
        </w:tc>
        <w:tc>
          <w:tcPr>
            <w:tcW w:w="180" w:type="dxa"/>
            <w:vAlign w:val="bottom"/>
            <w:gridSpan w:val="3"/>
            <w:shd w:val="clear" w:color="auto" w:fill="D8D8D8"/>
          </w:tcPr>
          <w:p>
            <w:pPr>
              <w:spacing w:after="0"/>
              <w:rPr>
                <w:sz w:val="8"/>
                <w:szCs w:val="8"/>
                <w:color w:val="auto"/>
              </w:rPr>
            </w:pPr>
          </w:p>
        </w:tc>
        <w:tc>
          <w:tcPr>
            <w:tcW w:w="20" w:type="dxa"/>
            <w:vAlign w:val="bottom"/>
            <w:vMerge w:val="continue"/>
            <w:shd w:val="clear" w:color="auto" w:fill="D8D8D8"/>
          </w:tcPr>
          <w:p>
            <w:pPr>
              <w:spacing w:after="0"/>
              <w:rPr>
                <w:sz w:val="8"/>
                <w:szCs w:val="8"/>
                <w:color w:val="auto"/>
              </w:rPr>
            </w:pPr>
          </w:p>
        </w:tc>
        <w:tc>
          <w:tcPr>
            <w:tcW w:w="32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00" w:type="dxa"/>
            <w:vAlign w:val="bottom"/>
            <w:tcBorders>
              <w:bottom w:val="single" w:sz="8" w:color="D8D8D8"/>
            </w:tcBorders>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w w:val="97"/>
              </w:rPr>
              <w:t>1 YEAR</w:t>
            </w:r>
          </w:p>
        </w:tc>
        <w:tc>
          <w:tcPr>
            <w:tcW w:w="1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0000EE"/>
            </w:tcBorders>
            <w:gridSpan w:val="5"/>
            <w:shd w:val="clear" w:color="auto" w:fill="D8D8D8"/>
          </w:tcPr>
          <w:p>
            <w:pPr>
              <w:spacing w:after="0"/>
              <w:rPr>
                <w:sz w:val="20"/>
                <w:szCs w:val="20"/>
                <w:color w:val="auto"/>
              </w:rPr>
            </w:pPr>
            <w:r>
              <w:rPr>
                <w:rFonts w:ascii="Arial" w:cs="Arial" w:eastAsia="Arial" w:hAnsi="Arial"/>
                <w:sz w:val="18"/>
                <w:szCs w:val="18"/>
                <w:b w:val="1"/>
                <w:bCs w:val="1"/>
                <w:color w:val="0000EE"/>
                <w:w w:val="99"/>
              </w:rPr>
              <w:t>69</w:t>
            </w:r>
          </w:p>
        </w:tc>
        <w:tc>
          <w:tcPr>
            <w:tcW w:w="32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D8D8D8"/>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53C072"/>
          </w:tcPr>
          <w:p>
            <w:pPr>
              <w:spacing w:after="0"/>
              <w:rPr>
                <w:sz w:val="11"/>
                <w:szCs w:val="11"/>
                <w:color w:val="auto"/>
              </w:rPr>
            </w:pPr>
          </w:p>
        </w:tc>
        <w:tc>
          <w:tcPr>
            <w:tcW w:w="1540" w:type="dxa"/>
            <w:vAlign w:val="bottom"/>
            <w:vMerge w:val="continue"/>
            <w:shd w:val="clear" w:color="auto" w:fill="53C072"/>
          </w:tcPr>
          <w:p>
            <w:pPr>
              <w:spacing w:after="0"/>
              <w:rPr>
                <w:sz w:val="11"/>
                <w:szCs w:val="11"/>
                <w:color w:val="auto"/>
              </w:rPr>
            </w:pPr>
          </w:p>
        </w:tc>
        <w:tc>
          <w:tcPr>
            <w:tcW w:w="120" w:type="dxa"/>
            <w:vAlign w:val="bottom"/>
            <w:vMerge w:val="continue"/>
            <w:shd w:val="clear" w:color="auto" w:fill="53C072"/>
          </w:tcPr>
          <w:p>
            <w:pPr>
              <w:spacing w:after="0"/>
              <w:rPr>
                <w:sz w:val="11"/>
                <w:szCs w:val="11"/>
                <w:color w:val="auto"/>
              </w:rPr>
            </w:pPr>
          </w:p>
        </w:tc>
        <w:tc>
          <w:tcPr>
            <w:tcW w:w="480" w:type="dxa"/>
            <w:vAlign w:val="bottom"/>
            <w:vMerge w:val="continue"/>
            <w:shd w:val="clear" w:color="auto" w:fill="D8D8D8"/>
          </w:tcPr>
          <w:p>
            <w:pPr>
              <w:spacing w:after="0"/>
              <w:rPr>
                <w:sz w:val="11"/>
                <w:szCs w:val="11"/>
                <w:color w:val="auto"/>
              </w:rPr>
            </w:pPr>
          </w:p>
        </w:tc>
        <w:tc>
          <w:tcPr>
            <w:tcW w:w="220" w:type="dxa"/>
            <w:vAlign w:val="bottom"/>
            <w:gridSpan w:val="5"/>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100" w:type="dxa"/>
            <w:vAlign w:val="bottom"/>
            <w:tcBorders>
              <w:bottom w:val="single" w:sz="8" w:color="D8D8D8"/>
            </w:tcBorders>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w w:val="97"/>
              </w:rPr>
              <w:t>FOR</w:t>
            </w:r>
          </w:p>
        </w:tc>
        <w:tc>
          <w:tcPr>
            <w:tcW w:w="1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D8D8D8"/>
            </w:tcBorders>
            <w:vMerge w:val="restart"/>
            <w:shd w:val="clear" w:color="auto" w:fill="D8D8D8"/>
          </w:tcPr>
          <w:p>
            <w:pPr>
              <w:spacing w:after="0"/>
              <w:rPr>
                <w:sz w:val="24"/>
                <w:szCs w:val="24"/>
                <w:color w:val="auto"/>
              </w:rPr>
            </w:pPr>
          </w:p>
        </w:tc>
        <w:tc>
          <w:tcPr>
            <w:tcW w:w="18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79"/>
              </w:rPr>
              <w:t>70</w:t>
            </w:r>
          </w:p>
        </w:tc>
        <w:tc>
          <w:tcPr>
            <w:tcW w:w="20" w:type="dxa"/>
            <w:vAlign w:val="bottom"/>
            <w:tcBorders>
              <w:bottom w:val="single" w:sz="8" w:color="D8D8D8"/>
            </w:tcBorders>
            <w:vMerge w:val="restart"/>
            <w:shd w:val="clear" w:color="auto" w:fill="D8D8D8"/>
          </w:tcPr>
          <w:p>
            <w:pPr>
              <w:spacing w:after="0"/>
              <w:rPr>
                <w:sz w:val="24"/>
                <w:szCs w:val="24"/>
                <w:color w:val="auto"/>
              </w:rPr>
            </w:pPr>
          </w:p>
        </w:tc>
        <w:tc>
          <w:tcPr>
            <w:tcW w:w="32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D8D8D8"/>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1540" w:type="dxa"/>
            <w:vAlign w:val="bottom"/>
            <w:vMerge w:val="continue"/>
            <w:shd w:val="clear" w:color="auto" w:fill="53C072"/>
          </w:tcPr>
          <w:p>
            <w:pPr>
              <w:spacing w:after="0"/>
              <w:rPr>
                <w:sz w:val="9"/>
                <w:szCs w:val="9"/>
                <w:color w:val="auto"/>
              </w:rPr>
            </w:pPr>
          </w:p>
        </w:tc>
        <w:tc>
          <w:tcPr>
            <w:tcW w:w="120" w:type="dxa"/>
            <w:vAlign w:val="bottom"/>
            <w:vMerge w:val="continue"/>
            <w:shd w:val="clear" w:color="auto" w:fill="53C072"/>
          </w:tcPr>
          <w:p>
            <w:pPr>
              <w:spacing w:after="0"/>
              <w:rPr>
                <w:sz w:val="9"/>
                <w:szCs w:val="9"/>
                <w:color w:val="auto"/>
              </w:rPr>
            </w:pPr>
          </w:p>
        </w:tc>
        <w:tc>
          <w:tcPr>
            <w:tcW w:w="480" w:type="dxa"/>
            <w:vAlign w:val="bottom"/>
            <w:vMerge w:val="continue"/>
            <w:shd w:val="clear" w:color="auto" w:fill="D8D8D8"/>
          </w:tcPr>
          <w:p>
            <w:pPr>
              <w:spacing w:after="0"/>
              <w:rPr>
                <w:sz w:val="9"/>
                <w:szCs w:val="9"/>
                <w:color w:val="auto"/>
              </w:rPr>
            </w:pPr>
          </w:p>
        </w:tc>
        <w:tc>
          <w:tcPr>
            <w:tcW w:w="20" w:type="dxa"/>
            <w:vAlign w:val="bottom"/>
            <w:vMerge w:val="continue"/>
            <w:shd w:val="clear" w:color="auto" w:fill="D8D8D8"/>
          </w:tcPr>
          <w:p>
            <w:pPr>
              <w:spacing w:after="0"/>
              <w:rPr>
                <w:sz w:val="9"/>
                <w:szCs w:val="9"/>
                <w:color w:val="auto"/>
              </w:rPr>
            </w:pPr>
          </w:p>
        </w:tc>
        <w:tc>
          <w:tcPr>
            <w:tcW w:w="180" w:type="dxa"/>
            <w:vAlign w:val="bottom"/>
            <w:gridSpan w:val="3"/>
            <w:shd w:val="clear" w:color="auto" w:fill="D8D8D8"/>
          </w:tcPr>
          <w:p>
            <w:pPr>
              <w:spacing w:after="0"/>
              <w:rPr>
                <w:sz w:val="9"/>
                <w:szCs w:val="9"/>
                <w:color w:val="auto"/>
              </w:rPr>
            </w:pPr>
          </w:p>
        </w:tc>
        <w:tc>
          <w:tcPr>
            <w:tcW w:w="20" w:type="dxa"/>
            <w:vAlign w:val="bottom"/>
            <w:vMerge w:val="continue"/>
            <w:shd w:val="clear" w:color="auto" w:fill="D8D8D8"/>
          </w:tcPr>
          <w:p>
            <w:pPr>
              <w:spacing w:after="0"/>
              <w:rPr>
                <w:sz w:val="9"/>
                <w:szCs w:val="9"/>
                <w:color w:val="auto"/>
              </w:rPr>
            </w:pPr>
          </w:p>
        </w:tc>
        <w:tc>
          <w:tcPr>
            <w:tcW w:w="32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0" w:type="dxa"/>
            <w:vAlign w:val="bottom"/>
            <w:shd w:val="clear" w:color="auto" w:fill="D8D8D8"/>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53C072"/>
          </w:tcPr>
          <w:p>
            <w:pPr>
              <w:spacing w:after="0"/>
              <w:rPr>
                <w:sz w:val="4"/>
                <w:szCs w:val="4"/>
                <w:color w:val="auto"/>
              </w:rPr>
            </w:pPr>
          </w:p>
        </w:tc>
        <w:tc>
          <w:tcPr>
            <w:tcW w:w="1540" w:type="dxa"/>
            <w:vAlign w:val="bottom"/>
            <w:shd w:val="clear" w:color="auto" w:fill="53C072"/>
          </w:tcPr>
          <w:p>
            <w:pPr>
              <w:spacing w:after="0"/>
              <w:rPr>
                <w:sz w:val="4"/>
                <w:szCs w:val="4"/>
                <w:color w:val="auto"/>
              </w:rPr>
            </w:pPr>
          </w:p>
        </w:tc>
        <w:tc>
          <w:tcPr>
            <w:tcW w:w="120" w:type="dxa"/>
            <w:vAlign w:val="bottom"/>
            <w:shd w:val="clear" w:color="auto" w:fill="53C072"/>
          </w:tcPr>
          <w:p>
            <w:pPr>
              <w:spacing w:after="0"/>
              <w:rPr>
                <w:sz w:val="4"/>
                <w:szCs w:val="4"/>
                <w:color w:val="auto"/>
              </w:rPr>
            </w:pPr>
          </w:p>
        </w:tc>
        <w:tc>
          <w:tcPr>
            <w:tcW w:w="480" w:type="dxa"/>
            <w:vAlign w:val="bottom"/>
            <w:shd w:val="clear" w:color="auto" w:fill="D8D8D8"/>
          </w:tcPr>
          <w:p>
            <w:pPr>
              <w:spacing w:after="0"/>
              <w:rPr>
                <w:sz w:val="4"/>
                <w:szCs w:val="4"/>
                <w:color w:val="auto"/>
              </w:rPr>
            </w:pPr>
          </w:p>
        </w:tc>
        <w:tc>
          <w:tcPr>
            <w:tcW w:w="20" w:type="dxa"/>
            <w:vAlign w:val="bottom"/>
            <w:shd w:val="clear" w:color="auto" w:fill="D8D8D8"/>
          </w:tcPr>
          <w:p>
            <w:pPr>
              <w:spacing w:after="0"/>
              <w:rPr>
                <w:sz w:val="4"/>
                <w:szCs w:val="4"/>
                <w:color w:val="auto"/>
              </w:rPr>
            </w:pPr>
          </w:p>
        </w:tc>
        <w:tc>
          <w:tcPr>
            <w:tcW w:w="2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0" w:type="dxa"/>
            <w:vAlign w:val="bottom"/>
            <w:shd w:val="clear" w:color="auto" w:fill="D8D8D8"/>
          </w:tcPr>
          <w:p>
            <w:pPr>
              <w:spacing w:after="0"/>
              <w:rPr>
                <w:sz w:val="4"/>
                <w:szCs w:val="4"/>
                <w:color w:val="auto"/>
              </w:rPr>
            </w:pPr>
          </w:p>
        </w:tc>
        <w:tc>
          <w:tcPr>
            <w:tcW w:w="20" w:type="dxa"/>
            <w:vAlign w:val="bottom"/>
            <w:shd w:val="clear" w:color="auto" w:fill="D8D8D8"/>
          </w:tcPr>
          <w:p>
            <w:pPr>
              <w:spacing w:after="0"/>
              <w:rPr>
                <w:sz w:val="4"/>
                <w:szCs w:val="4"/>
                <w:color w:val="auto"/>
              </w:rPr>
            </w:pPr>
          </w:p>
        </w:tc>
        <w:tc>
          <w:tcPr>
            <w:tcW w:w="32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17748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-325120</wp:posOffset>
            </wp:positionV>
            <wp:extent cx="17748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-650875</wp:posOffset>
            </wp:positionV>
            <wp:extent cx="17748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-890905</wp:posOffset>
            </wp:positionV>
            <wp:extent cx="17748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445770</wp:posOffset>
            </wp:positionV>
            <wp:extent cx="2708910"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58293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6760" w:space="60"/>
            <w:col w:w="3059"/>
          </w:cols>
          <w:pgMar w:left="580" w:top="90" w:right="1440" w:bottom="1440" w:gutter="0" w:footer="0" w:header="0"/>
          <w:type w:val="continuous"/>
        </w:sectPr>
      </w:pP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INTERNET</w:t>
      </w:r>
    </w:p>
    <w:p>
      <w:pPr>
        <w:spacing w:after="0" w:line="67" w:lineRule="exact"/>
        <w:rPr>
          <w:sz w:val="20"/>
          <w:szCs w:val="20"/>
          <w:color w:val="auto"/>
        </w:rPr>
      </w:pPr>
    </w:p>
    <w:p>
      <w:pPr>
        <w:ind w:left="1120" w:right="1140"/>
        <w:spacing w:after="0" w:line="293"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235585</wp:posOffset>
            </wp:positionV>
            <wp:extent cx="2708910" cy="711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08910" cy="7112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TELEPHONE</w:t>
      </w:r>
    </w:p>
    <w:p>
      <w:pPr>
        <w:spacing w:after="0" w:line="81" w:lineRule="exact"/>
        <w:rPr>
          <w:sz w:val="20"/>
          <w:szCs w:val="20"/>
          <w:color w:val="auto"/>
        </w:rPr>
      </w:pPr>
    </w:p>
    <w:p>
      <w:pPr>
        <w:jc w:val="both"/>
        <w:ind w:left="1120" w:right="1060"/>
        <w:spacing w:after="0" w:line="293"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MAIL</w:t>
      </w:r>
    </w:p>
    <w:p>
      <w:pPr>
        <w:spacing w:after="0" w:line="67" w:lineRule="exact"/>
        <w:rPr>
          <w:sz w:val="20"/>
          <w:szCs w:val="20"/>
          <w:color w:val="auto"/>
        </w:rPr>
      </w:pPr>
    </w:p>
    <w:p>
      <w:pPr>
        <w:ind w:right="1419"/>
        <w:spacing w:after="0" w:line="293"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175260</wp:posOffset>
            </wp:positionV>
            <wp:extent cx="2708910" cy="676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8910" cy="67691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IN PERSON</w:t>
      </w:r>
    </w:p>
    <w:p>
      <w:pPr>
        <w:spacing w:after="0" w:line="81" w:lineRule="exact"/>
        <w:rPr>
          <w:sz w:val="20"/>
          <w:szCs w:val="20"/>
          <w:color w:val="auto"/>
        </w:rPr>
      </w:pPr>
    </w:p>
    <w:p>
      <w:pPr>
        <w:ind w:right="1559"/>
        <w:spacing w:after="0" w:line="293" w:lineRule="auto"/>
        <w:rPr>
          <w:sz w:val="20"/>
          <w:szCs w:val="20"/>
          <w:color w:val="auto"/>
        </w:rPr>
      </w:pPr>
      <w:r>
        <w:rPr>
          <w:rFonts w:ascii="Arial" w:cs="Arial" w:eastAsia="Arial" w:hAnsi="Arial"/>
          <w:sz w:val="16"/>
          <w:szCs w:val="16"/>
          <w:color w:val="auto"/>
        </w:rPr>
        <w:t>Cast your vote in person at the annual meeting.</w:t>
      </w:r>
    </w:p>
    <w:p>
      <w:pPr>
        <w:spacing w:after="0" w:line="294" w:lineRule="exact"/>
        <w:rPr>
          <w:sz w:val="20"/>
          <w:szCs w:val="20"/>
          <w:color w:val="auto"/>
        </w:rPr>
      </w:pPr>
    </w:p>
    <w:p>
      <w:pPr>
        <w:sectPr>
          <w:pgSz w:w="11900" w:h="16838" w:orient="portrait"/>
          <w:cols w:equalWidth="0" w:num="2">
            <w:col w:w="4880" w:space="720"/>
            <w:col w:w="42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4"/>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SNAPSHOT OF 2023 DIRECTOR NOMINEES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center"/>
              <w:ind w:right="210"/>
              <w:spacing w:after="0"/>
              <w:rPr>
                <w:sz w:val="20"/>
                <w:szCs w:val="20"/>
                <w:color w:val="auto"/>
              </w:rPr>
            </w:pPr>
            <w:r>
              <w:rPr>
                <w:rFonts w:ascii="Arial" w:cs="Arial" w:eastAsia="Arial" w:hAnsi="Arial"/>
                <w:sz w:val="14"/>
                <w:szCs w:val="14"/>
                <w:b w:val="1"/>
                <w:bCs w:val="1"/>
                <w:color w:val="auto"/>
              </w:rPr>
              <w:t>Director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12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1420" w:type="dxa"/>
            <w:vAlign w:val="bottom"/>
            <w:tcBorders>
              <w:bottom w:val="single" w:sz="8" w:color="53C072"/>
            </w:tcBorders>
            <w:gridSpan w:val="14"/>
          </w:tcPr>
          <w:p>
            <w:pPr>
              <w:jc w:val="center"/>
              <w:ind w:left="35"/>
              <w:spacing w:after="0"/>
              <w:rPr>
                <w:sz w:val="20"/>
                <w:szCs w:val="20"/>
                <w:color w:val="auto"/>
              </w:rPr>
            </w:pPr>
            <w:r>
              <w:rPr>
                <w:rFonts w:ascii="Arial" w:cs="Arial" w:eastAsia="Arial" w:hAnsi="Arial"/>
                <w:sz w:val="14"/>
                <w:szCs w:val="14"/>
                <w:b w:val="1"/>
                <w:bCs w:val="1"/>
                <w:color w:val="auto"/>
              </w:rPr>
              <w:t>Avnet Committees</w:t>
            </w:r>
          </w:p>
        </w:tc>
        <w:tc>
          <w:tcPr>
            <w:tcW w:w="18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40" w:type="dxa"/>
            <w:vAlign w:val="bottom"/>
            <w:tcBorders>
              <w:bottom w:val="single" w:sz="8" w:color="53C072"/>
            </w:tcBorders>
          </w:tcPr>
          <w:p>
            <w:pPr>
              <w:spacing w:after="0"/>
              <w:rPr>
                <w:sz w:val="20"/>
                <w:szCs w:val="20"/>
                <w:color w:val="auto"/>
              </w:rPr>
            </w:pPr>
          </w:p>
        </w:tc>
        <w:tc>
          <w:tcPr>
            <w:tcW w:w="680" w:type="dxa"/>
            <w:vAlign w:val="bottom"/>
            <w:tcBorders>
              <w:bottom w:val="single" w:sz="8" w:color="53C072"/>
            </w:tcBorders>
            <w:gridSpan w:val="3"/>
          </w:tcPr>
          <w:p>
            <w:pPr>
              <w:ind w:left="8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  Age </w:t>
            </w:r>
            <w:r>
              <w:rPr>
                <w:rFonts w:ascii="Arial" w:cs="Arial" w:eastAsia="Arial" w:hAnsi="Arial"/>
                <w:sz w:val="25"/>
                <w:szCs w:val="25"/>
                <w:b w:val="1"/>
                <w:bCs w:val="1"/>
                <w:color w:val="auto"/>
                <w:vertAlign w:val="subscript"/>
              </w:rPr>
              <w:t>​​</w:t>
            </w:r>
          </w:p>
        </w:tc>
        <w:tc>
          <w:tcPr>
            <w:tcW w:w="820" w:type="dxa"/>
            <w:vAlign w:val="bottom"/>
            <w:tcBorders>
              <w:bottom w:val="single" w:sz="8" w:color="53C072"/>
            </w:tcBorders>
          </w:tcPr>
          <w:p>
            <w:pPr>
              <w:jc w:val="center"/>
              <w:ind w:right="170"/>
              <w:spacing w:after="0"/>
              <w:rPr>
                <w:sz w:val="20"/>
                <w:szCs w:val="20"/>
                <w:color w:val="auto"/>
              </w:rPr>
            </w:pPr>
            <w:r>
              <w:rPr>
                <w:rFonts w:ascii="Arial" w:cs="Arial" w:eastAsia="Arial" w:hAnsi="Arial"/>
                <w:sz w:val="14"/>
                <w:szCs w:val="14"/>
                <w:b w:val="1"/>
                <w:bCs w:val="1"/>
                <w:color w:val="auto"/>
              </w:rPr>
              <w:t>Since</w:t>
            </w:r>
          </w:p>
        </w:tc>
        <w:tc>
          <w:tcPr>
            <w:tcW w:w="900" w:type="dxa"/>
            <w:vAlign w:val="bottom"/>
            <w:tcBorders>
              <w:bottom w:val="single" w:sz="8" w:color="53C072"/>
            </w:tcBorders>
            <w:gridSpan w:val="3"/>
          </w:tcPr>
          <w:p>
            <w:pPr>
              <w:spacing w:after="0"/>
              <w:rPr>
                <w:sz w:val="20"/>
                <w:szCs w:val="20"/>
                <w:color w:val="auto"/>
              </w:rPr>
            </w:pPr>
            <w:r>
              <w:rPr>
                <w:rFonts w:ascii="Arial" w:cs="Arial" w:eastAsia="Arial" w:hAnsi="Arial"/>
                <w:sz w:val="14"/>
                <w:szCs w:val="14"/>
                <w:b w:val="1"/>
                <w:bCs w:val="1"/>
                <w:color w:val="auto"/>
              </w:rPr>
              <w:t>Independent</w:t>
            </w:r>
          </w:p>
        </w:tc>
        <w:tc>
          <w:tcPr>
            <w:tcW w:w="160" w:type="dxa"/>
            <w:vAlign w:val="bottom"/>
            <w:tcBorders>
              <w:bottom w:val="single" w:sz="8" w:color="53C072"/>
            </w:tcBorders>
          </w:tcPr>
          <w:p>
            <w:pPr>
              <w:spacing w:after="0"/>
              <w:rPr>
                <w:sz w:val="20"/>
                <w:szCs w:val="20"/>
                <w:color w:val="auto"/>
              </w:rPr>
            </w:pPr>
          </w:p>
        </w:tc>
        <w:tc>
          <w:tcPr>
            <w:tcW w:w="14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260" w:type="dxa"/>
            <w:vAlign w:val="bottom"/>
            <w:tcBorders>
              <w:bottom w:val="single" w:sz="8" w:color="53C072"/>
            </w:tcBorders>
            <w:gridSpan w:val="2"/>
          </w:tcPr>
          <w:p>
            <w:pPr>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53C072"/>
            </w:tcBorders>
          </w:tcPr>
          <w:p>
            <w:pPr>
              <w:spacing w:after="0"/>
              <w:rPr>
                <w:sz w:val="20"/>
                <w:szCs w:val="20"/>
                <w:color w:val="auto"/>
              </w:rPr>
            </w:pPr>
          </w:p>
        </w:tc>
        <w:tc>
          <w:tcPr>
            <w:tcW w:w="12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ind w:left="20"/>
              <w:spacing w:after="0"/>
              <w:rPr>
                <w:sz w:val="20"/>
                <w:szCs w:val="20"/>
                <w:color w:val="auto"/>
              </w:rPr>
            </w:pPr>
            <w:r>
              <w:rPr>
                <w:rFonts w:ascii="Arial" w:cs="Arial" w:eastAsia="Arial" w:hAnsi="Arial"/>
                <w:sz w:val="14"/>
                <w:szCs w:val="14"/>
                <w:b w:val="1"/>
                <w:bCs w:val="1"/>
                <w:color w:val="auto"/>
              </w:rPr>
              <w:t>C</w:t>
            </w:r>
          </w:p>
        </w:tc>
        <w:tc>
          <w:tcPr>
            <w:tcW w:w="16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16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240" w:type="dxa"/>
            <w:vAlign w:val="bottom"/>
            <w:tcBorders>
              <w:bottom w:val="single" w:sz="8" w:color="53C072"/>
            </w:tcBorders>
            <w:gridSpan w:val="2"/>
          </w:tcPr>
          <w:p>
            <w:pPr>
              <w:jc w:val="center"/>
              <w:spacing w:after="0"/>
              <w:rPr>
                <w:sz w:val="20"/>
                <w:szCs w:val="20"/>
                <w:color w:val="auto"/>
              </w:rPr>
            </w:pPr>
            <w:r>
              <w:rPr>
                <w:rFonts w:ascii="Arial" w:cs="Arial" w:eastAsia="Arial" w:hAnsi="Arial"/>
                <w:sz w:val="14"/>
                <w:szCs w:val="14"/>
                <w:b w:val="1"/>
                <w:bCs w:val="1"/>
                <w:color w:val="auto"/>
              </w:rPr>
              <w:t>CG</w:t>
            </w:r>
          </w:p>
        </w:tc>
        <w:tc>
          <w:tcPr>
            <w:tcW w:w="16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16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60" w:type="dxa"/>
            <w:vAlign w:val="bottom"/>
            <w:tcBorders>
              <w:bottom w:val="single" w:sz="8" w:color="53C072"/>
            </w:tcBorders>
          </w:tcPr>
          <w:p>
            <w:pPr>
              <w:spacing w:after="0"/>
              <w:rPr>
                <w:sz w:val="20"/>
                <w:szCs w:val="20"/>
                <w:color w:val="auto"/>
              </w:rPr>
            </w:pP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w w:val="92"/>
              </w:rPr>
              <w:t>F</w:t>
            </w:r>
          </w:p>
        </w:tc>
        <w:tc>
          <w:tcPr>
            <w:tcW w:w="160" w:type="dxa"/>
            <w:vAlign w:val="bottom"/>
            <w:tcBorders>
              <w:bottom w:val="single" w:sz="8" w:color="53C072"/>
            </w:tcBorders>
          </w:tcPr>
          <w:p>
            <w:pPr>
              <w:spacing w:after="0"/>
              <w:rPr>
                <w:sz w:val="20"/>
                <w:szCs w:val="20"/>
                <w:color w:val="auto"/>
              </w:rPr>
            </w:pPr>
          </w:p>
        </w:tc>
        <w:tc>
          <w:tcPr>
            <w:tcW w:w="80" w:type="dxa"/>
            <w:vAlign w:val="bottom"/>
            <w:tcBorders>
              <w:bottom w:val="single" w:sz="8" w:color="53C072"/>
            </w:tcBorders>
          </w:tcPr>
          <w:p>
            <w:pPr>
              <w:spacing w:after="0"/>
              <w:rPr>
                <w:sz w:val="20"/>
                <w:szCs w:val="20"/>
                <w:color w:val="auto"/>
              </w:rPr>
            </w:pPr>
          </w:p>
        </w:tc>
        <w:tc>
          <w:tcPr>
            <w:tcW w:w="60" w:type="dxa"/>
            <w:vAlign w:val="bottom"/>
            <w:tcBorders>
              <w:bottom w:val="single" w:sz="8" w:color="53C072"/>
            </w:tcBorders>
          </w:tcPr>
          <w:p>
            <w:pPr>
              <w:spacing w:after="0"/>
              <w:rPr>
                <w:sz w:val="20"/>
                <w:szCs w:val="20"/>
                <w:color w:val="auto"/>
              </w:rPr>
            </w:pPr>
          </w:p>
        </w:tc>
        <w:tc>
          <w:tcPr>
            <w:tcW w:w="140" w:type="dxa"/>
            <w:vAlign w:val="bottom"/>
            <w:tcBorders>
              <w:bottom w:val="single" w:sz="8" w:color="53C072"/>
            </w:tcBorders>
          </w:tcPr>
          <w:p>
            <w:pPr>
              <w:spacing w:after="0"/>
              <w:rPr>
                <w:sz w:val="20"/>
                <w:szCs w:val="20"/>
                <w:color w:val="auto"/>
              </w:rPr>
            </w:pPr>
          </w:p>
        </w:tc>
        <w:tc>
          <w:tcPr>
            <w:tcW w:w="20" w:type="dxa"/>
            <w:vAlign w:val="bottom"/>
            <w:tcBorders>
              <w:bottom w:val="single" w:sz="8" w:color="53C072"/>
            </w:tcBorders>
          </w:tcPr>
          <w:p>
            <w:pPr>
              <w:spacing w:after="0"/>
              <w:rPr>
                <w:sz w:val="20"/>
                <w:szCs w:val="20"/>
                <w:color w:val="auto"/>
              </w:rPr>
            </w:pPr>
          </w:p>
        </w:tc>
        <w:tc>
          <w:tcPr>
            <w:tcW w:w="40" w:type="dxa"/>
            <w:vAlign w:val="bottom"/>
            <w:tcBorders>
              <w:bottom w:val="single" w:sz="8" w:color="53C072"/>
            </w:tcBorders>
          </w:tcPr>
          <w:p>
            <w:pPr>
              <w:spacing w:after="0"/>
              <w:rPr>
                <w:sz w:val="20"/>
                <w:szCs w:val="20"/>
                <w:color w:val="auto"/>
              </w:rPr>
            </w:pPr>
          </w:p>
        </w:tc>
        <w:tc>
          <w:tcPr>
            <w:tcW w:w="20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rPr>
              <w:t>E</w:t>
            </w:r>
          </w:p>
        </w:tc>
        <w:tc>
          <w:tcPr>
            <w:tcW w:w="160" w:type="dxa"/>
            <w:vAlign w:val="bottom"/>
            <w:tcBorders>
              <w:bottom w:val="single" w:sz="8" w:color="53C072"/>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Rodney C. Adkins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65</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2015</w:t>
            </w:r>
          </w:p>
        </w:tc>
        <w:tc>
          <w:tcPr>
            <w:tcW w:w="10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Pr>
          <w:p>
            <w:pPr>
              <w:spacing w:after="0"/>
              <w:rPr>
                <w:sz w:val="20"/>
                <w:szCs w:val="20"/>
                <w:color w:val="auto"/>
              </w:rPr>
            </w:pPr>
          </w:p>
        </w:tc>
        <w:tc>
          <w:tcPr>
            <w:tcW w:w="80" w:type="dxa"/>
            <w:vAlign w:val="bottom"/>
            <w:gridSpan w:val="2"/>
            <w:vMerge w:val="restart"/>
          </w:tcPr>
          <w:p>
            <w:pPr>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22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0"/>
                <w:szCs w:val="20"/>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20"/>
                <w:szCs w:val="20"/>
                <w:color w:val="auto"/>
              </w:rPr>
            </w:pPr>
          </w:p>
        </w:tc>
        <w:tc>
          <w:tcPr>
            <w:tcW w:w="26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160" w:type="dxa"/>
            <w:vAlign w:val="bottom"/>
            <w:vMerge w:val="restart"/>
            <w:shd w:val="clear" w:color="auto" w:fill="B2B2B2"/>
          </w:tcPr>
          <w:p>
            <w:pPr>
              <w:ind w:left="60"/>
              <w:spacing w:after="0"/>
              <w:rPr>
                <w:sz w:val="20"/>
                <w:szCs w:val="20"/>
                <w:color w:val="auto"/>
              </w:rPr>
            </w:pPr>
            <w:r>
              <w:rPr>
                <w:rFonts w:ascii="Arial" w:cs="Arial" w:eastAsia="Arial" w:hAnsi="Arial"/>
                <w:sz w:val="25"/>
                <w:szCs w:val="25"/>
                <w:color w:val="53C072"/>
                <w:w w:val="90"/>
              </w:rPr>
              <w:t>•</w:t>
            </w: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20"/>
                <w:szCs w:val="20"/>
                <w:color w:val="auto"/>
              </w:rPr>
            </w:pPr>
          </w:p>
        </w:tc>
        <w:tc>
          <w:tcPr>
            <w:tcW w:w="24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180" w:type="dxa"/>
            <w:vAlign w:val="bottom"/>
            <w:shd w:val="clear" w:color="auto" w:fill="B2B2B2"/>
          </w:tcPr>
          <w:p>
            <w:pPr>
              <w:spacing w:after="0"/>
              <w:rPr>
                <w:sz w:val="20"/>
                <w:szCs w:val="20"/>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20"/>
                <w:szCs w:val="20"/>
                <w:color w:val="auto"/>
              </w:rPr>
            </w:pPr>
          </w:p>
        </w:tc>
        <w:tc>
          <w:tcPr>
            <w:tcW w:w="200" w:type="dxa"/>
            <w:vAlign w:val="bottom"/>
            <w:gridSpan w:val="3"/>
            <w:vMerge w:val="restart"/>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20"/>
                <w:szCs w:val="2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Chairman of the Board of Avnet, Inc,</w:t>
            </w:r>
          </w:p>
        </w:tc>
        <w:tc>
          <w:tcPr>
            <w:tcW w:w="2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B2B2B2"/>
            </w:tcBorders>
            <w:gridSpan w:val="2"/>
            <w:vMerge w:val="continue"/>
          </w:tcPr>
          <w:p>
            <w:pPr>
              <w:spacing w:after="0"/>
              <w:rPr>
                <w:sz w:val="15"/>
                <w:szCs w:val="15"/>
                <w:color w:val="auto"/>
              </w:rPr>
            </w:pPr>
          </w:p>
        </w:tc>
        <w:tc>
          <w:tcPr>
            <w:tcW w:w="220" w:type="dxa"/>
            <w:vAlign w:val="bottom"/>
            <w:gridSpan w:val="3"/>
            <w:vMerge w:val="continue"/>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60" w:type="dxa"/>
            <w:vAlign w:val="bottom"/>
            <w:gridSpan w:val="3"/>
            <w:vMerge w:val="continue"/>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40" w:type="dxa"/>
            <w:vAlign w:val="bottom"/>
            <w:gridSpan w:val="3"/>
            <w:vMerge w:val="continue"/>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200" w:type="dxa"/>
            <w:vAlign w:val="bottom"/>
            <w:gridSpan w:val="3"/>
            <w:vMerge w:val="continue"/>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President, 3RAM Group LLC</w:t>
            </w:r>
          </w:p>
        </w:tc>
        <w:tc>
          <w:tcPr>
            <w:tcW w:w="22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Carlo Bozotti</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70</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2019</w:t>
            </w:r>
          </w:p>
        </w:tc>
        <w:tc>
          <w:tcPr>
            <w:tcW w:w="100" w:type="dxa"/>
            <w:vAlign w:val="bottom"/>
          </w:tcPr>
          <w:p>
            <w:pPr>
              <w:spacing w:after="0"/>
              <w:rPr>
                <w:sz w:val="19"/>
                <w:szCs w:val="1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9"/>
                <w:szCs w:val="19"/>
                <w:color w:val="auto"/>
              </w:rPr>
            </w:pPr>
          </w:p>
        </w:tc>
        <w:tc>
          <w:tcPr>
            <w:tcW w:w="80" w:type="dxa"/>
            <w:vAlign w:val="bottom"/>
            <w:gridSpan w:val="2"/>
            <w:vMerge w:val="restart"/>
          </w:tcPr>
          <w:p>
            <w:pPr>
              <w:spacing w:after="0"/>
              <w:rPr>
                <w:sz w:val="20"/>
                <w:szCs w:val="20"/>
                <w:color w:val="auto"/>
              </w:rPr>
            </w:pPr>
            <w:r>
              <w:rPr>
                <w:rFonts w:ascii="Arial" w:cs="Arial" w:eastAsia="Arial" w:hAnsi="Arial"/>
                <w:sz w:val="14"/>
                <w:szCs w:val="14"/>
                <w:color w:val="404040"/>
              </w:rPr>
              <w:t>​</w:t>
            </w:r>
          </w:p>
        </w:tc>
        <w:tc>
          <w:tcPr>
            <w:tcW w:w="260" w:type="dxa"/>
            <w:vAlign w:val="bottom"/>
            <w:gridSpan w:val="2"/>
            <w:vMerge w:val="restart"/>
          </w:tcPr>
          <w:p>
            <w:pPr>
              <w:ind w:left="100"/>
              <w:spacing w:after="0"/>
              <w:rPr>
                <w:sz w:val="20"/>
                <w:szCs w:val="20"/>
                <w:color w:val="auto"/>
              </w:rPr>
            </w:pPr>
            <w:r>
              <w:rPr>
                <w:rFonts w:ascii="Arial" w:cs="Arial" w:eastAsia="Arial" w:hAnsi="Arial"/>
                <w:sz w:val="25"/>
                <w:szCs w:val="25"/>
                <w:color w:val="auto"/>
              </w:rPr>
              <w:t>◦</w:t>
            </w: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9"/>
                <w:szCs w:val="19"/>
                <w:color w:val="auto"/>
              </w:rPr>
            </w:pPr>
          </w:p>
        </w:tc>
        <w:tc>
          <w:tcPr>
            <w:tcW w:w="6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9"/>
                <w:szCs w:val="19"/>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10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9"/>
                <w:szCs w:val="19"/>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8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6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color w:val="404040"/>
              </w:rPr>
              <w:t>Industrial Partner, FSI</w:t>
            </w: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200" w:type="dxa"/>
            <w:vAlign w:val="bottom"/>
            <w:tcBorders>
              <w:right w:val="single" w:sz="8" w:color="B2B2B2"/>
            </w:tcBorders>
            <w:gridSpan w:val="2"/>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gridSpan w:val="2"/>
            <w:vMerge w:val="continue"/>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100" w:type="dxa"/>
            <w:vAlign w:val="bottom"/>
            <w:tcBorders>
              <w:bottom w:val="single" w:sz="8" w:color="B2B2B2"/>
            </w:tcBorders>
            <w:gridSpan w:val="2"/>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gridSpan w:val="2"/>
            <w:vMerge w:val="continue"/>
            <w:shd w:val="clear" w:color="auto" w:fill="B2B2B2"/>
          </w:tcPr>
          <w:p>
            <w:pPr>
              <w:spacing w:after="0"/>
              <w:rPr>
                <w:sz w:val="16"/>
                <w:szCs w:val="16"/>
                <w:color w:val="auto"/>
              </w:rPr>
            </w:pPr>
          </w:p>
        </w:tc>
        <w:tc>
          <w:tcPr>
            <w:tcW w:w="180" w:type="dxa"/>
            <w:vAlign w:val="bottom"/>
            <w:tcBorders>
              <w:bottom w:val="single" w:sz="8" w:color="B2B2B2"/>
            </w:tcBorders>
            <w:vMerge w:val="continue"/>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gridSpan w:val="2"/>
            <w:vMerge w:val="continue"/>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Brenda L. Freeman</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59</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25"/>
                <w:szCs w:val="25"/>
                <w:color w:val="53C072"/>
              </w:rPr>
              <w:t>•</w:t>
            </w: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auto"/>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auto"/>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auto"/>
                <w:w w:val="4294942296"/>
              </w:rPr>
              <w:t>​</w:t>
            </w:r>
          </w:p>
        </w:tc>
        <w:tc>
          <w:tcPr>
            <w:tcW w:w="80" w:type="dxa"/>
            <w:vAlign w:val="bottom"/>
            <w:shd w:val="clear" w:color="auto" w:fill="B2B2B2"/>
          </w:tcPr>
          <w:p>
            <w:pPr>
              <w:spacing w:after="0"/>
              <w:rPr>
                <w:sz w:val="18"/>
                <w:szCs w:val="18"/>
                <w:color w:val="auto"/>
              </w:rPr>
            </w:pPr>
          </w:p>
        </w:tc>
        <w:tc>
          <w:tcPr>
            <w:tcW w:w="160" w:type="dxa"/>
            <w:vAlign w:val="bottom"/>
            <w:vMerge w:val="restart"/>
            <w:shd w:val="clear" w:color="auto" w:fill="B2B2B2"/>
          </w:tcPr>
          <w:p>
            <w:pPr>
              <w:ind w:left="80"/>
              <w:spacing w:after="0"/>
              <w:rPr>
                <w:sz w:val="20"/>
                <w:szCs w:val="20"/>
                <w:color w:val="auto"/>
              </w:rPr>
            </w:pPr>
            <w:r>
              <w:rPr>
                <w:rFonts w:ascii="Arial" w:cs="Arial" w:eastAsia="Arial" w:hAnsi="Arial"/>
                <w:sz w:val="24"/>
                <w:szCs w:val="24"/>
                <w:color w:val="53C072"/>
                <w:w w:val="70"/>
              </w:rPr>
              <w:t>•</w:t>
            </w: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auto"/>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auto"/>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color w:val="404040"/>
              </w:rPr>
              <w:t>Founder, Joyeux Advisory Group</w:t>
            </w: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200" w:type="dxa"/>
            <w:vAlign w:val="bottom"/>
            <w:tcBorders>
              <w:right w:val="single" w:sz="8" w:color="B2B2B2"/>
            </w:tcBorders>
            <w:gridSpan w:val="2"/>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vMerge w:val="continue"/>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Philip R. Gallagher</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62</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2020</w:t>
            </w:r>
          </w:p>
        </w:tc>
        <w:tc>
          <w:tcPr>
            <w:tcW w:w="100" w:type="dxa"/>
            <w:vAlign w:val="bottom"/>
          </w:tcPr>
          <w:p>
            <w:pPr>
              <w:spacing w:after="0"/>
              <w:rPr>
                <w:sz w:val="18"/>
                <w:szCs w:val="18"/>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600" w:type="dxa"/>
            <w:vAlign w:val="bottom"/>
            <w:vMerge w:val="restart"/>
          </w:tcPr>
          <w:p>
            <w:pPr>
              <w:ind w:left="60"/>
              <w:spacing w:after="0"/>
              <w:rPr>
                <w:sz w:val="20"/>
                <w:szCs w:val="20"/>
                <w:color w:val="auto"/>
              </w:rPr>
            </w:pPr>
            <w:r>
              <w:rPr>
                <w:rFonts w:ascii="Arial" w:cs="Arial" w:eastAsia="Arial" w:hAnsi="Arial"/>
                <w:sz w:val="14"/>
                <w:szCs w:val="14"/>
                <w:color w:val="404040"/>
              </w:rPr>
              <w:t>NO</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74"/>
        </w:trPr>
        <w:tc>
          <w:tcPr>
            <w:tcW w:w="2840" w:type="dxa"/>
            <w:vAlign w:val="bottom"/>
            <w:vMerge w:val="restart"/>
          </w:tcPr>
          <w:p>
            <w:pPr>
              <w:ind w:left="40"/>
              <w:spacing w:after="0"/>
              <w:rPr>
                <w:sz w:val="20"/>
                <w:szCs w:val="20"/>
                <w:color w:val="auto"/>
              </w:rPr>
            </w:pPr>
            <w:r>
              <w:rPr>
                <w:rFonts w:ascii="Arial" w:cs="Arial" w:eastAsia="Arial" w:hAnsi="Arial"/>
                <w:sz w:val="14"/>
                <w:szCs w:val="14"/>
                <w:color w:val="404040"/>
              </w:rPr>
              <w:t>Chief Executive Officer, Avnet, Inc.</w:t>
            </w:r>
          </w:p>
        </w:tc>
        <w:tc>
          <w:tcPr>
            <w:tcW w:w="2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Borders>
              <w:right w:val="single" w:sz="8" w:color="B2B2B2"/>
            </w:tcBorders>
            <w:vMerge w:val="continue"/>
          </w:tcPr>
          <w:p>
            <w:pPr>
              <w:spacing w:after="0"/>
              <w:rPr>
                <w:sz w:val="6"/>
                <w:szCs w:val="6"/>
                <w:color w:val="auto"/>
              </w:rPr>
            </w:pPr>
          </w:p>
        </w:tc>
        <w:tc>
          <w:tcPr>
            <w:tcW w:w="140" w:type="dxa"/>
            <w:vAlign w:val="bottom"/>
            <w:tcBorders>
              <w:right w:val="single" w:sz="8" w:color="B2B2B2"/>
            </w:tcBorders>
            <w:shd w:val="clear" w:color="auto" w:fill="B2B2B2"/>
          </w:tcPr>
          <w:p>
            <w:pPr>
              <w:spacing w:after="0"/>
              <w:rPr>
                <w:sz w:val="6"/>
                <w:szCs w:val="6"/>
                <w:color w:val="auto"/>
              </w:rPr>
            </w:pPr>
          </w:p>
        </w:tc>
        <w:tc>
          <w:tcPr>
            <w:tcW w:w="40" w:type="dxa"/>
            <w:vAlign w:val="bottom"/>
            <w:vMerge w:val="continue"/>
            <w:shd w:val="clear" w:color="auto" w:fill="B2B2B2"/>
          </w:tcPr>
          <w:p>
            <w:pPr>
              <w:spacing w:after="0"/>
              <w:rPr>
                <w:sz w:val="6"/>
                <w:szCs w:val="6"/>
                <w:color w:val="auto"/>
              </w:rPr>
            </w:pPr>
          </w:p>
        </w:tc>
        <w:tc>
          <w:tcPr>
            <w:tcW w:w="4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right w:val="single" w:sz="8" w:color="B2B2B2"/>
            </w:tcBorders>
            <w:gridSpan w:val="2"/>
            <w:vMerge w:val="continue"/>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20" w:type="dxa"/>
            <w:vAlign w:val="bottom"/>
            <w:vMerge w:val="continue"/>
            <w:shd w:val="clear" w:color="auto" w:fill="B2B2B2"/>
          </w:tcPr>
          <w:p>
            <w:pPr>
              <w:spacing w:after="0"/>
              <w:rPr>
                <w:sz w:val="6"/>
                <w:szCs w:val="6"/>
                <w:color w:val="auto"/>
              </w:rPr>
            </w:pPr>
          </w:p>
        </w:tc>
        <w:tc>
          <w:tcPr>
            <w:tcW w:w="4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240" w:type="dxa"/>
            <w:vAlign w:val="bottom"/>
            <w:tcBorders>
              <w:right w:val="single" w:sz="8" w:color="FEFEFE"/>
            </w:tcBorders>
            <w:gridSpan w:val="2"/>
            <w:vMerge w:val="continue"/>
            <w:shd w:val="clear" w:color="auto" w:fill="B2B2B2"/>
          </w:tcPr>
          <w:p>
            <w:pPr>
              <w:spacing w:after="0"/>
              <w:rPr>
                <w:sz w:val="6"/>
                <w:szCs w:val="6"/>
                <w:color w:val="auto"/>
              </w:rPr>
            </w:pPr>
          </w:p>
        </w:tc>
        <w:tc>
          <w:tcPr>
            <w:tcW w:w="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20" w:type="dxa"/>
            <w:vAlign w:val="bottom"/>
            <w:vMerge w:val="continue"/>
            <w:shd w:val="clear" w:color="auto" w:fill="B2B2B2"/>
          </w:tcPr>
          <w:p>
            <w:pPr>
              <w:spacing w:after="0"/>
              <w:rPr>
                <w:sz w:val="6"/>
                <w:szCs w:val="6"/>
                <w:color w:val="auto"/>
              </w:rPr>
            </w:pPr>
          </w:p>
        </w:tc>
        <w:tc>
          <w:tcPr>
            <w:tcW w:w="8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240" w:type="dxa"/>
            <w:vAlign w:val="bottom"/>
            <w:tcBorders>
              <w:right w:val="single" w:sz="8" w:color="FEFEFE"/>
            </w:tcBorders>
            <w:gridSpan w:val="2"/>
            <w:vMerge w:val="continue"/>
            <w:shd w:val="clear" w:color="auto" w:fill="B2B2B2"/>
          </w:tcPr>
          <w:p>
            <w:pPr>
              <w:spacing w:after="0"/>
              <w:rPr>
                <w:sz w:val="6"/>
                <w:szCs w:val="6"/>
                <w:color w:val="auto"/>
              </w:rPr>
            </w:pPr>
          </w:p>
        </w:tc>
        <w:tc>
          <w:tcPr>
            <w:tcW w:w="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20" w:type="dxa"/>
            <w:vAlign w:val="bottom"/>
            <w:vMerge w:val="continue"/>
            <w:shd w:val="clear" w:color="auto" w:fill="B2B2B2"/>
          </w:tcPr>
          <w:p>
            <w:pPr>
              <w:spacing w:after="0"/>
              <w:rPr>
                <w:sz w:val="6"/>
                <w:szCs w:val="6"/>
                <w:color w:val="auto"/>
              </w:rPr>
            </w:pPr>
          </w:p>
        </w:tc>
        <w:tc>
          <w:tcPr>
            <w:tcW w:w="60" w:type="dxa"/>
            <w:vAlign w:val="bottom"/>
            <w:shd w:val="clear" w:color="auto" w:fill="B2B2B2"/>
          </w:tcPr>
          <w:p>
            <w:pPr>
              <w:spacing w:after="0"/>
              <w:rPr>
                <w:sz w:val="6"/>
                <w:szCs w:val="6"/>
                <w:color w:val="auto"/>
              </w:rPr>
            </w:pPr>
          </w:p>
        </w:tc>
        <w:tc>
          <w:tcPr>
            <w:tcW w:w="180" w:type="dxa"/>
            <w:vAlign w:val="bottom"/>
            <w:shd w:val="clear" w:color="auto" w:fill="B2B2B2"/>
          </w:tcPr>
          <w:p>
            <w:pPr>
              <w:spacing w:after="0"/>
              <w:rPr>
                <w:sz w:val="6"/>
                <w:szCs w:val="6"/>
                <w:color w:val="auto"/>
              </w:rPr>
            </w:pPr>
          </w:p>
        </w:tc>
        <w:tc>
          <w:tcPr>
            <w:tcW w:w="240" w:type="dxa"/>
            <w:vAlign w:val="bottom"/>
            <w:tcBorders>
              <w:right w:val="single" w:sz="8" w:color="FEFEFE"/>
            </w:tcBorders>
            <w:gridSpan w:val="2"/>
            <w:vMerge w:val="continue"/>
            <w:shd w:val="clear" w:color="auto" w:fill="B2B2B2"/>
          </w:tcPr>
          <w:p>
            <w:pPr>
              <w:spacing w:after="0"/>
              <w:rPr>
                <w:sz w:val="6"/>
                <w:szCs w:val="6"/>
                <w:color w:val="auto"/>
              </w:rPr>
            </w:pPr>
          </w:p>
        </w:tc>
        <w:tc>
          <w:tcPr>
            <w:tcW w:w="60" w:type="dxa"/>
            <w:vAlign w:val="bottom"/>
            <w:shd w:val="clear" w:color="auto" w:fill="B2B2B2"/>
          </w:tcPr>
          <w:p>
            <w:pPr>
              <w:spacing w:after="0"/>
              <w:rPr>
                <w:sz w:val="6"/>
                <w:szCs w:val="6"/>
                <w:color w:val="auto"/>
              </w:rPr>
            </w:pPr>
          </w:p>
        </w:tc>
        <w:tc>
          <w:tcPr>
            <w:tcW w:w="140" w:type="dxa"/>
            <w:vAlign w:val="bottom"/>
            <w:shd w:val="clear" w:color="auto" w:fill="B2B2B2"/>
          </w:tcPr>
          <w:p>
            <w:pPr>
              <w:spacing w:after="0"/>
              <w:rPr>
                <w:sz w:val="6"/>
                <w:szCs w:val="6"/>
                <w:color w:val="auto"/>
              </w:rPr>
            </w:pPr>
          </w:p>
        </w:tc>
        <w:tc>
          <w:tcPr>
            <w:tcW w:w="20" w:type="dxa"/>
            <w:vAlign w:val="bottom"/>
            <w:vMerge w:val="continue"/>
            <w:shd w:val="clear" w:color="auto" w:fill="B2B2B2"/>
          </w:tcPr>
          <w:p>
            <w:pPr>
              <w:spacing w:after="0"/>
              <w:rPr>
                <w:sz w:val="6"/>
                <w:szCs w:val="6"/>
                <w:color w:val="auto"/>
              </w:rPr>
            </w:pPr>
          </w:p>
        </w:tc>
        <w:tc>
          <w:tcPr>
            <w:tcW w:w="4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B2B2B2"/>
            </w:tcBorders>
          </w:tcPr>
          <w:p>
            <w:pPr>
              <w:spacing w:after="0"/>
              <w:rPr>
                <w:sz w:val="9"/>
                <w:szCs w:val="9"/>
                <w:color w:val="auto"/>
              </w:rPr>
            </w:pPr>
          </w:p>
        </w:tc>
        <w:tc>
          <w:tcPr>
            <w:tcW w:w="140" w:type="dxa"/>
            <w:vAlign w:val="bottom"/>
            <w:tcBorders>
              <w:bottom w:val="single" w:sz="8" w:color="B2B2B2"/>
              <w:right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200" w:type="dxa"/>
            <w:vAlign w:val="bottom"/>
            <w:tcBorders>
              <w:bottom w:val="single" w:sz="8" w:color="B2B2B2"/>
            </w:tcBorders>
            <w:shd w:val="clear" w:color="auto" w:fill="B2B2B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right w:val="single" w:sz="8" w:color="B2B2B2"/>
            </w:tcBorders>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20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60" w:type="dxa"/>
            <w:vAlign w:val="bottom"/>
            <w:tcBorders>
              <w:bottom w:val="single" w:sz="8" w:color="B2B2B2"/>
            </w:tcBorders>
            <w:shd w:val="clear" w:color="auto" w:fill="B2B2B2"/>
          </w:tcPr>
          <w:p>
            <w:pPr>
              <w:spacing w:after="0"/>
              <w:rPr>
                <w:sz w:val="9"/>
                <w:szCs w:val="9"/>
                <w:color w:val="auto"/>
              </w:rPr>
            </w:pPr>
          </w:p>
        </w:tc>
        <w:tc>
          <w:tcPr>
            <w:tcW w:w="18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60" w:type="dxa"/>
            <w:vAlign w:val="bottom"/>
            <w:tcBorders>
              <w:bottom w:val="single" w:sz="8" w:color="B2B2B2"/>
            </w:tcBorders>
            <w:shd w:val="clear" w:color="auto" w:fill="B2B2B2"/>
          </w:tcPr>
          <w:p>
            <w:pPr>
              <w:spacing w:after="0"/>
              <w:rPr>
                <w:sz w:val="9"/>
                <w:szCs w:val="9"/>
                <w:color w:val="auto"/>
              </w:rPr>
            </w:pPr>
          </w:p>
        </w:tc>
        <w:tc>
          <w:tcPr>
            <w:tcW w:w="14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20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Jo Ann Jenkins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65</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20"/>
              <w:spacing w:after="0"/>
              <w:rPr>
                <w:sz w:val="20"/>
                <w:szCs w:val="20"/>
                <w:color w:val="auto"/>
              </w:rPr>
            </w:pPr>
            <w:r>
              <w:rPr>
                <w:rFonts w:ascii="Arial" w:cs="Arial" w:eastAsia="Arial" w:hAnsi="Arial"/>
                <w:sz w:val="24"/>
                <w:szCs w:val="24"/>
                <w:color w:val="53C072"/>
                <w:w w:val="7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color w:val="404040"/>
              </w:rPr>
              <w:t>Chief Executive Officer, AARP</w:t>
            </w: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20" w:type="dxa"/>
            <w:vAlign w:val="bottom"/>
            <w:tcBorders>
              <w:right w:val="single" w:sz="8" w:color="B2B2B2"/>
            </w:tcBorders>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Oleg Khaykin</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58</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6"/>
        </w:trPr>
        <w:tc>
          <w:tcPr>
            <w:tcW w:w="2840" w:type="dxa"/>
            <w:vAlign w:val="bottom"/>
          </w:tcPr>
          <w:p>
            <w:pPr>
              <w:ind w:left="40"/>
              <w:spacing w:after="0"/>
              <w:rPr>
                <w:sz w:val="20"/>
                <w:szCs w:val="20"/>
                <w:color w:val="auto"/>
              </w:rPr>
            </w:pPr>
            <w:r>
              <w:rPr>
                <w:rFonts w:ascii="Arial" w:cs="Arial" w:eastAsia="Arial" w:hAnsi="Arial"/>
                <w:sz w:val="14"/>
                <w:szCs w:val="14"/>
                <w:color w:val="404040"/>
              </w:rPr>
              <w:t>President and Chief Executive Officer,</w:t>
            </w:r>
          </w:p>
        </w:tc>
        <w:tc>
          <w:tcPr>
            <w:tcW w:w="2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Viavi Solutions, Inc.</w:t>
            </w:r>
          </w:p>
        </w:tc>
        <w:tc>
          <w:tcPr>
            <w:tcW w:w="22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James A. Lawrence</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70</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70"/>
              <w:spacing w:after="0"/>
              <w:rPr>
                <w:sz w:val="20"/>
                <w:szCs w:val="20"/>
                <w:color w:val="auto"/>
              </w:rPr>
            </w:pPr>
            <w:r>
              <w:rPr>
                <w:rFonts w:ascii="Arial" w:cs="Arial" w:eastAsia="Arial" w:hAnsi="Arial"/>
                <w:sz w:val="14"/>
                <w:szCs w:val="14"/>
                <w:color w:val="404040"/>
                <w:w w:val="96"/>
              </w:rPr>
              <w:t>2011</w:t>
            </w:r>
          </w:p>
        </w:tc>
        <w:tc>
          <w:tcPr>
            <w:tcW w:w="100" w:type="dxa"/>
            <w:vAlign w:val="bottom"/>
          </w:tcPr>
          <w:p>
            <w:pPr>
              <w:spacing w:after="0"/>
              <w:rPr>
                <w:sz w:val="19"/>
                <w:szCs w:val="1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9"/>
                <w:szCs w:val="19"/>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ind w:left="120"/>
              <w:spacing w:after="0"/>
              <w:rPr>
                <w:sz w:val="20"/>
                <w:szCs w:val="20"/>
                <w:color w:val="auto"/>
              </w:rPr>
            </w:pPr>
            <w:r>
              <w:rPr>
                <w:rFonts w:ascii="Arial" w:cs="Arial" w:eastAsia="Arial" w:hAnsi="Arial"/>
                <w:sz w:val="24"/>
                <w:szCs w:val="24"/>
                <w:color w:val="auto"/>
                <w:w w:val="70"/>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9"/>
                <w:szCs w:val="19"/>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color w:val="404040"/>
              </w:rPr>
              <w:t>Chairman, Lake Harriet Capital, LLC</w:t>
            </w: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20" w:type="dxa"/>
            <w:vAlign w:val="bottom"/>
            <w:tcBorders>
              <w:right w:val="single" w:sz="8" w:color="B2B2B2"/>
            </w:tcBorders>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Ernest E. Maddock</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65</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2021</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6"/>
        </w:trPr>
        <w:tc>
          <w:tcPr>
            <w:tcW w:w="2840" w:type="dxa"/>
            <w:vAlign w:val="bottom"/>
          </w:tcPr>
          <w:p>
            <w:pPr>
              <w:ind w:left="40"/>
              <w:spacing w:after="0"/>
              <w:rPr>
                <w:sz w:val="20"/>
                <w:szCs w:val="20"/>
                <w:color w:val="auto"/>
              </w:rPr>
            </w:pPr>
            <w:r>
              <w:rPr>
                <w:rFonts w:ascii="Arial" w:cs="Arial" w:eastAsia="Arial" w:hAnsi="Arial"/>
                <w:sz w:val="14"/>
                <w:szCs w:val="14"/>
                <w:color w:val="404040"/>
              </w:rPr>
              <w:t>Former Chief Financial Officer, Micron</w:t>
            </w:r>
          </w:p>
        </w:tc>
        <w:tc>
          <w:tcPr>
            <w:tcW w:w="2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Technology, Inc.</w:t>
            </w:r>
          </w:p>
        </w:tc>
        <w:tc>
          <w:tcPr>
            <w:tcW w:w="22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Avid Modjtabai</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B2B2B2"/>
            </w:tcBorders>
          </w:tcPr>
          <w:p>
            <w:pPr>
              <w:spacing w:after="0"/>
              <w:rPr>
                <w:sz w:val="19"/>
                <w:szCs w:val="19"/>
                <w:color w:val="auto"/>
              </w:rPr>
            </w:pPr>
          </w:p>
        </w:tc>
        <w:tc>
          <w:tcPr>
            <w:tcW w:w="140" w:type="dxa"/>
            <w:vAlign w:val="bottom"/>
            <w:tcBorders>
              <w:right w:val="single" w:sz="8" w:color="B2B2B2"/>
            </w:tcBorders>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120" w:type="dxa"/>
            <w:vAlign w:val="bottom"/>
            <w:tcBorders>
              <w:right w:val="single" w:sz="8" w:color="B2B2B2"/>
            </w:tcBorders>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160" w:type="dxa"/>
            <w:vAlign w:val="bottom"/>
            <w:vMerge w:val="restart"/>
            <w:shd w:val="clear" w:color="auto" w:fill="B2B2B2"/>
          </w:tcPr>
          <w:p>
            <w:pPr>
              <w:ind w:left="60"/>
              <w:spacing w:after="0"/>
              <w:rPr>
                <w:sz w:val="20"/>
                <w:szCs w:val="20"/>
                <w:color w:val="auto"/>
              </w:rPr>
            </w:pPr>
            <w:r>
              <w:rPr>
                <w:rFonts w:ascii="Arial" w:cs="Arial" w:eastAsia="Arial" w:hAnsi="Arial"/>
                <w:sz w:val="25"/>
                <w:szCs w:val="25"/>
                <w:color w:val="auto"/>
                <w:w w:val="89"/>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c>
          <w:tcPr>
            <w:tcW w:w="4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Former Senior Executive Vice President,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61</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2014</w:t>
            </w:r>
          </w:p>
        </w:tc>
        <w:tc>
          <w:tcPr>
            <w:tcW w:w="100" w:type="dxa"/>
            <w:vAlign w:val="bottom"/>
          </w:tcPr>
          <w:p>
            <w:pPr>
              <w:spacing w:after="0"/>
              <w:rPr>
                <w:sz w:val="15"/>
                <w:szCs w:val="1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Payments, Virtual Solutions and Innovation</w:t>
            </w:r>
          </w:p>
        </w:tc>
        <w:tc>
          <w:tcPr>
            <w:tcW w:w="2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Group, Wells Fargo</w:t>
            </w:r>
          </w:p>
        </w:tc>
        <w:tc>
          <w:tcPr>
            <w:tcW w:w="22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Adalio T. Sanchez</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404040"/>
              </w:rPr>
              <w:t>64</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2019</w:t>
            </w:r>
          </w:p>
        </w:tc>
        <w:tc>
          <w:tcPr>
            <w:tcW w:w="100" w:type="dxa"/>
            <w:vAlign w:val="bottom"/>
          </w:tcPr>
          <w:p>
            <w:pPr>
              <w:spacing w:after="0"/>
              <w:rPr>
                <w:sz w:val="19"/>
                <w:szCs w:val="1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9"/>
                <w:szCs w:val="19"/>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ind w:left="120"/>
              <w:spacing w:after="0"/>
              <w:rPr>
                <w:sz w:val="20"/>
                <w:szCs w:val="20"/>
                <w:color w:val="auto"/>
              </w:rPr>
            </w:pPr>
            <w:r>
              <w:rPr>
                <w:rFonts w:ascii="Arial" w:cs="Arial" w:eastAsia="Arial" w:hAnsi="Arial"/>
                <w:sz w:val="24"/>
                <w:szCs w:val="24"/>
                <w:color w:val="53C072"/>
                <w:w w:val="70"/>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9"/>
                <w:szCs w:val="19"/>
                <w:color w:val="auto"/>
              </w:rPr>
            </w:pPr>
          </w:p>
        </w:tc>
        <w:tc>
          <w:tcPr>
            <w:tcW w:w="160" w:type="dxa"/>
            <w:vAlign w:val="bottom"/>
            <w:vMerge w:val="restart"/>
            <w:shd w:val="clear" w:color="auto" w:fill="B2B2B2"/>
          </w:tcPr>
          <w:p>
            <w:pPr>
              <w:ind w:left="80"/>
              <w:spacing w:after="0"/>
              <w:rPr>
                <w:sz w:val="20"/>
                <w:szCs w:val="20"/>
                <w:color w:val="auto"/>
              </w:rPr>
            </w:pPr>
            <w:r>
              <w:rPr>
                <w:rFonts w:ascii="Arial" w:cs="Arial" w:eastAsia="Arial" w:hAnsi="Arial"/>
                <w:sz w:val="24"/>
                <w:szCs w:val="24"/>
                <w:color w:val="53C072"/>
                <w:w w:val="70"/>
              </w:rPr>
              <w:t>•</w:t>
            </w: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color w:val="404040"/>
              </w:rPr>
              <w:t>President, S Group Advisory LLC</w:t>
            </w: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20" w:type="dxa"/>
            <w:vAlign w:val="bottom"/>
            <w:tcBorders>
              <w:right w:val="single" w:sz="8" w:color="B2B2B2"/>
            </w:tcBorders>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53C072"/>
          </w:tcPr>
          <w:p>
            <w:pPr>
              <w:spacing w:after="0" w:line="20" w:lineRule="exact"/>
              <w:rPr>
                <w:sz w:val="1"/>
                <w:szCs w:val="1"/>
                <w:color w:val="auto"/>
              </w:rPr>
            </w:pPr>
          </w:p>
        </w:tc>
        <w:tc>
          <w:tcPr>
            <w:tcW w:w="220" w:type="dxa"/>
            <w:vAlign w:val="bottom"/>
            <w:shd w:val="clear" w:color="auto" w:fill="53C072"/>
          </w:tcPr>
          <w:p>
            <w:pPr>
              <w:spacing w:after="0" w:line="20" w:lineRule="exact"/>
              <w:rPr>
                <w:sz w:val="1"/>
                <w:szCs w:val="1"/>
                <w:color w:val="auto"/>
              </w:rPr>
            </w:pPr>
          </w:p>
        </w:tc>
        <w:tc>
          <w:tcPr>
            <w:tcW w:w="300" w:type="dxa"/>
            <w:vAlign w:val="bottom"/>
            <w:shd w:val="clear" w:color="auto" w:fill="53C072"/>
          </w:tcPr>
          <w:p>
            <w:pPr>
              <w:spacing w:after="0" w:line="20" w:lineRule="exact"/>
              <w:rPr>
                <w:sz w:val="1"/>
                <w:szCs w:val="1"/>
                <w:color w:val="auto"/>
              </w:rPr>
            </w:pPr>
          </w:p>
        </w:tc>
        <w:tc>
          <w:tcPr>
            <w:tcW w:w="160" w:type="dxa"/>
            <w:vAlign w:val="bottom"/>
            <w:shd w:val="clear" w:color="auto" w:fill="53C072"/>
          </w:tcPr>
          <w:p>
            <w:pPr>
              <w:spacing w:after="0" w:line="20" w:lineRule="exact"/>
              <w:rPr>
                <w:sz w:val="1"/>
                <w:szCs w:val="1"/>
                <w:color w:val="auto"/>
              </w:rPr>
            </w:pPr>
          </w:p>
        </w:tc>
        <w:tc>
          <w:tcPr>
            <w:tcW w:w="820" w:type="dxa"/>
            <w:vAlign w:val="bottom"/>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200" w:type="dxa"/>
            <w:vAlign w:val="bottom"/>
            <w:shd w:val="clear" w:color="auto" w:fill="53C072"/>
          </w:tcPr>
          <w:p>
            <w:pPr>
              <w:spacing w:after="0" w:line="20" w:lineRule="exact"/>
              <w:rPr>
                <w:sz w:val="1"/>
                <w:szCs w:val="1"/>
                <w:color w:val="auto"/>
              </w:rPr>
            </w:pPr>
          </w:p>
        </w:tc>
        <w:tc>
          <w:tcPr>
            <w:tcW w:w="600" w:type="dxa"/>
            <w:vAlign w:val="bottom"/>
            <w:shd w:val="clear" w:color="auto" w:fill="53C072"/>
          </w:tcPr>
          <w:p>
            <w:pPr>
              <w:spacing w:after="0" w:line="20" w:lineRule="exact"/>
              <w:rPr>
                <w:sz w:val="1"/>
                <w:szCs w:val="1"/>
                <w:color w:val="auto"/>
              </w:rPr>
            </w:pPr>
          </w:p>
        </w:tc>
        <w:tc>
          <w:tcPr>
            <w:tcW w:w="160" w:type="dxa"/>
            <w:vAlign w:val="bottom"/>
            <w:tcBorders>
              <w:right w:val="single" w:sz="8" w:color="53C072"/>
            </w:tcBorders>
            <w:shd w:val="clear" w:color="auto" w:fill="53C072"/>
          </w:tcPr>
          <w:p>
            <w:pPr>
              <w:spacing w:after="0" w:line="20" w:lineRule="exact"/>
              <w:rPr>
                <w:sz w:val="1"/>
                <w:szCs w:val="1"/>
                <w:color w:val="auto"/>
              </w:rPr>
            </w:pPr>
          </w:p>
        </w:tc>
        <w:tc>
          <w:tcPr>
            <w:tcW w:w="3360" w:type="dxa"/>
            <w:vAlign w:val="bottom"/>
            <w:gridSpan w:val="33"/>
            <w:shd w:val="clear" w:color="auto" w:fill="53C0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404040"/>
              </w:rPr>
              <w:t>​◦ Chair</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404040"/>
              </w:rPr>
              <w:t>​</w:t>
            </w:r>
          </w:p>
        </w:tc>
        <w:tc>
          <w:tcPr>
            <w:tcW w:w="600" w:type="dxa"/>
            <w:vAlign w:val="bottom"/>
          </w:tcPr>
          <w:p>
            <w:pPr>
              <w:spacing w:after="0"/>
              <w:rPr>
                <w:sz w:val="20"/>
                <w:szCs w:val="20"/>
                <w:color w:val="auto"/>
              </w:rPr>
            </w:pPr>
            <w:r>
              <w:rPr>
                <w:rFonts w:ascii="Arial" w:cs="Arial" w:eastAsia="Arial" w:hAnsi="Arial"/>
                <w:sz w:val="14"/>
                <w:szCs w:val="14"/>
                <w:b w:val="1"/>
                <w:bCs w:val="1"/>
                <w:color w:val="404040"/>
              </w:rPr>
              <w:t xml:space="preserve">A: </w:t>
            </w:r>
            <w:r>
              <w:rPr>
                <w:rFonts w:ascii="Arial" w:cs="Arial" w:eastAsia="Arial" w:hAnsi="Arial"/>
                <w:sz w:val="14"/>
                <w:szCs w:val="14"/>
                <w:color w:val="404040"/>
              </w:rPr>
              <w:t>Audit</w:t>
            </w:r>
          </w:p>
        </w:tc>
        <w:tc>
          <w:tcPr>
            <w:tcW w:w="160" w:type="dxa"/>
            <w:vAlign w:val="bottom"/>
          </w:tcPr>
          <w:p>
            <w:pPr>
              <w:spacing w:after="0"/>
              <w:rPr>
                <w:sz w:val="24"/>
                <w:szCs w:val="24"/>
                <w:color w:val="auto"/>
              </w:rPr>
            </w:pPr>
          </w:p>
        </w:tc>
        <w:tc>
          <w:tcPr>
            <w:tcW w:w="3400" w:type="dxa"/>
            <w:vAlign w:val="bottom"/>
            <w:gridSpan w:val="34"/>
          </w:tcPr>
          <w:p>
            <w:pPr>
              <w:jc w:val="right"/>
              <w:spacing w:after="0"/>
              <w:rPr>
                <w:sz w:val="20"/>
                <w:szCs w:val="20"/>
                <w:color w:val="auto"/>
              </w:rPr>
            </w:pPr>
            <w:r>
              <w:rPr>
                <w:rFonts w:ascii="Arial" w:cs="Arial" w:eastAsia="Arial" w:hAnsi="Arial"/>
                <w:sz w:val="14"/>
                <w:szCs w:val="14"/>
                <w:color w:val="404040"/>
              </w:rPr>
              <w:t xml:space="preserve">​ ​ </w:t>
            </w:r>
            <w:r>
              <w:rPr>
                <w:rFonts w:ascii="Arial" w:cs="Arial" w:eastAsia="Arial" w:hAnsi="Arial"/>
                <w:sz w:val="14"/>
                <w:szCs w:val="14"/>
                <w:b w:val="1"/>
                <w:bCs w:val="1"/>
                <w:color w:val="404040"/>
              </w:rPr>
              <w:t>C:</w:t>
            </w:r>
            <w:r>
              <w:rPr>
                <w:rFonts w:ascii="Arial" w:cs="Arial" w:eastAsia="Arial" w:hAnsi="Arial"/>
                <w:sz w:val="14"/>
                <w:szCs w:val="14"/>
                <w:color w:val="404040"/>
              </w:rPr>
              <w:t xml:space="preserve"> Compensation and Leadership Development ​</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200"/>
              <w:spacing w:after="0" w:line="141" w:lineRule="exact"/>
              <w:rPr>
                <w:sz w:val="20"/>
                <w:szCs w:val="20"/>
                <w:color w:val="auto"/>
              </w:rPr>
            </w:pPr>
            <w:r>
              <w:rPr>
                <w:rFonts w:ascii="Arial" w:cs="Arial" w:eastAsia="Arial" w:hAnsi="Arial"/>
                <w:sz w:val="14"/>
                <w:szCs w:val="14"/>
                <w:color w:val="404040"/>
              </w:rPr>
              <w:t>​</w:t>
            </w:r>
          </w:p>
        </w:tc>
        <w:tc>
          <w:tcPr>
            <w:tcW w:w="100" w:type="dxa"/>
            <w:vAlign w:val="bottom"/>
          </w:tcPr>
          <w:p>
            <w:pPr>
              <w:ind w:left="20"/>
              <w:spacing w:after="0" w:line="141" w:lineRule="exact"/>
              <w:rPr>
                <w:sz w:val="20"/>
                <w:szCs w:val="20"/>
                <w:color w:val="auto"/>
              </w:rPr>
            </w:pPr>
            <w:r>
              <w:rPr>
                <w:rFonts w:ascii="Arial" w:cs="Arial" w:eastAsia="Arial" w:hAnsi="Arial"/>
                <w:sz w:val="14"/>
                <w:szCs w:val="14"/>
                <w:color w:val="404040"/>
              </w:rPr>
              <w:t>​</w:t>
            </w:r>
          </w:p>
        </w:tc>
        <w:tc>
          <w:tcPr>
            <w:tcW w:w="200" w:type="dxa"/>
            <w:vAlign w:val="bottom"/>
          </w:tcPr>
          <w:p>
            <w:pPr>
              <w:ind w:left="60"/>
              <w:spacing w:after="0" w:line="141" w:lineRule="exact"/>
              <w:rPr>
                <w:sz w:val="20"/>
                <w:szCs w:val="20"/>
                <w:color w:val="auto"/>
              </w:rPr>
            </w:pPr>
            <w:r>
              <w:rPr>
                <w:rFonts w:ascii="Arial" w:cs="Arial" w:eastAsia="Arial" w:hAnsi="Arial"/>
                <w:sz w:val="14"/>
                <w:szCs w:val="14"/>
                <w:color w:val="404040"/>
              </w:rPr>
              <w:t>​</w:t>
            </w:r>
          </w:p>
        </w:tc>
        <w:tc>
          <w:tcPr>
            <w:tcW w:w="1860" w:type="dxa"/>
            <w:vAlign w:val="bottom"/>
            <w:gridSpan w:val="13"/>
            <w:vMerge w:val="restart"/>
          </w:tcPr>
          <w:p>
            <w:pPr>
              <w:spacing w:after="0"/>
              <w:rPr>
                <w:sz w:val="20"/>
                <w:szCs w:val="20"/>
                <w:color w:val="auto"/>
              </w:rPr>
            </w:pPr>
            <w:r>
              <w:rPr>
                <w:rFonts w:ascii="Arial" w:cs="Arial" w:eastAsia="Arial" w:hAnsi="Arial"/>
                <w:sz w:val="14"/>
                <w:szCs w:val="14"/>
                <w:b w:val="1"/>
                <w:bCs w:val="1"/>
                <w:color w:val="404040"/>
              </w:rPr>
              <w:t xml:space="preserve">CG: </w:t>
            </w:r>
            <w:r>
              <w:rPr>
                <w:rFonts w:ascii="Arial" w:cs="Arial" w:eastAsia="Arial" w:hAnsi="Arial"/>
                <w:sz w:val="14"/>
                <w:szCs w:val="14"/>
                <w:color w:val="404040"/>
              </w:rPr>
              <w:t>Corporate Governance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81"/>
        </w:trPr>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ind w:left="200"/>
              <w:spacing w:after="0" w:line="82" w:lineRule="exact"/>
              <w:rPr>
                <w:sz w:val="20"/>
                <w:szCs w:val="20"/>
                <w:color w:val="auto"/>
              </w:rPr>
            </w:pPr>
            <w:r>
              <w:rPr>
                <w:rFonts w:ascii="Arial" w:cs="Arial" w:eastAsia="Arial" w:hAnsi="Arial"/>
                <w:sz w:val="9"/>
                <w:szCs w:val="9"/>
                <w:color w:val="404040"/>
              </w:rPr>
              <w:t>• Member</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gridSpan w:val="13"/>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404040"/>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404040"/>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404040"/>
              </w:rPr>
              <w: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404040"/>
              </w:rPr>
              <w:t xml:space="preserve">E: </w:t>
            </w:r>
            <w:r>
              <w:rPr>
                <w:rFonts w:ascii="Arial" w:cs="Arial" w:eastAsia="Arial" w:hAnsi="Arial"/>
                <w:sz w:val="14"/>
                <w:szCs w:val="14"/>
                <w:color w:val="404040"/>
              </w:rPr>
              <w:t>Executive</w:t>
            </w:r>
            <w:r>
              <w:rPr>
                <w:rFonts w:ascii="Arial" w:cs="Arial" w:eastAsia="Arial" w:hAnsi="Arial"/>
                <w:sz w:val="28"/>
                <w:szCs w:val="28"/>
                <w:b w:val="1"/>
                <w:bCs w:val="1"/>
                <w:color w:val="404040"/>
                <w:vertAlign w:val="superscript"/>
              </w:rPr>
              <w:t>​</w:t>
            </w:r>
          </w:p>
        </w:tc>
        <w:tc>
          <w:tcPr>
            <w:tcW w:w="80" w:type="dxa"/>
            <w:vAlign w:val="bottom"/>
            <w:gridSpan w:val="2"/>
          </w:tcPr>
          <w:p>
            <w:pPr>
              <w:ind w:left="20"/>
              <w:spacing w:after="0"/>
              <w:rPr>
                <w:sz w:val="20"/>
                <w:szCs w:val="20"/>
                <w:color w:val="auto"/>
              </w:rPr>
            </w:pPr>
            <w:r>
              <w:rPr>
                <w:rFonts w:ascii="Arial" w:cs="Arial" w:eastAsia="Arial" w:hAnsi="Arial"/>
                <w:sz w:val="14"/>
                <w:szCs w:val="14"/>
                <w:b w:val="1"/>
                <w:bCs w:val="1"/>
                <w:color w:val="404040"/>
              </w:rPr>
              <w:t>​</w:t>
            </w:r>
          </w:p>
        </w:tc>
        <w:tc>
          <w:tcPr>
            <w:tcW w:w="880" w:type="dxa"/>
            <w:vAlign w:val="bottom"/>
            <w:gridSpan w:val="8"/>
          </w:tcPr>
          <w:p>
            <w:pPr>
              <w:ind w:left="60"/>
              <w:spacing w:after="0"/>
              <w:rPr>
                <w:sz w:val="20"/>
                <w:szCs w:val="20"/>
                <w:color w:val="auto"/>
              </w:rPr>
            </w:pPr>
            <w:r>
              <w:rPr>
                <w:rFonts w:ascii="Arial" w:cs="Arial" w:eastAsia="Arial" w:hAnsi="Arial"/>
                <w:sz w:val="14"/>
                <w:szCs w:val="14"/>
                <w:b w:val="1"/>
                <w:bCs w:val="1"/>
                <w:color w:val="404040"/>
              </w:rPr>
              <w:t xml:space="preserve">F: </w:t>
            </w:r>
            <w:r>
              <w:rPr>
                <w:rFonts w:ascii="Arial" w:cs="Arial" w:eastAsia="Arial" w:hAnsi="Arial"/>
                <w:sz w:val="14"/>
                <w:szCs w:val="14"/>
                <w:color w:val="404040"/>
              </w:rPr>
              <w:t>Finance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-3971290</wp:posOffset>
            </wp:positionV>
            <wp:extent cx="436880" cy="3368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688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     </w:t>
      </w:r>
      <w:r>
        <w:rPr>
          <w:sz w:val="1"/>
          <w:szCs w:val="1"/>
          <w:color w:val="auto"/>
        </w:rPr>
        <w:drawing>
          <wp:inline distT="0" distB="0" distL="0" distR="0">
            <wp:extent cx="1242695" cy="2400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0"/>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4"/>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309880</wp:posOffset>
            </wp:positionV>
            <wp:extent cx="5494655" cy="2785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465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ABOUT AVNET</w:t>
      </w:r>
    </w:p>
    <w:p>
      <w:pPr>
        <w:spacing w:after="0" w:line="202" w:lineRule="exact"/>
        <w:rPr>
          <w:sz w:val="20"/>
          <w:szCs w:val="20"/>
          <w:color w:val="auto"/>
        </w:rPr>
      </w:pPr>
    </w:p>
    <w:p>
      <w:pPr>
        <w:ind w:left="1000" w:right="579"/>
        <w:spacing w:after="0" w:line="287" w:lineRule="auto"/>
        <w:rPr>
          <w:sz w:val="20"/>
          <w:szCs w:val="20"/>
          <w:color w:val="auto"/>
        </w:rPr>
      </w:pPr>
      <w:r>
        <w:rPr>
          <w:rFonts w:ascii="Arial" w:cs="Arial" w:eastAsia="Arial" w:hAnsi="Arial"/>
          <w:sz w:val="18"/>
          <w:szCs w:val="18"/>
          <w:b w:val="1"/>
          <w:bCs w:val="1"/>
          <w:color w:val="53C072"/>
        </w:rPr>
        <w:t xml:space="preserve">VISION: </w:t>
      </w:r>
      <w:r>
        <w:rPr>
          <w:rFonts w:ascii="Arial" w:cs="Arial" w:eastAsia="Arial" w:hAnsi="Arial"/>
          <w:sz w:val="18"/>
          <w:szCs w:val="18"/>
          <w:color w:val="000000"/>
        </w:rPr>
        <w:t>To be the preferred distributor partner at the center of the world’s technology design and supply</w:t>
      </w:r>
      <w:r>
        <w:rPr>
          <w:rFonts w:ascii="Arial" w:cs="Arial" w:eastAsia="Arial" w:hAnsi="Arial"/>
          <w:sz w:val="18"/>
          <w:szCs w:val="18"/>
          <w:b w:val="1"/>
          <w:bCs w:val="1"/>
          <w:color w:val="53C072"/>
        </w:rPr>
        <w:t xml:space="preserve"> </w:t>
      </w:r>
      <w:r>
        <w:rPr>
          <w:rFonts w:ascii="Arial" w:cs="Arial" w:eastAsia="Arial" w:hAnsi="Arial"/>
          <w:sz w:val="18"/>
          <w:szCs w:val="18"/>
          <w:color w:val="000000"/>
        </w:rPr>
        <w:t>chains by delivering the best experience for both customers and suppliers every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-307975</wp:posOffset>
            </wp:positionV>
            <wp:extent cx="5554980" cy="857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79" w:lineRule="exact"/>
        <w:rPr>
          <w:sz w:val="20"/>
          <w:szCs w:val="20"/>
          <w:color w:val="auto"/>
        </w:rPr>
      </w:pPr>
    </w:p>
    <w:p>
      <w:pPr>
        <w:ind w:left="1000" w:right="159"/>
        <w:spacing w:after="0" w:line="268" w:lineRule="auto"/>
        <w:rPr>
          <w:sz w:val="20"/>
          <w:szCs w:val="20"/>
          <w:color w:val="auto"/>
        </w:rPr>
      </w:pPr>
      <w:r>
        <w:rPr>
          <w:rFonts w:ascii="Arial" w:cs="Arial" w:eastAsia="Arial" w:hAnsi="Arial"/>
          <w:sz w:val="18"/>
          <w:szCs w:val="18"/>
          <w:b w:val="1"/>
          <w:bCs w:val="1"/>
          <w:color w:val="53C072"/>
        </w:rPr>
        <w:t xml:space="preserve">MISSION: </w:t>
      </w:r>
      <w:r>
        <w:rPr>
          <w:rFonts w:ascii="Arial" w:cs="Arial" w:eastAsia="Arial" w:hAnsi="Arial"/>
          <w:sz w:val="18"/>
          <w:szCs w:val="18"/>
          <w:color w:val="000000"/>
        </w:rPr>
        <w:t>We deliver superior service by holding ourselves accountable to our stakeholders, enabling design</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supply chain technology solutions that improve life experiences globally, while staying grounded in our Core Values.</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CORE VALUES that drive our business and our people forward each day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142240</wp:posOffset>
            </wp:positionV>
            <wp:extent cx="4903470" cy="2048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034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4"/>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FINANCIAL HIGHLIGHTS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48895</wp:posOffset>
            </wp:positionV>
            <wp:extent cx="4766310"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48895</wp:posOffset>
            </wp:positionV>
            <wp:extent cx="4688840" cy="1748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888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PROGRAM FOR FISCAL 2023</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are the primary components of the fiscal 2023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31115</wp:posOffset>
            </wp:positionV>
            <wp:extent cx="4954905" cy="2408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49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40" w:hanging="350"/>
        <w:spacing w:after="0"/>
        <w:tabs>
          <w:tab w:leader="none" w:pos="1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Does not include the compensation mix for Thomas Liguori, former Chief Financial Officer.</w:t>
      </w:r>
    </w:p>
    <w:p>
      <w:pPr>
        <w:sectPr>
          <w:pgSz w:w="11900" w:h="16838" w:orient="portrait"/>
          <w:cols w:equalWidth="0" w:num="1">
            <w:col w:w="9879"/>
          </w:cols>
          <w:pgMar w:left="580" w:top="90" w:right="1440" w:bottom="1440" w:gutter="0" w:footer="0" w:header="0"/>
        </w:sect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 xml:space="preserve">4     </w:t>
      </w:r>
      <w:r>
        <w:rPr>
          <w:sz w:val="1"/>
          <w:szCs w:val="1"/>
          <w:color w:val="auto"/>
        </w:rPr>
        <w:drawing>
          <wp:inline distT="0" distB="0" distL="0" distR="0">
            <wp:extent cx="1242695" cy="2400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580" w:right="200"/>
        <w:spacing w:after="0" w:line="296" w:lineRule="auto"/>
        <w:rPr>
          <w:sz w:val="20"/>
          <w:szCs w:val="20"/>
          <w:color w:val="auto"/>
        </w:rPr>
      </w:pPr>
      <w:r>
        <w:rPr>
          <w:rFonts w:ascii="Arial" w:cs="Arial" w:eastAsia="Arial" w:hAnsi="Arial"/>
          <w:sz w:val="40"/>
          <w:szCs w:val="40"/>
          <w:b w:val="1"/>
          <w:bCs w:val="1"/>
          <w:color w:val="FEFEFE"/>
        </w:rPr>
        <w:t>PROXY STATEMENT FOR ANNUAL MEETING OF SHAREHOLDERS</w:t>
      </w:r>
      <w:r>
        <w:rPr>
          <w:rFonts w:ascii="Arial" w:cs="Arial" w:eastAsia="Arial" w:hAnsi="Arial"/>
          <w:sz w:val="17"/>
          <w:szCs w:val="17"/>
          <w:color w:val="FEFEFE"/>
        </w:rPr>
        <w:t>​</w:t>
      </w:r>
    </w:p>
    <w:p>
      <w:pPr>
        <w:spacing w:after="0" w:line="226" w:lineRule="exact"/>
        <w:rPr>
          <w:sz w:val="20"/>
          <w:szCs w:val="20"/>
          <w:color w:val="auto"/>
        </w:rPr>
      </w:pPr>
    </w:p>
    <w:tbl>
      <w:tblPr>
        <w:tblLayout w:type="fixed"/>
        <w:tblInd w:w="980" w:type="dxa"/>
        <w:tblCellMar>
          <w:top w:w="0" w:type="dxa"/>
          <w:left w:w="0" w:type="dxa"/>
          <w:bottom w:w="0" w:type="dxa"/>
          <w:right w:w="0" w:type="dxa"/>
        </w:tblCellMar>
      </w:tblPr>
      <w:tr>
        <w:trPr>
          <w:trHeight w:val="240"/>
        </w:trPr>
        <w:tc>
          <w:tcPr>
            <w:tcW w:w="2160" w:type="dxa"/>
            <w:vAlign w:val="bottom"/>
            <w:tcBorders>
              <w:top w:val="single" w:sz="8" w:color="53C072"/>
            </w:tcBorders>
            <w:shd w:val="clear" w:color="auto" w:fill="D8D8D8"/>
          </w:tcPr>
          <w:p>
            <w:pPr>
              <w:ind w:left="21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53C072"/>
            </w:tcBorders>
            <w:shd w:val="clear" w:color="auto" w:fill="D8D8D8"/>
          </w:tcPr>
          <w:p>
            <w:pPr>
              <w:ind w:left="17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180" w:type="dxa"/>
            <w:vAlign w:val="bottom"/>
            <w:tcBorders>
              <w:top w:val="single" w:sz="8" w:color="53C072"/>
            </w:tcBorders>
            <w:shd w:val="clear" w:color="auto" w:fill="D8D8D8"/>
          </w:tcPr>
          <w:p>
            <w:pPr>
              <w:ind w:left="21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top w:val="single" w:sz="8" w:color="53C072"/>
            </w:tcBorders>
            <w:shd w:val="clear" w:color="auto" w:fill="D8D8D8"/>
          </w:tcPr>
          <w:p>
            <w:pPr>
              <w:ind w:left="1880"/>
              <w:spacing w:after="0"/>
              <w:rPr>
                <w:sz w:val="20"/>
                <w:szCs w:val="20"/>
                <w:color w:val="auto"/>
              </w:rPr>
            </w:pPr>
            <w:r>
              <w:rPr>
                <w:rFonts w:ascii="Arial" w:cs="Arial" w:eastAsia="Arial" w:hAnsi="Arial"/>
                <w:sz w:val="16"/>
                <w:szCs w:val="16"/>
                <w:b w:val="1"/>
                <w:bCs w:val="1"/>
                <w:color w:val="auto"/>
              </w:rPr>
              <w:t>​</w:t>
            </w:r>
          </w:p>
        </w:tc>
      </w:tr>
      <w:tr>
        <w:trPr>
          <w:trHeight w:val="876"/>
        </w:trPr>
        <w:tc>
          <w:tcPr>
            <w:tcW w:w="2160" w:type="dxa"/>
            <w:vAlign w:val="bottom"/>
            <w:shd w:val="clear" w:color="auto" w:fill="D8D8D8"/>
          </w:tcPr>
          <w:p>
            <w:pPr>
              <w:jc w:val="center"/>
              <w:ind w:left="19"/>
              <w:spacing w:after="0"/>
              <w:rPr>
                <w:sz w:val="20"/>
                <w:szCs w:val="20"/>
                <w:color w:val="auto"/>
              </w:rPr>
            </w:pPr>
            <w:r>
              <w:rPr>
                <w:rFonts w:ascii="Arial" w:cs="Arial" w:eastAsia="Arial" w:hAnsi="Arial"/>
                <w:sz w:val="16"/>
                <w:szCs w:val="16"/>
                <w:b w:val="1"/>
                <w:bCs w:val="1"/>
                <w:color w:val="53C072"/>
                <w:w w:val="96"/>
              </w:rPr>
              <w:t>DATE</w:t>
            </w:r>
          </w:p>
        </w:tc>
        <w:tc>
          <w:tcPr>
            <w:tcW w:w="220" w:type="dxa"/>
            <w:vAlign w:val="bottom"/>
            <w:shd w:val="clear" w:color="auto" w:fill="D8D8D8"/>
          </w:tcPr>
          <w:p>
            <w:pPr>
              <w:spacing w:after="0"/>
              <w:rPr>
                <w:sz w:val="24"/>
                <w:szCs w:val="24"/>
                <w:color w:val="auto"/>
              </w:rPr>
            </w:pPr>
          </w:p>
        </w:tc>
        <w:tc>
          <w:tcPr>
            <w:tcW w:w="182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TIME</w:t>
            </w:r>
          </w:p>
        </w:tc>
        <w:tc>
          <w:tcPr>
            <w:tcW w:w="200" w:type="dxa"/>
            <w:vAlign w:val="bottom"/>
            <w:shd w:val="clear" w:color="auto" w:fill="D8D8D8"/>
          </w:tcPr>
          <w:p>
            <w:pPr>
              <w:spacing w:after="0"/>
              <w:rPr>
                <w:sz w:val="24"/>
                <w:szCs w:val="24"/>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PLACE</w:t>
            </w:r>
          </w:p>
        </w:tc>
        <w:tc>
          <w:tcPr>
            <w:tcW w:w="180" w:type="dxa"/>
            <w:vAlign w:val="bottom"/>
            <w:shd w:val="clear" w:color="auto" w:fill="D8D8D8"/>
          </w:tcPr>
          <w:p>
            <w:pPr>
              <w:spacing w:after="0"/>
              <w:rPr>
                <w:sz w:val="24"/>
                <w:szCs w:val="24"/>
                <w:color w:val="auto"/>
              </w:rPr>
            </w:pPr>
          </w:p>
        </w:tc>
        <w:tc>
          <w:tcPr>
            <w:tcW w:w="2000" w:type="dxa"/>
            <w:vAlign w:val="bottom"/>
            <w:shd w:val="clear" w:color="auto" w:fill="D8D8D8"/>
          </w:tcPr>
          <w:p>
            <w:pPr>
              <w:jc w:val="center"/>
              <w:ind w:right="279"/>
              <w:spacing w:after="0"/>
              <w:rPr>
                <w:sz w:val="20"/>
                <w:szCs w:val="20"/>
                <w:color w:val="auto"/>
              </w:rPr>
            </w:pPr>
            <w:r>
              <w:rPr>
                <w:rFonts w:ascii="Arial" w:cs="Arial" w:eastAsia="Arial" w:hAnsi="Arial"/>
                <w:sz w:val="16"/>
                <w:szCs w:val="16"/>
                <w:b w:val="1"/>
                <w:bCs w:val="1"/>
                <w:color w:val="53C072"/>
                <w:w w:val="98"/>
              </w:rPr>
              <w:t>RECORD DATE</w:t>
            </w:r>
          </w:p>
        </w:tc>
      </w:tr>
      <w:tr>
        <w:trPr>
          <w:trHeight w:val="203"/>
        </w:trPr>
        <w:tc>
          <w:tcPr>
            <w:tcW w:w="2160" w:type="dxa"/>
            <w:vAlign w:val="bottom"/>
            <w:shd w:val="clear" w:color="auto" w:fill="D8D8D8"/>
          </w:tcPr>
          <w:p>
            <w:pPr>
              <w:jc w:val="center"/>
              <w:ind w:left="59"/>
              <w:spacing w:after="0"/>
              <w:rPr>
                <w:sz w:val="20"/>
                <w:szCs w:val="20"/>
                <w:color w:val="auto"/>
              </w:rPr>
            </w:pPr>
            <w:r>
              <w:rPr>
                <w:rFonts w:ascii="Arial" w:cs="Arial" w:eastAsia="Arial" w:hAnsi="Arial"/>
                <w:sz w:val="16"/>
                <w:szCs w:val="16"/>
                <w:b w:val="1"/>
                <w:bCs w:val="1"/>
                <w:color w:val="auto"/>
              </w:rPr>
              <w:t>November 16, 2023</w:t>
            </w: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auto"/>
              </w:rPr>
              <w:t>8:00 am local time</w:t>
            </w:r>
          </w:p>
        </w:tc>
        <w:tc>
          <w:tcPr>
            <w:tcW w:w="200" w:type="dxa"/>
            <w:vAlign w:val="bottom"/>
            <w:shd w:val="clear" w:color="auto" w:fill="D8D8D8"/>
          </w:tcPr>
          <w:p>
            <w:pPr>
              <w:spacing w:after="0"/>
              <w:rPr>
                <w:sz w:val="17"/>
                <w:szCs w:val="17"/>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Avnet’s Headquarters</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jc w:val="center"/>
              <w:ind w:right="219"/>
              <w:spacing w:after="0"/>
              <w:rPr>
                <w:sz w:val="20"/>
                <w:szCs w:val="20"/>
                <w:color w:val="auto"/>
              </w:rPr>
            </w:pPr>
            <w:r>
              <w:rPr>
                <w:rFonts w:ascii="Arial" w:cs="Arial" w:eastAsia="Arial" w:hAnsi="Arial"/>
                <w:sz w:val="16"/>
                <w:szCs w:val="16"/>
                <w:b w:val="1"/>
                <w:bCs w:val="1"/>
                <w:color w:val="auto"/>
              </w:rPr>
              <w:t>September 18, 2023</w:t>
            </w:r>
          </w:p>
        </w:tc>
      </w:tr>
      <w:tr>
        <w:trPr>
          <w:trHeight w:val="189"/>
        </w:trPr>
        <w:tc>
          <w:tcPr>
            <w:tcW w:w="2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2211 South 47th Street</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227"/>
        </w:trPr>
        <w:tc>
          <w:tcPr>
            <w:tcW w:w="21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82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2180" w:type="dxa"/>
            <w:vAlign w:val="bottom"/>
            <w:shd w:val="clear" w:color="auto" w:fill="D8D8D8"/>
          </w:tcPr>
          <w:p>
            <w:pPr>
              <w:jc w:val="center"/>
              <w:ind w:right="119"/>
              <w:spacing w:after="0"/>
              <w:rPr>
                <w:sz w:val="20"/>
                <w:szCs w:val="20"/>
                <w:color w:val="auto"/>
              </w:rPr>
            </w:pPr>
            <w:r>
              <w:rPr>
                <w:rFonts w:ascii="Arial" w:cs="Arial" w:eastAsia="Arial" w:hAnsi="Arial"/>
                <w:sz w:val="16"/>
                <w:szCs w:val="16"/>
                <w:b w:val="1"/>
                <w:bCs w:val="1"/>
                <w:color w:val="auto"/>
              </w:rPr>
              <w:t>Phoenix, Arizona 85034</w:t>
            </w:r>
          </w:p>
        </w:tc>
        <w:tc>
          <w:tcPr>
            <w:tcW w:w="180" w:type="dxa"/>
            <w:vAlign w:val="bottom"/>
            <w:shd w:val="clear" w:color="auto" w:fill="D8D8D8"/>
          </w:tcPr>
          <w:p>
            <w:pPr>
              <w:spacing w:after="0"/>
              <w:rPr>
                <w:sz w:val="19"/>
                <w:szCs w:val="19"/>
                <w:color w:val="auto"/>
              </w:rPr>
            </w:pPr>
          </w:p>
        </w:tc>
        <w:tc>
          <w:tcPr>
            <w:tcW w:w="2000" w:type="dxa"/>
            <w:vAlign w:val="bottom"/>
            <w:shd w:val="clear" w:color="auto" w:fill="D8D8D8"/>
          </w:tcPr>
          <w:p>
            <w:pPr>
              <w:spacing w:after="0"/>
              <w:rPr>
                <w:sz w:val="19"/>
                <w:szCs w:val="19"/>
                <w:color w:val="auto"/>
              </w:rPr>
            </w:pPr>
          </w:p>
        </w:tc>
      </w:tr>
      <w:tr>
        <w:trPr>
          <w:trHeight w:val="169"/>
        </w:trPr>
        <w:tc>
          <w:tcPr>
            <w:tcW w:w="2160" w:type="dxa"/>
            <w:vAlign w:val="bottom"/>
            <w:tcBorders>
              <w:bottom w:val="single" w:sz="8" w:color="53C072"/>
            </w:tcBorders>
            <w:shd w:val="clear" w:color="auto" w:fill="D8D8D8"/>
          </w:tcPr>
          <w:p>
            <w:pPr>
              <w:spacing w:after="0"/>
              <w:rPr>
                <w:sz w:val="14"/>
                <w:szCs w:val="14"/>
                <w:color w:val="auto"/>
              </w:rPr>
            </w:pPr>
          </w:p>
        </w:tc>
        <w:tc>
          <w:tcPr>
            <w:tcW w:w="220" w:type="dxa"/>
            <w:vAlign w:val="bottom"/>
            <w:tcBorders>
              <w:bottom w:val="single" w:sz="8" w:color="53C072"/>
            </w:tcBorders>
            <w:shd w:val="clear" w:color="auto" w:fill="D8D8D8"/>
          </w:tcPr>
          <w:p>
            <w:pPr>
              <w:spacing w:after="0"/>
              <w:rPr>
                <w:sz w:val="14"/>
                <w:szCs w:val="14"/>
                <w:color w:val="auto"/>
              </w:rPr>
            </w:pPr>
          </w:p>
        </w:tc>
        <w:tc>
          <w:tcPr>
            <w:tcW w:w="1820" w:type="dxa"/>
            <w:vAlign w:val="bottom"/>
            <w:tcBorders>
              <w:bottom w:val="single" w:sz="8" w:color="53C072"/>
            </w:tcBorders>
            <w:shd w:val="clear" w:color="auto" w:fill="D8D8D8"/>
          </w:tcPr>
          <w:p>
            <w:pPr>
              <w:spacing w:after="0"/>
              <w:rPr>
                <w:sz w:val="14"/>
                <w:szCs w:val="14"/>
                <w:color w:val="auto"/>
              </w:rPr>
            </w:pPr>
          </w:p>
        </w:tc>
        <w:tc>
          <w:tcPr>
            <w:tcW w:w="200" w:type="dxa"/>
            <w:vAlign w:val="bottom"/>
            <w:tcBorders>
              <w:bottom w:val="single" w:sz="8" w:color="53C072"/>
            </w:tcBorders>
            <w:shd w:val="clear" w:color="auto" w:fill="D8D8D8"/>
          </w:tcPr>
          <w:p>
            <w:pPr>
              <w:spacing w:after="0"/>
              <w:rPr>
                <w:sz w:val="14"/>
                <w:szCs w:val="14"/>
                <w:color w:val="auto"/>
              </w:rPr>
            </w:pPr>
          </w:p>
        </w:tc>
        <w:tc>
          <w:tcPr>
            <w:tcW w:w="2180" w:type="dxa"/>
            <w:vAlign w:val="bottom"/>
            <w:tcBorders>
              <w:bottom w:val="single" w:sz="8" w:color="53C072"/>
            </w:tcBorders>
            <w:shd w:val="clear" w:color="auto" w:fill="D8D8D8"/>
          </w:tcPr>
          <w:p>
            <w:pPr>
              <w:spacing w:after="0"/>
              <w:rPr>
                <w:sz w:val="14"/>
                <w:szCs w:val="14"/>
                <w:color w:val="auto"/>
              </w:rPr>
            </w:pPr>
          </w:p>
        </w:tc>
        <w:tc>
          <w:tcPr>
            <w:tcW w:w="180" w:type="dxa"/>
            <w:vAlign w:val="bottom"/>
            <w:tcBorders>
              <w:bottom w:val="single" w:sz="8" w:color="53C072"/>
            </w:tcBorders>
            <w:shd w:val="clear" w:color="auto" w:fill="D8D8D8"/>
          </w:tcPr>
          <w:p>
            <w:pPr>
              <w:spacing w:after="0"/>
              <w:rPr>
                <w:sz w:val="14"/>
                <w:szCs w:val="14"/>
                <w:color w:val="auto"/>
              </w:rPr>
            </w:pPr>
          </w:p>
        </w:tc>
        <w:tc>
          <w:tcPr>
            <w:tcW w:w="2000" w:type="dxa"/>
            <w:vAlign w:val="bottom"/>
            <w:tcBorders>
              <w:bottom w:val="single" w:sz="8" w:color="53C072"/>
            </w:tcBorders>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-1062355</wp:posOffset>
            </wp:positionV>
            <wp:extent cx="428625" cy="436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-1062355</wp:posOffset>
            </wp:positionV>
            <wp:extent cx="437515" cy="436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-1062355</wp:posOffset>
            </wp:positionV>
            <wp:extent cx="325755"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-1062355</wp:posOffset>
            </wp:positionV>
            <wp:extent cx="428625" cy="436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02" w:lineRule="exact"/>
        <w:rPr>
          <w:sz w:val="20"/>
          <w:szCs w:val="20"/>
          <w:color w:val="auto"/>
        </w:rPr>
      </w:pPr>
    </w:p>
    <w:p>
      <w:pPr>
        <w:ind w:left="1000" w:right="219"/>
        <w:spacing w:after="0" w:line="245"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47th Street, Phoenix, Arizona 85034, on November 16, 2023, and at any and all postponements or adjournments thereof (the “Annual Meeting”), with respect to the matters referred to in the accompanying notice.</w:t>
      </w:r>
    </w:p>
    <w:p>
      <w:pPr>
        <w:spacing w:after="0" w:line="118" w:lineRule="exact"/>
        <w:rPr>
          <w:sz w:val="20"/>
          <w:szCs w:val="20"/>
          <w:color w:val="auto"/>
        </w:rPr>
      </w:pPr>
    </w:p>
    <w:p>
      <w:pPr>
        <w:ind w:left="1000" w:right="159"/>
        <w:spacing w:after="0" w:line="244" w:lineRule="auto"/>
        <w:rPr>
          <w:sz w:val="20"/>
          <w:szCs w:val="20"/>
          <w:color w:val="auto"/>
        </w:rPr>
      </w:pPr>
      <w:r>
        <w:rPr>
          <w:rFonts w:ascii="Arial" w:cs="Arial" w:eastAsia="Arial" w:hAnsi="Arial"/>
          <w:sz w:val="18"/>
          <w:szCs w:val="18"/>
          <w:color w:val="auto"/>
        </w:rPr>
        <w:t>The approximate date on which this Proxy Statement and the enclosed form of proxy are first being sent or given to shareholders is October 2, 2023. Only holders of record of outstanding shares of the Company’s common stock, par value $1.00 per share (the “Common Stock”), at the close of business on September 18, 2023, the record date, are entitled to notice of and to vote at the Annual Meeting. Each shareholder is entitled to one vote per share held on the record date. The aggregate number of shares of Common Stock outstanding (net of treasury shares) on September 18, 2023, was 91,316,931, comprising all of the Company’s capital stock outstanding as of that date.</w:t>
      </w:r>
    </w:p>
    <w:p>
      <w:pPr>
        <w:spacing w:after="0" w:line="120" w:lineRule="exact"/>
        <w:rPr>
          <w:sz w:val="20"/>
          <w:szCs w:val="20"/>
          <w:color w:val="auto"/>
        </w:rPr>
      </w:pPr>
    </w:p>
    <w:p>
      <w:pPr>
        <w:ind w:left="1000" w:right="339"/>
        <w:spacing w:after="0" w:line="248" w:lineRule="auto"/>
        <w:rPr>
          <w:sz w:val="20"/>
          <w:szCs w:val="20"/>
          <w:color w:val="auto"/>
        </w:rPr>
      </w:pPr>
      <w:r>
        <w:rPr>
          <w:rFonts w:ascii="Arial" w:cs="Arial" w:eastAsia="Arial" w:hAnsi="Arial"/>
          <w:sz w:val="18"/>
          <w:szCs w:val="18"/>
          <w:color w:val="auto"/>
        </w:rPr>
        <w:t>At the Annual Meeting you will be asked to elect the ten Director nominees named in the Proxy Statement, conduct an advisory vote on named executive compensation, conduct an advisory vote on the frequency of future advisory votes on named executive compensation, and ratify the appointment of KPMG LLP as the independent registered public accounting firm to audit the consolidated financial statements of the Company for the fiscal year ending June 29, 2024.</w:t>
      </w:r>
    </w:p>
    <w:p>
      <w:pPr>
        <w:spacing w:after="0" w:line="119" w:lineRule="exact"/>
        <w:rPr>
          <w:sz w:val="20"/>
          <w:szCs w:val="20"/>
          <w:color w:val="auto"/>
        </w:rPr>
      </w:pPr>
    </w:p>
    <w:p>
      <w:pPr>
        <w:ind w:left="1000" w:right="239"/>
        <w:spacing w:after="0" w:line="248" w:lineRule="auto"/>
        <w:rPr>
          <w:sz w:val="20"/>
          <w:szCs w:val="20"/>
          <w:color w:val="auto"/>
        </w:rPr>
      </w:pPr>
      <w:r>
        <w:rPr>
          <w:rFonts w:ascii="Arial" w:cs="Arial" w:eastAsia="Arial" w:hAnsi="Arial"/>
          <w:sz w:val="18"/>
          <w:szCs w:val="18"/>
          <w:color w:val="auto"/>
        </w:rPr>
        <w:t>The Company will bear the cost of soliciting proxies relating to the Annual Meeting.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03" w:lineRule="exact"/>
        <w:rPr>
          <w:sz w:val="20"/>
          <w:szCs w:val="20"/>
          <w:color w:val="auto"/>
        </w:rPr>
      </w:pPr>
    </w:p>
    <w:p>
      <w:pPr>
        <w:ind w:left="1000" w:right="259"/>
        <w:spacing w:after="0" w:line="263" w:lineRule="auto"/>
        <w:rPr>
          <w:sz w:val="20"/>
          <w:szCs w:val="20"/>
          <w:color w:val="auto"/>
        </w:rPr>
      </w:pPr>
      <w:r>
        <w:rPr>
          <w:rFonts w:ascii="Arial" w:cs="Arial" w:eastAsia="Arial" w:hAnsi="Arial"/>
          <w:sz w:val="17"/>
          <w:szCs w:val="17"/>
          <w:color w:val="auto"/>
        </w:rPr>
        <w:t>The Company is furnishing proxy materials to its shareholders primarily via the Internet. On or about October 2, 2023, the Company mailed to its shareholders a Notice of Internet Availability of Proxy Materials containing instructions on how to access the Company’s proxy materials, including the 2023 Proxy Statement and the 2023 Annual Report, and how to vote. On or about October 2, 2023, certain shareholders, in accordance with their prior requests, were sent e-mail notifications of how to access proxy materials and vote or have been mailed paper copies of the Company’s proxy materials and a proxy card or voting form.</w:t>
      </w:r>
    </w:p>
    <w:p>
      <w:pPr>
        <w:spacing w:after="0" w:line="105" w:lineRule="exact"/>
        <w:rPr>
          <w:sz w:val="20"/>
          <w:szCs w:val="20"/>
          <w:color w:val="auto"/>
        </w:rPr>
      </w:pPr>
    </w:p>
    <w:p>
      <w:pPr>
        <w:ind w:left="1000" w:right="339"/>
        <w:spacing w:after="0" w:line="245" w:lineRule="auto"/>
        <w:rPr>
          <w:sz w:val="20"/>
          <w:szCs w:val="20"/>
          <w:color w:val="auto"/>
        </w:rPr>
      </w:pPr>
      <w:r>
        <w:rPr>
          <w:rFonts w:ascii="Arial" w:cs="Arial" w:eastAsia="Arial" w:hAnsi="Arial"/>
          <w:sz w:val="18"/>
          <w:szCs w:val="18"/>
          <w:color w:val="auto"/>
        </w:rPr>
        <w:t>Internet distribution of the Company’s proxy materials is designed to expedite receipt by shareholders, lower the cost of the Annual Meeting, and conserve natural resources. However, if you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118" w:lineRule="exact"/>
        <w:rPr>
          <w:sz w:val="20"/>
          <w:szCs w:val="20"/>
          <w:color w:val="auto"/>
        </w:rPr>
      </w:pPr>
    </w:p>
    <w:p>
      <w:pPr>
        <w:ind w:left="1000" w:right="619"/>
        <w:spacing w:after="0" w:line="306" w:lineRule="auto"/>
        <w:rPr>
          <w:sz w:val="20"/>
          <w:szCs w:val="20"/>
          <w:color w:val="auto"/>
        </w:rPr>
      </w:pPr>
      <w:r>
        <w:rPr>
          <w:rFonts w:ascii="Arial" w:cs="Arial" w:eastAsia="Arial" w:hAnsi="Arial"/>
          <w:sz w:val="17"/>
          <w:szCs w:val="17"/>
          <w:color w:val="auto"/>
        </w:rPr>
        <w:t>The Company will request banks, brokerage houses and other institutions, nominees, and fiduciaries to forward the proxy materials to the beneficial owners of Common Stock and to obtain authorization for the</w:t>
      </w:r>
    </w:p>
    <w:p>
      <w:pPr>
        <w:sectPr>
          <w:pgSz w:w="11900" w:h="16838" w:orient="portrait"/>
          <w:cols w:equalWidth="0" w:num="1">
            <w:col w:w="9879"/>
          </w:cols>
          <w:pgMar w:left="580" w:top="90" w:right="1440" w:bottom="1440" w:gutter="0" w:footer="0" w:header="0"/>
        </w:sectPr>
      </w:pPr>
    </w:p>
    <w:p>
      <w:pPr>
        <w:spacing w:after="0" w:line="94"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55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220" w:type="dxa"/>
            <w:vAlign w:val="bottom"/>
            <w:vMerge w:val="restart"/>
          </w:tcPr>
          <w:p>
            <w:pPr>
              <w:ind w:left="3160"/>
              <w:spacing w:after="0"/>
              <w:rPr>
                <w:sz w:val="20"/>
                <w:szCs w:val="20"/>
                <w:color w:val="auto"/>
              </w:rPr>
            </w:pPr>
            <w:r>
              <w:rPr>
                <w:rFonts w:ascii="Arial" w:cs="Arial" w:eastAsia="Arial" w:hAnsi="Arial"/>
                <w:sz w:val="14"/>
                <w:szCs w:val="14"/>
                <w:color w:val="auto"/>
              </w:rPr>
              <w:t>Proxy Statement</w:t>
            </w:r>
          </w:p>
        </w:tc>
        <w:tc>
          <w:tcPr>
            <w:tcW w:w="0" w:type="dxa"/>
            <w:vAlign w:val="bottom"/>
          </w:tcPr>
          <w:p>
            <w:pPr>
              <w:spacing w:after="0"/>
              <w:rPr>
                <w:sz w:val="1"/>
                <w:szCs w:val="1"/>
                <w:color w:val="auto"/>
              </w:rPr>
            </w:pPr>
          </w:p>
        </w:tc>
      </w:tr>
      <w:tr>
        <w:trPr>
          <w:trHeight w:val="84"/>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both"/>
        <w:ind w:left="1000" w:right="819"/>
        <w:spacing w:after="0" w:line="306" w:lineRule="auto"/>
        <w:rPr>
          <w:sz w:val="20"/>
          <w:szCs w:val="20"/>
          <w:color w:val="auto"/>
        </w:rPr>
      </w:pPr>
      <w:r>
        <w:rPr>
          <w:rFonts w:ascii="Arial" w:cs="Arial" w:eastAsia="Arial" w:hAnsi="Arial"/>
          <w:sz w:val="17"/>
          <w:szCs w:val="17"/>
          <w:color w:val="auto"/>
        </w:rPr>
        <w:t>execution of proxies. The Company will, upon request, reimburse banks, brokerage houses and other institutions, nominees, and fiduciaries for their reasonable expenses in forwarding the proxy materials.</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 AND REVOCATION OF PROXY</w:t>
      </w:r>
    </w:p>
    <w:p>
      <w:pPr>
        <w:spacing w:after="0" w:line="158"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Shareholders may mail their completed proxy cards or submit their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1"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Any shareholder may revoke a completed proxy card or voting instructions by submitting a written notice of revocation, submitting a new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BROKER VOTING</w:t>
      </w:r>
    </w:p>
    <w:p>
      <w:pPr>
        <w:spacing w:after="0" w:line="158" w:lineRule="exact"/>
        <w:rPr>
          <w:sz w:val="20"/>
          <w:szCs w:val="20"/>
          <w:color w:val="auto"/>
        </w:rPr>
      </w:pPr>
    </w:p>
    <w:p>
      <w:pPr>
        <w:ind w:left="1000" w:right="259"/>
        <w:spacing w:after="0" w:line="254" w:lineRule="auto"/>
        <w:rPr>
          <w:sz w:val="20"/>
          <w:szCs w:val="20"/>
          <w:color w:val="auto"/>
        </w:rPr>
      </w:pPr>
      <w:r>
        <w:rPr>
          <w:rFonts w:ascii="Arial" w:cs="Arial" w:eastAsia="Arial" w:hAnsi="Arial"/>
          <w:sz w:val="18"/>
          <w:szCs w:val="18"/>
          <w:color w:val="auto"/>
        </w:rPr>
        <w:t>Brokers holding shares of record for a shareholder may vote on certain limited matters if they do not receive timely voting instructions from the shareholder. There are also some matters (“non-routine matters”) on which brokers may not vote if they do not receive timely voting instructions from the shareholder. When a broker cannot vote on a particular matter and the shareholder has not given timely voting instructions, then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24"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 xml:space="preserve">The election of Directors (Proposal 1), the advisory vote on named executive compensation (Proposal 2), and the advisory vote on the frequency of future advisory votes on named executive compensation (Proposal 3) are classified as non-routine matters. Accordingly, brokers, banks, and other nominees will not be permitted to vote on any proposal 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encourages all beneficial owners to provide voting instructions to your nominees to ensure that your shares are voted at the Annual Meeting.</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MEETING ATTENDANCE</w:t>
      </w:r>
    </w:p>
    <w:p>
      <w:pPr>
        <w:spacing w:after="0" w:line="158" w:lineRule="exact"/>
        <w:rPr>
          <w:sz w:val="20"/>
          <w:szCs w:val="20"/>
          <w:color w:val="auto"/>
        </w:rPr>
      </w:pPr>
    </w:p>
    <w:p>
      <w:pPr>
        <w:ind w:left="1000" w:right="199"/>
        <w:spacing w:after="0" w:line="306" w:lineRule="auto"/>
        <w:rPr>
          <w:sz w:val="20"/>
          <w:szCs w:val="20"/>
          <w:color w:val="auto"/>
        </w:rPr>
      </w:pPr>
      <w:r>
        <w:rPr>
          <w:rFonts w:ascii="Arial" w:cs="Arial" w:eastAsia="Arial" w:hAnsi="Arial"/>
          <w:sz w:val="17"/>
          <w:szCs w:val="17"/>
          <w:color w:val="auto"/>
        </w:rPr>
        <w:t>Admission to the Annual Meeting will be limited to shareholders. You are entitled to attend the Annual Meeting only if you are a shareholder of record as of the record date or hold a valid proxy for the meeting. To be</w:t>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     </w:t>
      </w:r>
      <w:r>
        <w:rPr>
          <w:sz w:val="1"/>
          <w:szCs w:val="1"/>
          <w:color w:val="auto"/>
        </w:rPr>
        <w:drawing>
          <wp:inline distT="0" distB="0" distL="0" distR="0">
            <wp:extent cx="1242695" cy="24003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55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220" w:type="dxa"/>
            <w:vAlign w:val="bottom"/>
            <w:vMerge w:val="restart"/>
          </w:tcPr>
          <w:p>
            <w:pPr>
              <w:ind w:left="3160"/>
              <w:spacing w:after="0"/>
              <w:rPr>
                <w:sz w:val="20"/>
                <w:szCs w:val="20"/>
                <w:color w:val="auto"/>
              </w:rPr>
            </w:pPr>
            <w:r>
              <w:rPr>
                <w:rFonts w:ascii="Arial" w:cs="Arial" w:eastAsia="Arial" w:hAnsi="Arial"/>
                <w:sz w:val="14"/>
                <w:szCs w:val="14"/>
                <w:color w:val="auto"/>
              </w:rPr>
              <w:t>Proxy Statement</w:t>
            </w:r>
          </w:p>
        </w:tc>
        <w:tc>
          <w:tcPr>
            <w:tcW w:w="0" w:type="dxa"/>
            <w:vAlign w:val="bottom"/>
          </w:tcPr>
          <w:p>
            <w:pPr>
              <w:spacing w:after="0"/>
              <w:rPr>
                <w:sz w:val="1"/>
                <w:szCs w:val="1"/>
                <w:color w:val="auto"/>
              </w:rPr>
            </w:pPr>
          </w:p>
        </w:tc>
      </w:tr>
      <w:tr>
        <w:trPr>
          <w:trHeight w:val="84"/>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139"/>
        <w:spacing w:after="0" w:line="253" w:lineRule="auto"/>
        <w:rPr>
          <w:sz w:val="20"/>
          <w:szCs w:val="20"/>
          <w:color w:val="auto"/>
        </w:rPr>
      </w:pPr>
      <w:r>
        <w:rPr>
          <w:rFonts w:ascii="Arial" w:cs="Arial" w:eastAsia="Arial" w:hAnsi="Arial"/>
          <w:sz w:val="18"/>
          <w:szCs w:val="18"/>
          <w:color w:val="auto"/>
        </w:rPr>
        <w:t>admitted to the Annual Meeting, you must present proof of ownership of the Company’s Common Stock on the record date, which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QUORUM</w:t>
      </w:r>
    </w:p>
    <w:p>
      <w:pPr>
        <w:spacing w:after="0" w:line="172" w:lineRule="exact"/>
        <w:rPr>
          <w:sz w:val="20"/>
          <w:szCs w:val="20"/>
          <w:color w:val="auto"/>
        </w:rPr>
      </w:pPr>
    </w:p>
    <w:p>
      <w:pPr>
        <w:ind w:left="1000" w:right="179"/>
        <w:spacing w:after="0" w:line="258" w:lineRule="auto"/>
        <w:rPr>
          <w:sz w:val="20"/>
          <w:szCs w:val="20"/>
          <w:color w:val="auto"/>
        </w:rPr>
      </w:pPr>
      <w:r>
        <w:rPr>
          <w:rFonts w:ascii="Arial" w:cs="Arial" w:eastAsia="Arial" w:hAnsi="Arial"/>
          <w:sz w:val="18"/>
          <w:szCs w:val="18"/>
          <w:color w:val="auto"/>
        </w:rPr>
        <w:t>The presence at the Annual Meeting, in person or by proxy, of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 AND BOARD RECOMMENDATIONS</w:t>
      </w:r>
    </w:p>
    <w:p>
      <w:pPr>
        <w:sectPr>
          <w:pgSz w:w="11900" w:h="16838" w:orient="portrait"/>
          <w:cols w:equalWidth="0" w:num="1">
            <w:col w:w="9879"/>
          </w:cols>
          <w:pgMar w:left="580" w:top="90" w:right="1440" w:bottom="1440" w:gutter="0" w:footer="0" w:header="0"/>
        </w:sect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54610</wp:posOffset>
            </wp:positionV>
            <wp:extent cx="2846070" cy="1894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1894205"/>
                    </a:xfrm>
                    <a:prstGeom prst="rect">
                      <a:avLst/>
                    </a:prstGeom>
                    <a:noFill/>
                  </pic:spPr>
                </pic:pic>
              </a:graphicData>
            </a:graphic>
          </wp:anchor>
        </w:drawing>
      </w:r>
    </w:p>
    <w:p>
      <w:pPr>
        <w:spacing w:after="0" w:line="182" w:lineRule="exact"/>
        <w:rPr>
          <w:sz w:val="20"/>
          <w:szCs w:val="20"/>
          <w:color w:val="auto"/>
        </w:rPr>
      </w:pPr>
    </w:p>
    <w:p>
      <w:pPr>
        <w:ind w:left="1760" w:hanging="514"/>
        <w:spacing w:after="0"/>
        <w:tabs>
          <w:tab w:leader="none" w:pos="1760" w:val="left"/>
        </w:tabs>
        <w:numPr>
          <w:ilvl w:val="0"/>
          <w:numId w:val="12"/>
        </w:numPr>
        <w:rPr>
          <w:rFonts w:ascii="Arial" w:cs="Arial" w:eastAsia="Arial" w:hAnsi="Arial"/>
          <w:sz w:val="32"/>
          <w:szCs w:val="32"/>
          <w:b w:val="1"/>
          <w:bCs w:val="1"/>
          <w:color w:val="FEFEFE"/>
        </w:rPr>
      </w:pPr>
      <w:r>
        <w:rPr>
          <w:rFonts w:ascii="Arial" w:cs="Arial" w:eastAsia="Arial" w:hAnsi="Arial"/>
          <w:sz w:val="18"/>
          <w:szCs w:val="18"/>
          <w:b w:val="1"/>
          <w:bCs w:val="1"/>
          <w:color w:val="auto"/>
        </w:rPr>
        <w:t>​  Election of Directors</w:t>
      </w:r>
    </w:p>
    <w:p>
      <w:pPr>
        <w:ind w:left="2020" w:hanging="774"/>
        <w:spacing w:after="0" w:line="180" w:lineRule="auto"/>
        <w:tabs>
          <w:tab w:leader="none" w:pos="2020" w:val="left"/>
        </w:tabs>
        <w:numPr>
          <w:ilvl w:val="0"/>
          <w:numId w:val="13"/>
        </w:numPr>
        <w:rPr>
          <w:rFonts w:ascii="Arial" w:cs="Arial" w:eastAsia="Arial" w:hAnsi="Arial"/>
          <w:sz w:val="64"/>
          <w:szCs w:val="64"/>
          <w:b w:val="1"/>
          <w:bCs w:val="1"/>
          <w:color w:val="FEFEFE"/>
          <w:vertAlign w:val="subscript"/>
        </w:rPr>
      </w:pPr>
      <w:r>
        <w:rPr>
          <w:rFonts w:ascii="Arial" w:cs="Arial" w:eastAsia="Arial" w:hAnsi="Arial"/>
          <w:sz w:val="18"/>
          <w:szCs w:val="18"/>
          <w:b w:val="1"/>
          <w:bCs w:val="1"/>
          <w:color w:val="auto"/>
        </w:rPr>
        <w:t>Advisory vote on named executive</w:t>
      </w:r>
    </w:p>
    <w:p>
      <w:pPr>
        <w:spacing w:after="0" w:line="2" w:lineRule="exact"/>
        <w:rPr>
          <w:rFonts w:ascii="Arial" w:cs="Arial" w:eastAsia="Arial" w:hAnsi="Arial"/>
          <w:sz w:val="64"/>
          <w:szCs w:val="64"/>
          <w:b w:val="1"/>
          <w:bCs w:val="1"/>
          <w:color w:val="FEFEFE"/>
          <w:vertAlign w:val="subscript"/>
        </w:rPr>
      </w:pPr>
    </w:p>
    <w:p>
      <w:pPr>
        <w:ind w:left="2020" w:hanging="267"/>
        <w:spacing w:after="0" w:line="183" w:lineRule="auto"/>
        <w:tabs>
          <w:tab w:leader="none" w:pos="2020" w:val="left"/>
        </w:tabs>
        <w:numPr>
          <w:ilvl w:val="1"/>
          <w:numId w:val="13"/>
        </w:numPr>
        <w:rPr>
          <w:rFonts w:ascii="Arial" w:cs="Arial" w:eastAsia="Arial" w:hAnsi="Arial"/>
          <w:sz w:val="26"/>
          <w:szCs w:val="26"/>
          <w:b w:val="1"/>
          <w:bCs w:val="1"/>
          <w:color w:val="auto"/>
          <w:vertAlign w:val="superscript"/>
        </w:rPr>
      </w:pPr>
      <w:r>
        <w:rPr>
          <w:rFonts w:ascii="Arial" w:cs="Arial" w:eastAsia="Arial" w:hAnsi="Arial"/>
          <w:sz w:val="15"/>
          <w:szCs w:val="15"/>
          <w:b w:val="1"/>
          <w:bCs w:val="1"/>
          <w:color w:val="auto"/>
        </w:rPr>
        <w:t>compensation</w:t>
      </w:r>
    </w:p>
    <w:p>
      <w:pPr>
        <w:spacing w:after="0" w:line="209" w:lineRule="exact"/>
        <w:rPr>
          <w:sz w:val="20"/>
          <w:szCs w:val="20"/>
          <w:color w:val="auto"/>
        </w:rPr>
      </w:pPr>
    </w:p>
    <w:p>
      <w:pPr>
        <w:ind w:left="1240" w:right="340" w:firstLine="756"/>
        <w:spacing w:after="0" w:line="189" w:lineRule="auto"/>
        <w:rPr>
          <w:sz w:val="20"/>
          <w:szCs w:val="20"/>
          <w:color w:val="auto"/>
        </w:rPr>
      </w:pPr>
      <w:r>
        <w:rPr>
          <w:rFonts w:ascii="Arial" w:cs="Arial" w:eastAsia="Arial" w:hAnsi="Arial"/>
          <w:sz w:val="18"/>
          <w:szCs w:val="18"/>
          <w:b w:val="1"/>
          <w:bCs w:val="1"/>
          <w:color w:val="auto"/>
        </w:rPr>
        <w:t xml:space="preserve">Advisory vote on the frequency of </w:t>
      </w:r>
      <w:r>
        <w:rPr>
          <w:rFonts w:ascii="Arial" w:cs="Arial" w:eastAsia="Arial" w:hAnsi="Arial"/>
          <w:sz w:val="32"/>
          <w:szCs w:val="32"/>
          <w:b w:val="1"/>
          <w:bCs w:val="1"/>
          <w:color w:val="FEFEFE"/>
        </w:rPr>
        <w:t xml:space="preserve">3 </w:t>
      </w:r>
      <w:r>
        <w:rPr>
          <w:rFonts w:ascii="Arial" w:cs="Arial" w:eastAsia="Arial" w:hAnsi="Arial"/>
          <w:sz w:val="17"/>
          <w:szCs w:val="17"/>
          <w:b w:val="1"/>
          <w:bCs w:val="1"/>
          <w:color w:val="000000"/>
        </w:rPr>
        <w:t>​ future advisory votes on named</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executive compensation</w:t>
      </w:r>
    </w:p>
    <w:p>
      <w:pPr>
        <w:ind w:left="2020" w:hanging="774"/>
        <w:spacing w:after="0" w:line="182" w:lineRule="auto"/>
        <w:tabs>
          <w:tab w:leader="none" w:pos="2020" w:val="left"/>
        </w:tabs>
        <w:numPr>
          <w:ilvl w:val="0"/>
          <w:numId w:val="14"/>
        </w:numPr>
        <w:rPr>
          <w:rFonts w:ascii="Arial" w:cs="Arial" w:eastAsia="Arial" w:hAnsi="Arial"/>
          <w:sz w:val="52"/>
          <w:szCs w:val="52"/>
          <w:b w:val="1"/>
          <w:bCs w:val="1"/>
          <w:color w:val="FEFEFE"/>
          <w:vertAlign w:val="subscript"/>
        </w:rPr>
      </w:pPr>
      <w:r>
        <w:rPr>
          <w:rFonts w:ascii="Arial" w:cs="Arial" w:eastAsia="Arial" w:hAnsi="Arial"/>
          <w:sz w:val="16"/>
          <w:szCs w:val="16"/>
          <w:b w:val="1"/>
          <w:bCs w:val="1"/>
          <w:color w:val="auto"/>
        </w:rPr>
        <w:t>Ratification of independent registered</w:t>
      </w:r>
    </w:p>
    <w:p>
      <w:pPr>
        <w:spacing w:after="0" w:line="1" w:lineRule="exact"/>
        <w:rPr>
          <w:rFonts w:ascii="Arial" w:cs="Arial" w:eastAsia="Arial" w:hAnsi="Arial"/>
          <w:sz w:val="52"/>
          <w:szCs w:val="52"/>
          <w:b w:val="1"/>
          <w:bCs w:val="1"/>
          <w:color w:val="FEFEFE"/>
          <w:vertAlign w:val="subscript"/>
        </w:rPr>
      </w:pPr>
    </w:p>
    <w:p>
      <w:pPr>
        <w:ind w:left="2020" w:hanging="267"/>
        <w:spacing w:after="0" w:line="183" w:lineRule="auto"/>
        <w:tabs>
          <w:tab w:leader="none" w:pos="2020" w:val="left"/>
        </w:tabs>
        <w:numPr>
          <w:ilvl w:val="1"/>
          <w:numId w:val="14"/>
        </w:numPr>
        <w:rPr>
          <w:rFonts w:ascii="Arial" w:cs="Arial" w:eastAsia="Arial" w:hAnsi="Arial"/>
          <w:sz w:val="26"/>
          <w:szCs w:val="26"/>
          <w:b w:val="1"/>
          <w:bCs w:val="1"/>
          <w:color w:val="auto"/>
          <w:vertAlign w:val="superscript"/>
        </w:rPr>
      </w:pPr>
      <w:r>
        <w:rPr>
          <w:rFonts w:ascii="Arial" w:cs="Arial" w:eastAsia="Arial" w:hAnsi="Arial"/>
          <w:sz w:val="15"/>
          <w:szCs w:val="15"/>
          <w:b w:val="1"/>
          <w:bCs w:val="1"/>
          <w:color w:val="auto"/>
        </w:rPr>
        <w:t>public accounting firm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33"/>
              <w:spacing w:after="0"/>
              <w:rPr>
                <w:sz w:val="20"/>
                <w:szCs w:val="20"/>
                <w:color w:val="auto"/>
              </w:rPr>
            </w:pPr>
            <w:r>
              <w:rPr>
                <w:rFonts w:ascii="Arial" w:cs="Arial" w:eastAsia="Arial" w:hAnsi="Arial"/>
                <w:sz w:val="18"/>
                <w:szCs w:val="18"/>
                <w:b w:val="1"/>
                <w:bCs w:val="1"/>
                <w:color w:val="53C072"/>
                <w:w w:val="96"/>
              </w:rPr>
              <w:t>Voting</w:t>
            </w:r>
          </w:p>
        </w:tc>
        <w:tc>
          <w:tcPr>
            <w:tcW w:w="180" w:type="dxa"/>
            <w:vAlign w:val="bottom"/>
          </w:tcPr>
          <w:p>
            <w:pPr>
              <w:spacing w:after="0"/>
              <w:rPr>
                <w:sz w:val="17"/>
                <w:szCs w:val="17"/>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b w:val="1"/>
                <w:bCs w:val="1"/>
                <w:color w:val="53C072"/>
              </w:rPr>
              <w:t>Board</w:t>
            </w:r>
          </w:p>
        </w:tc>
        <w:tc>
          <w:tcPr>
            <w:tcW w:w="160" w:type="dxa"/>
            <w:vAlign w:val="bottom"/>
          </w:tcPr>
          <w:p>
            <w:pPr>
              <w:spacing w:after="0"/>
              <w:rPr>
                <w:sz w:val="17"/>
                <w:szCs w:val="17"/>
                <w:color w:val="auto"/>
              </w:rPr>
            </w:pPr>
          </w:p>
        </w:tc>
        <w:tc>
          <w:tcPr>
            <w:tcW w:w="9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53C072"/>
                <w:w w:val="97"/>
              </w:rPr>
              <w:t>Page</w:t>
            </w:r>
          </w:p>
        </w:tc>
        <w:tc>
          <w:tcPr>
            <w:tcW w:w="0" w:type="dxa"/>
            <w:vAlign w:val="bottom"/>
          </w:tcPr>
          <w:p>
            <w:pPr>
              <w:spacing w:after="0"/>
              <w:rPr>
                <w:sz w:val="1"/>
                <w:szCs w:val="1"/>
                <w:color w:val="auto"/>
              </w:rPr>
            </w:pPr>
          </w:p>
        </w:tc>
      </w:tr>
      <w:tr>
        <w:trPr>
          <w:trHeight w:val="251"/>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73"/>
              <w:spacing w:after="0"/>
              <w:rPr>
                <w:sz w:val="20"/>
                <w:szCs w:val="20"/>
                <w:color w:val="auto"/>
              </w:rPr>
            </w:pPr>
            <w:r>
              <w:rPr>
                <w:rFonts w:ascii="Arial" w:cs="Arial" w:eastAsia="Arial" w:hAnsi="Arial"/>
                <w:sz w:val="18"/>
                <w:szCs w:val="18"/>
                <w:b w:val="1"/>
                <w:bCs w:val="1"/>
                <w:color w:val="53C072"/>
                <w:w w:val="97"/>
              </w:rPr>
              <w:t>Standard</w:t>
            </w:r>
          </w:p>
        </w:tc>
        <w:tc>
          <w:tcPr>
            <w:tcW w:w="180" w:type="dxa"/>
            <w:vAlign w:val="bottom"/>
          </w:tcPr>
          <w:p>
            <w:pPr>
              <w:spacing w:after="0"/>
              <w:rPr>
                <w:sz w:val="21"/>
                <w:szCs w:val="21"/>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53C072"/>
              </w:rPr>
              <w:t>Recommendation</w:t>
            </w:r>
          </w:p>
        </w:tc>
        <w:tc>
          <w:tcPr>
            <w:tcW w:w="160" w:type="dxa"/>
            <w:vAlign w:val="bottom"/>
          </w:tcPr>
          <w:p>
            <w:pPr>
              <w:spacing w:after="0"/>
              <w:rPr>
                <w:sz w:val="21"/>
                <w:szCs w:val="21"/>
                <w:color w:val="auto"/>
              </w:rPr>
            </w:pPr>
          </w:p>
        </w:tc>
        <w:tc>
          <w:tcPr>
            <w:tcW w:w="900" w:type="dxa"/>
            <w:vAlign w:val="bottom"/>
            <w:gridSpan w:val="5"/>
          </w:tcPr>
          <w:p>
            <w:pPr>
              <w:jc w:val="center"/>
              <w:spacing w:after="0"/>
              <w:rPr>
                <w:sz w:val="20"/>
                <w:szCs w:val="20"/>
                <w:color w:val="auto"/>
              </w:rPr>
            </w:pPr>
            <w:r>
              <w:rPr>
                <w:rFonts w:ascii="Arial" w:cs="Arial" w:eastAsia="Arial" w:hAnsi="Arial"/>
                <w:sz w:val="18"/>
                <w:szCs w:val="18"/>
                <w:b w:val="1"/>
                <w:bCs w:val="1"/>
                <w:color w:val="53C072"/>
                <w:w w:val="98"/>
              </w:rPr>
              <w:t>Reference</w:t>
            </w:r>
          </w:p>
        </w:tc>
        <w:tc>
          <w:tcPr>
            <w:tcW w:w="0" w:type="dxa"/>
            <w:vAlign w:val="bottom"/>
          </w:tcPr>
          <w:p>
            <w:pPr>
              <w:spacing w:after="0"/>
              <w:rPr>
                <w:sz w:val="1"/>
                <w:szCs w:val="1"/>
                <w:color w:val="auto"/>
              </w:rPr>
            </w:pPr>
          </w:p>
        </w:tc>
      </w:tr>
      <w:tr>
        <w:trPr>
          <w:trHeight w:val="42"/>
        </w:trPr>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160" w:type="dxa"/>
            <w:vAlign w:val="bottom"/>
            <w:shd w:val="clear" w:color="auto" w:fill="D8D8D8"/>
          </w:tcPr>
          <w:p>
            <w:pPr>
              <w:jc w:val="center"/>
              <w:ind w:right="133"/>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3"/>
                <w:szCs w:val="23"/>
                <w:color w:val="auto"/>
              </w:rPr>
            </w:pPr>
          </w:p>
        </w:tc>
        <w:tc>
          <w:tcPr>
            <w:tcW w:w="1700" w:type="dxa"/>
            <w:vAlign w:val="bottom"/>
            <w:gridSpan w:val="2"/>
            <w:vMerge w:val="restart"/>
            <w:shd w:val="clear" w:color="auto" w:fill="53C072"/>
          </w:tcPr>
          <w:p>
            <w:pPr>
              <w:jc w:val="center"/>
              <w:ind w:right="14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6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8</w:t>
            </w:r>
          </w:p>
        </w:tc>
        <w:tc>
          <w:tcPr>
            <w:tcW w:w="6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116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4"/>
                <w:szCs w:val="14"/>
                <w:color w:val="auto"/>
              </w:rPr>
            </w:pPr>
          </w:p>
        </w:tc>
        <w:tc>
          <w:tcPr>
            <w:tcW w:w="1700" w:type="dxa"/>
            <w:vAlign w:val="bottom"/>
            <w:tcBorders>
              <w:bottom w:val="single" w:sz="8" w:color="53C072"/>
            </w:tcBorders>
            <w:gridSpan w:val="2"/>
            <w:vMerge w:val="continue"/>
            <w:shd w:val="clear" w:color="auto" w:fill="53C072"/>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360" w:type="dxa"/>
            <w:vAlign w:val="bottom"/>
            <w:tcBorders>
              <w:bottom w:val="single" w:sz="8" w:color="D8D8D8"/>
            </w:tcBorders>
            <w:shd w:val="clear" w:color="auto" w:fill="D8D8D8"/>
          </w:tcPr>
          <w:p>
            <w:pPr>
              <w:spacing w:after="0"/>
              <w:rPr>
                <w:sz w:val="14"/>
                <w:szCs w:val="14"/>
                <w:color w:val="auto"/>
              </w:rPr>
            </w:pPr>
          </w:p>
        </w:tc>
        <w:tc>
          <w:tcPr>
            <w:tcW w:w="4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0000EE"/>
            </w:tcBorders>
            <w:vMerge w:val="continue"/>
            <w:shd w:val="clear" w:color="auto" w:fill="D8D8D8"/>
          </w:tcPr>
          <w:p>
            <w:pPr>
              <w:spacing w:after="0"/>
              <w:rPr>
                <w:sz w:val="14"/>
                <w:szCs w:val="14"/>
                <w:color w:val="auto"/>
              </w:rPr>
            </w:pPr>
          </w:p>
        </w:tc>
        <w:tc>
          <w:tcPr>
            <w:tcW w:w="6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160" w:type="dxa"/>
            <w:vAlign w:val="bottom"/>
            <w:vMerge w:val="continue"/>
            <w:shd w:val="clear" w:color="auto" w:fill="D8D8D8"/>
          </w:tcPr>
          <w:p>
            <w:pPr>
              <w:spacing w:after="0"/>
              <w:rPr>
                <w:sz w:val="19"/>
                <w:szCs w:val="19"/>
                <w:color w:val="auto"/>
              </w:rPr>
            </w:pPr>
          </w:p>
        </w:tc>
        <w:tc>
          <w:tcPr>
            <w:tcW w:w="180" w:type="dxa"/>
            <w:vAlign w:val="bottom"/>
            <w:shd w:val="clear" w:color="auto" w:fill="53C072"/>
          </w:tcPr>
          <w:p>
            <w:pPr>
              <w:spacing w:after="0"/>
              <w:rPr>
                <w:sz w:val="19"/>
                <w:szCs w:val="19"/>
                <w:color w:val="auto"/>
              </w:rPr>
            </w:pPr>
          </w:p>
        </w:tc>
        <w:tc>
          <w:tcPr>
            <w:tcW w:w="1520" w:type="dxa"/>
            <w:vAlign w:val="bottom"/>
            <w:shd w:val="clear" w:color="auto" w:fill="53C072"/>
          </w:tcPr>
          <w:p>
            <w:pPr>
              <w:spacing w:after="0"/>
              <w:rPr>
                <w:sz w:val="19"/>
                <w:szCs w:val="19"/>
                <w:color w:val="auto"/>
              </w:rPr>
            </w:pPr>
          </w:p>
        </w:tc>
        <w:tc>
          <w:tcPr>
            <w:tcW w:w="180" w:type="dxa"/>
            <w:vAlign w:val="bottom"/>
            <w:shd w:val="clear" w:color="auto" w:fill="53C072"/>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80" w:type="dxa"/>
            <w:vAlign w:val="bottom"/>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160" w:type="dxa"/>
            <w:vAlign w:val="bottom"/>
            <w:shd w:val="clear" w:color="auto" w:fill="D8D8D8"/>
          </w:tcPr>
          <w:p>
            <w:pPr>
              <w:jc w:val="center"/>
              <w:ind w:right="133"/>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4"/>
                <w:szCs w:val="24"/>
                <w:color w:val="auto"/>
              </w:rPr>
            </w:pPr>
          </w:p>
        </w:tc>
        <w:tc>
          <w:tcPr>
            <w:tcW w:w="1520" w:type="dxa"/>
            <w:vAlign w:val="bottom"/>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80" w:type="dxa"/>
            <w:vAlign w:val="bottom"/>
            <w:shd w:val="clear" w:color="auto" w:fill="53C072"/>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00" w:type="dxa"/>
            <w:vAlign w:val="bottom"/>
            <w:gridSpan w:val="3"/>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36</w:t>
            </w:r>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60" w:type="dxa"/>
            <w:vAlign w:val="bottom"/>
            <w:tcBorders>
              <w:bottom w:val="single" w:sz="8" w:color="D8D8D8"/>
            </w:tcBorders>
            <w:shd w:val="clear" w:color="auto" w:fill="D8D8D8"/>
          </w:tcPr>
          <w:p>
            <w:pPr>
              <w:spacing w:after="0"/>
              <w:rPr>
                <w:sz w:val="10"/>
                <w:szCs w:val="10"/>
                <w:color w:val="auto"/>
              </w:rPr>
            </w:pPr>
          </w:p>
        </w:tc>
        <w:tc>
          <w:tcPr>
            <w:tcW w:w="116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0"/>
                <w:szCs w:val="10"/>
                <w:color w:val="auto"/>
              </w:rPr>
            </w:pPr>
          </w:p>
        </w:tc>
        <w:tc>
          <w:tcPr>
            <w:tcW w:w="1520" w:type="dxa"/>
            <w:vAlign w:val="bottom"/>
            <w:tcBorders>
              <w:bottom w:val="single" w:sz="8" w:color="53C072"/>
            </w:tcBorders>
            <w:vMerge w:val="continue"/>
            <w:shd w:val="clear" w:color="auto" w:fill="53C072"/>
          </w:tcPr>
          <w:p>
            <w:pPr>
              <w:spacing w:after="0"/>
              <w:rPr>
                <w:sz w:val="10"/>
                <w:szCs w:val="10"/>
                <w:color w:val="auto"/>
              </w:rPr>
            </w:pPr>
          </w:p>
        </w:tc>
        <w:tc>
          <w:tcPr>
            <w:tcW w:w="180" w:type="dxa"/>
            <w:vAlign w:val="bottom"/>
            <w:tcBorders>
              <w:bottom w:val="single" w:sz="8" w:color="53C072"/>
            </w:tcBorders>
            <w:shd w:val="clear" w:color="auto" w:fill="53C072"/>
          </w:tcPr>
          <w:p>
            <w:pPr>
              <w:spacing w:after="0"/>
              <w:rPr>
                <w:sz w:val="10"/>
                <w:szCs w:val="10"/>
                <w:color w:val="auto"/>
              </w:rPr>
            </w:pPr>
          </w:p>
        </w:tc>
        <w:tc>
          <w:tcPr>
            <w:tcW w:w="160" w:type="dxa"/>
            <w:vAlign w:val="bottom"/>
            <w:tcBorders>
              <w:bottom w:val="single" w:sz="8" w:color="D8D8D8"/>
            </w:tcBorders>
            <w:shd w:val="clear" w:color="auto" w:fill="D8D8D8"/>
          </w:tcPr>
          <w:p>
            <w:pPr>
              <w:spacing w:after="0"/>
              <w:rPr>
                <w:sz w:val="10"/>
                <w:szCs w:val="10"/>
                <w:color w:val="auto"/>
              </w:rPr>
            </w:pPr>
          </w:p>
        </w:tc>
        <w:tc>
          <w:tcPr>
            <w:tcW w:w="360" w:type="dxa"/>
            <w:vAlign w:val="bottom"/>
            <w:tcBorders>
              <w:bottom w:val="single" w:sz="8" w:color="D8D8D8"/>
            </w:tcBorders>
            <w:shd w:val="clear" w:color="auto" w:fill="D8D8D8"/>
          </w:tcPr>
          <w:p>
            <w:pPr>
              <w:spacing w:after="0"/>
              <w:rPr>
                <w:sz w:val="10"/>
                <w:szCs w:val="10"/>
                <w:color w:val="auto"/>
              </w:rPr>
            </w:pPr>
          </w:p>
        </w:tc>
        <w:tc>
          <w:tcPr>
            <w:tcW w:w="200" w:type="dxa"/>
            <w:vAlign w:val="bottom"/>
            <w:tcBorders>
              <w:bottom w:val="single" w:sz="8" w:color="0000EE"/>
            </w:tcBorders>
            <w:gridSpan w:val="3"/>
            <w:vMerge w:val="continue"/>
            <w:shd w:val="clear" w:color="auto" w:fill="D8D8D8"/>
          </w:tcPr>
          <w:p>
            <w:pPr>
              <w:spacing w:after="0"/>
              <w:rPr>
                <w:sz w:val="10"/>
                <w:szCs w:val="10"/>
                <w:color w:val="auto"/>
              </w:rPr>
            </w:pPr>
          </w:p>
        </w:tc>
        <w:tc>
          <w:tcPr>
            <w:tcW w:w="34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1160" w:type="dxa"/>
            <w:vAlign w:val="bottom"/>
            <w:vMerge w:val="continue"/>
            <w:shd w:val="clear" w:color="auto" w:fill="D8D8D8"/>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520" w:type="dxa"/>
            <w:vAlign w:val="bottom"/>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360" w:type="dxa"/>
            <w:vAlign w:val="bottom"/>
            <w:shd w:val="clear" w:color="auto" w:fill="D8D8D8"/>
          </w:tcPr>
          <w:p>
            <w:pPr>
              <w:spacing w:after="0"/>
              <w:rPr>
                <w:sz w:val="22"/>
                <w:szCs w:val="22"/>
                <w:color w:val="auto"/>
              </w:rPr>
            </w:pPr>
          </w:p>
        </w:tc>
        <w:tc>
          <w:tcPr>
            <w:tcW w:w="40" w:type="dxa"/>
            <w:vAlign w:val="bottom"/>
            <w:shd w:val="clear" w:color="auto" w:fill="D8D8D8"/>
          </w:tcPr>
          <w:p>
            <w:pPr>
              <w:spacing w:after="0"/>
              <w:rPr>
                <w:sz w:val="22"/>
                <w:szCs w:val="22"/>
                <w:color w:val="auto"/>
              </w:rPr>
            </w:pPr>
          </w:p>
        </w:tc>
        <w:tc>
          <w:tcPr>
            <w:tcW w:w="100" w:type="dxa"/>
            <w:vAlign w:val="bottom"/>
            <w:shd w:val="clear" w:color="auto" w:fill="D8D8D8"/>
          </w:tcPr>
          <w:p>
            <w:pPr>
              <w:spacing w:after="0"/>
              <w:rPr>
                <w:sz w:val="22"/>
                <w:szCs w:val="22"/>
                <w:color w:val="auto"/>
              </w:rPr>
            </w:pPr>
          </w:p>
        </w:tc>
        <w:tc>
          <w:tcPr>
            <w:tcW w:w="6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160" w:type="dxa"/>
            <w:vAlign w:val="bottom"/>
          </w:tcPr>
          <w:p>
            <w:pPr>
              <w:jc w:val="center"/>
              <w:ind w:right="133"/>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4"/>
                <w:szCs w:val="24"/>
                <w:color w:val="auto"/>
              </w:rPr>
            </w:pPr>
          </w:p>
        </w:tc>
        <w:tc>
          <w:tcPr>
            <w:tcW w:w="1520" w:type="dxa"/>
            <w:vAlign w:val="bottom"/>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w w:val="97"/>
              </w:rPr>
              <w:t>1 YEAR</w:t>
            </w:r>
          </w:p>
        </w:tc>
        <w:tc>
          <w:tcPr>
            <w:tcW w:w="180" w:type="dxa"/>
            <w:vAlign w:val="bottom"/>
            <w:shd w:val="clear" w:color="auto" w:fill="53C072"/>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900" w:type="dxa"/>
            <w:vAlign w:val="bottom"/>
            <w:gridSpan w:val="5"/>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69</w:t>
            </w:r>
          </w:p>
        </w:tc>
        <w:tc>
          <w:tcPr>
            <w:tcW w:w="0" w:type="dxa"/>
            <w:vAlign w:val="bottom"/>
          </w:tcPr>
          <w:p>
            <w:pPr>
              <w:spacing w:after="0"/>
              <w:rPr>
                <w:sz w:val="1"/>
                <w:szCs w:val="1"/>
                <w:color w:val="auto"/>
              </w:rPr>
            </w:pPr>
          </w:p>
        </w:tc>
      </w:tr>
      <w:tr>
        <w:trPr>
          <w:trHeight w:val="162"/>
        </w:trPr>
        <w:tc>
          <w:tcPr>
            <w:tcW w:w="1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160" w:type="dxa"/>
            <w:vAlign w:val="bottom"/>
          </w:tcPr>
          <w:p>
            <w:pPr>
              <w:ind w:left="60"/>
              <w:spacing w:after="0" w:line="149" w:lineRule="exact"/>
              <w:rPr>
                <w:sz w:val="20"/>
                <w:szCs w:val="20"/>
                <w:color w:val="auto"/>
              </w:rPr>
            </w:pPr>
            <w:r>
              <w:rPr>
                <w:rFonts w:ascii="Arial" w:cs="Arial" w:eastAsia="Arial" w:hAnsi="Arial"/>
                <w:sz w:val="12"/>
                <w:szCs w:val="12"/>
                <w:b w:val="1"/>
                <w:bCs w:val="1"/>
                <w:color w:val="auto"/>
              </w:rPr>
              <w:t>votes cast</w:t>
            </w:r>
            <w:r>
              <w:rPr>
                <w:rFonts w:ascii="Arial" w:cs="Arial" w:eastAsia="Arial" w:hAnsi="Arial"/>
                <w:sz w:val="17"/>
                <w:szCs w:val="17"/>
                <w:b w:val="1"/>
                <w:bCs w:val="1"/>
                <w:color w:val="auto"/>
              </w:rPr>
              <w:t>​</w:t>
            </w:r>
          </w:p>
        </w:tc>
        <w:tc>
          <w:tcPr>
            <w:tcW w:w="180" w:type="dxa"/>
            <w:vAlign w:val="bottom"/>
            <w:shd w:val="clear" w:color="auto" w:fill="53C072"/>
          </w:tcPr>
          <w:p>
            <w:pPr>
              <w:spacing w:after="0"/>
              <w:rPr>
                <w:sz w:val="14"/>
                <w:szCs w:val="14"/>
                <w:color w:val="auto"/>
              </w:rPr>
            </w:pPr>
          </w:p>
        </w:tc>
        <w:tc>
          <w:tcPr>
            <w:tcW w:w="1520" w:type="dxa"/>
            <w:vAlign w:val="bottom"/>
            <w:vMerge w:val="continue"/>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900" w:type="dxa"/>
            <w:vAlign w:val="bottom"/>
            <w:gridSpan w:val="5"/>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615"/>
        </w:trPr>
        <w:tc>
          <w:tcPr>
            <w:tcW w:w="180" w:type="dxa"/>
            <w:vAlign w:val="bottom"/>
            <w:tcBorders>
              <w:top w:val="single" w:sz="8" w:color="D8D8D8"/>
            </w:tcBorders>
            <w:shd w:val="clear" w:color="auto" w:fill="D8D8D8"/>
          </w:tcPr>
          <w:p>
            <w:pPr>
              <w:spacing w:after="0"/>
              <w:rPr>
                <w:sz w:val="24"/>
                <w:szCs w:val="24"/>
                <w:color w:val="auto"/>
              </w:rPr>
            </w:pPr>
          </w:p>
        </w:tc>
        <w:tc>
          <w:tcPr>
            <w:tcW w:w="160" w:type="dxa"/>
            <w:vAlign w:val="bottom"/>
            <w:tcBorders>
              <w:top w:val="single" w:sz="8" w:color="D8D8D8"/>
            </w:tcBorders>
            <w:shd w:val="clear" w:color="auto" w:fill="D8D8D8"/>
          </w:tcPr>
          <w:p>
            <w:pPr>
              <w:spacing w:after="0"/>
              <w:rPr>
                <w:sz w:val="24"/>
                <w:szCs w:val="24"/>
                <w:color w:val="auto"/>
              </w:rPr>
            </w:pPr>
          </w:p>
        </w:tc>
        <w:tc>
          <w:tcPr>
            <w:tcW w:w="1160" w:type="dxa"/>
            <w:vAlign w:val="bottom"/>
          </w:tcPr>
          <w:p>
            <w:pPr>
              <w:jc w:val="center"/>
              <w:ind w:right="133"/>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tcBorders>
              <w:top w:val="single" w:sz="8" w:color="53C072"/>
            </w:tcBorders>
            <w:shd w:val="clear" w:color="auto" w:fill="53C072"/>
          </w:tcPr>
          <w:p>
            <w:pPr>
              <w:spacing w:after="0"/>
              <w:rPr>
                <w:sz w:val="24"/>
                <w:szCs w:val="24"/>
                <w:color w:val="auto"/>
              </w:rPr>
            </w:pPr>
          </w:p>
        </w:tc>
        <w:tc>
          <w:tcPr>
            <w:tcW w:w="1520" w:type="dxa"/>
            <w:vAlign w:val="bottom"/>
            <w:tcBorders>
              <w:top w:val="single" w:sz="8" w:color="53C072"/>
            </w:tcBorders>
            <w:vMerge w:val="restart"/>
            <w:shd w:val="clear" w:color="auto" w:fill="53C072"/>
          </w:tcPr>
          <w:p>
            <w:pPr>
              <w:jc w:val="center"/>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80" w:type="dxa"/>
            <w:vAlign w:val="bottom"/>
            <w:tcBorders>
              <w:top w:val="single" w:sz="8" w:color="53C072"/>
            </w:tcBorders>
            <w:shd w:val="clear" w:color="auto" w:fill="53C072"/>
          </w:tcPr>
          <w:p>
            <w:pPr>
              <w:spacing w:after="0"/>
              <w:rPr>
                <w:sz w:val="24"/>
                <w:szCs w:val="24"/>
                <w:color w:val="auto"/>
              </w:rPr>
            </w:pPr>
          </w:p>
        </w:tc>
        <w:tc>
          <w:tcPr>
            <w:tcW w:w="160" w:type="dxa"/>
            <w:vAlign w:val="bottom"/>
            <w:tcBorders>
              <w:top w:val="single" w:sz="8" w:color="D8D8D8"/>
            </w:tcBorders>
            <w:shd w:val="clear" w:color="auto" w:fill="D8D8D8"/>
          </w:tcPr>
          <w:p>
            <w:pPr>
              <w:spacing w:after="0"/>
              <w:rPr>
                <w:sz w:val="24"/>
                <w:szCs w:val="24"/>
                <w:color w:val="auto"/>
              </w:rPr>
            </w:pPr>
          </w:p>
        </w:tc>
        <w:tc>
          <w:tcPr>
            <w:tcW w:w="360" w:type="dxa"/>
            <w:vAlign w:val="bottom"/>
            <w:tcBorders>
              <w:top w:val="single" w:sz="8" w:color="D8D8D8"/>
            </w:tcBorders>
            <w:shd w:val="clear" w:color="auto" w:fill="D8D8D8"/>
          </w:tcPr>
          <w:p>
            <w:pPr>
              <w:spacing w:after="0"/>
              <w:rPr>
                <w:sz w:val="24"/>
                <w:szCs w:val="24"/>
                <w:color w:val="auto"/>
              </w:rPr>
            </w:pPr>
          </w:p>
        </w:tc>
        <w:tc>
          <w:tcPr>
            <w:tcW w:w="200" w:type="dxa"/>
            <w:vAlign w:val="bottom"/>
            <w:tcBorders>
              <w:top w:val="single" w:sz="8" w:color="0000EE"/>
            </w:tcBorders>
            <w:gridSpan w:val="3"/>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70</w:t>
            </w:r>
          </w:p>
        </w:tc>
        <w:tc>
          <w:tcPr>
            <w:tcW w:w="340" w:type="dxa"/>
            <w:vAlign w:val="bottom"/>
            <w:tcBorders>
              <w:top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tcBorders>
              <w:bottom w:val="single" w:sz="8" w:color="D8D8D8"/>
            </w:tcBorders>
            <w:shd w:val="clear" w:color="auto" w:fill="D8D8D8"/>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1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2"/>
                <w:szCs w:val="12"/>
                <w:color w:val="auto"/>
              </w:rPr>
            </w:pPr>
          </w:p>
        </w:tc>
        <w:tc>
          <w:tcPr>
            <w:tcW w:w="1520" w:type="dxa"/>
            <w:vAlign w:val="bottom"/>
            <w:tcBorders>
              <w:bottom w:val="single" w:sz="8" w:color="53C072"/>
            </w:tcBorders>
            <w:vMerge w:val="continue"/>
            <w:shd w:val="clear" w:color="auto" w:fill="53C072"/>
          </w:tcPr>
          <w:p>
            <w:pPr>
              <w:spacing w:after="0"/>
              <w:rPr>
                <w:sz w:val="12"/>
                <w:szCs w:val="12"/>
                <w:color w:val="auto"/>
              </w:rPr>
            </w:pPr>
          </w:p>
        </w:tc>
        <w:tc>
          <w:tcPr>
            <w:tcW w:w="180" w:type="dxa"/>
            <w:vAlign w:val="bottom"/>
            <w:tcBorders>
              <w:bottom w:val="single" w:sz="8" w:color="53C072"/>
            </w:tcBorders>
            <w:shd w:val="clear" w:color="auto" w:fill="53C072"/>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36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0000EE"/>
            </w:tcBorders>
            <w:gridSpan w:val="3"/>
            <w:vMerge w:val="continue"/>
            <w:shd w:val="clear" w:color="auto" w:fill="D8D8D8"/>
          </w:tcPr>
          <w:p>
            <w:pPr>
              <w:spacing w:after="0"/>
              <w:rPr>
                <w:sz w:val="12"/>
                <w:szCs w:val="12"/>
                <w:color w:val="auto"/>
              </w:rPr>
            </w:pPr>
          </w:p>
        </w:tc>
        <w:tc>
          <w:tcPr>
            <w:tcW w:w="340" w:type="dxa"/>
            <w:vAlign w:val="bottom"/>
            <w:tcBorders>
              <w:bottom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1160" w:type="dxa"/>
            <w:vAlign w:val="bottom"/>
            <w:vMerge w:val="continue"/>
          </w:tcPr>
          <w:p>
            <w:pPr>
              <w:spacing w:after="0"/>
              <w:rPr>
                <w:sz w:val="20"/>
                <w:szCs w:val="20"/>
                <w:color w:val="auto"/>
              </w:rPr>
            </w:pPr>
          </w:p>
        </w:tc>
        <w:tc>
          <w:tcPr>
            <w:tcW w:w="180" w:type="dxa"/>
            <w:vAlign w:val="bottom"/>
            <w:shd w:val="clear" w:color="auto" w:fill="53C072"/>
          </w:tcPr>
          <w:p>
            <w:pPr>
              <w:spacing w:after="0"/>
              <w:rPr>
                <w:sz w:val="20"/>
                <w:szCs w:val="20"/>
                <w:color w:val="auto"/>
              </w:rPr>
            </w:pPr>
          </w:p>
        </w:tc>
        <w:tc>
          <w:tcPr>
            <w:tcW w:w="1520" w:type="dxa"/>
            <w:vAlign w:val="bottom"/>
            <w:shd w:val="clear" w:color="auto" w:fill="53C072"/>
          </w:tcPr>
          <w:p>
            <w:pPr>
              <w:spacing w:after="0"/>
              <w:rPr>
                <w:sz w:val="20"/>
                <w:szCs w:val="20"/>
                <w:color w:val="auto"/>
              </w:rPr>
            </w:pPr>
          </w:p>
        </w:tc>
        <w:tc>
          <w:tcPr>
            <w:tcW w:w="180" w:type="dxa"/>
            <w:vAlign w:val="bottom"/>
            <w:shd w:val="clear" w:color="auto" w:fill="53C072"/>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80" w:type="dxa"/>
            <w:vAlign w:val="bottom"/>
            <w:shd w:val="clear" w:color="auto" w:fill="D8D8D8"/>
          </w:tcPr>
          <w:p>
            <w:pPr>
              <w:spacing w:after="0"/>
              <w:rPr>
                <w:sz w:val="4"/>
                <w:szCs w:val="4"/>
                <w:color w:val="auto"/>
              </w:rPr>
            </w:pPr>
          </w:p>
        </w:tc>
        <w:tc>
          <w:tcPr>
            <w:tcW w:w="160" w:type="dxa"/>
            <w:vAlign w:val="bottom"/>
            <w:shd w:val="clear" w:color="auto" w:fill="D8D8D8"/>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shd w:val="clear" w:color="auto" w:fill="53C072"/>
          </w:tcPr>
          <w:p>
            <w:pPr>
              <w:spacing w:after="0"/>
              <w:rPr>
                <w:sz w:val="4"/>
                <w:szCs w:val="4"/>
                <w:color w:val="auto"/>
              </w:rPr>
            </w:pPr>
          </w:p>
        </w:tc>
        <w:tc>
          <w:tcPr>
            <w:tcW w:w="1520" w:type="dxa"/>
            <w:vAlign w:val="bottom"/>
            <w:shd w:val="clear" w:color="auto" w:fill="53C072"/>
          </w:tcPr>
          <w:p>
            <w:pPr>
              <w:spacing w:after="0"/>
              <w:rPr>
                <w:sz w:val="4"/>
                <w:szCs w:val="4"/>
                <w:color w:val="auto"/>
              </w:rPr>
            </w:pPr>
          </w:p>
        </w:tc>
        <w:tc>
          <w:tcPr>
            <w:tcW w:w="180" w:type="dxa"/>
            <w:vAlign w:val="bottom"/>
            <w:shd w:val="clear" w:color="auto" w:fill="53C072"/>
          </w:tcPr>
          <w:p>
            <w:pPr>
              <w:spacing w:after="0"/>
              <w:rPr>
                <w:sz w:val="4"/>
                <w:szCs w:val="4"/>
                <w:color w:val="auto"/>
              </w:rPr>
            </w:pPr>
          </w:p>
        </w:tc>
        <w:tc>
          <w:tcPr>
            <w:tcW w:w="160" w:type="dxa"/>
            <w:vAlign w:val="bottom"/>
            <w:shd w:val="clear" w:color="auto" w:fill="D8D8D8"/>
          </w:tcPr>
          <w:p>
            <w:pPr>
              <w:spacing w:after="0"/>
              <w:rPr>
                <w:sz w:val="4"/>
                <w:szCs w:val="4"/>
                <w:color w:val="auto"/>
              </w:rPr>
            </w:pPr>
          </w:p>
        </w:tc>
        <w:tc>
          <w:tcPr>
            <w:tcW w:w="360" w:type="dxa"/>
            <w:vAlign w:val="bottom"/>
            <w:shd w:val="clear" w:color="auto" w:fill="D8D8D8"/>
          </w:tcPr>
          <w:p>
            <w:pPr>
              <w:spacing w:after="0"/>
              <w:rPr>
                <w:sz w:val="4"/>
                <w:szCs w:val="4"/>
                <w:color w:val="auto"/>
              </w:rPr>
            </w:pPr>
          </w:p>
        </w:tc>
        <w:tc>
          <w:tcPr>
            <w:tcW w:w="4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0" w:type="dxa"/>
            <w:vAlign w:val="bottom"/>
            <w:shd w:val="clear" w:color="auto" w:fill="D8D8D8"/>
          </w:tcPr>
          <w:p>
            <w:pPr>
              <w:spacing w:after="0"/>
              <w:rPr>
                <w:sz w:val="4"/>
                <w:szCs w:val="4"/>
                <w:color w:val="auto"/>
              </w:rPr>
            </w:pPr>
          </w:p>
        </w:tc>
        <w:tc>
          <w:tcPr>
            <w:tcW w:w="34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-1447800</wp:posOffset>
            </wp:positionV>
            <wp:extent cx="2700655" cy="1457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00655" cy="1457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
            <w:col w:w="4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00"/>
        <w:spacing w:after="0"/>
        <w:rPr>
          <w:sz w:val="20"/>
          <w:szCs w:val="20"/>
          <w:color w:val="auto"/>
        </w:rPr>
      </w:pPr>
      <w:r>
        <w:rPr>
          <w:rFonts w:ascii="Arial" w:cs="Arial" w:eastAsia="Arial" w:hAnsi="Arial"/>
          <w:sz w:val="40"/>
          <w:szCs w:val="40"/>
          <w:b w:val="1"/>
          <w:bCs w:val="1"/>
          <w:color w:val="FEFEFE"/>
        </w:rPr>
        <w:t>PROPOSAL 1: ELECTION OF DIRECTORS</w:t>
      </w:r>
      <w:r>
        <w:rPr>
          <w:rFonts w:ascii="Arial" w:cs="Arial" w:eastAsia="Arial" w:hAnsi="Arial"/>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233045</wp:posOffset>
            </wp:positionV>
            <wp:extent cx="5554980" cy="771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all ten nominees listed below.</w:t>
      </w:r>
    </w:p>
    <w:p>
      <w:pPr>
        <w:spacing w:after="0" w:line="200" w:lineRule="exact"/>
        <w:rPr>
          <w:sz w:val="20"/>
          <w:szCs w:val="20"/>
          <w:color w:val="auto"/>
        </w:rPr>
      </w:pPr>
    </w:p>
    <w:p>
      <w:pPr>
        <w:spacing w:after="0" w:line="3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58" w:lineRule="exact"/>
        <w:rPr>
          <w:sz w:val="20"/>
          <w:szCs w:val="20"/>
          <w:color w:val="auto"/>
        </w:rPr>
      </w:pPr>
    </w:p>
    <w:p>
      <w:pPr>
        <w:ind w:left="1000" w:right="399"/>
        <w:spacing w:after="0" w:line="269" w:lineRule="auto"/>
        <w:rPr>
          <w:sz w:val="20"/>
          <w:szCs w:val="20"/>
          <w:color w:val="auto"/>
        </w:rPr>
      </w:pPr>
      <w:r>
        <w:rPr>
          <w:rFonts w:ascii="Arial" w:cs="Arial" w:eastAsia="Arial" w:hAnsi="Arial"/>
          <w:sz w:val="18"/>
          <w:szCs w:val="18"/>
          <w:color w:val="auto"/>
        </w:rPr>
        <w:t>Rodney C. Adkins, Carlo Bozotti, Brenda L. Freeman, Philip R. Gallagher, Jo Ann Jenkins, Oleg Khaykin, James A. Lawrence, Ernest E. Maddock, Avid Modjtabai, and Adalio T. Sanchez have been nominated for election as Directors at the Annual Meeting, to serve until the next annual meeting of shareholders and until their successors have been elected and qualified.</w:t>
      </w:r>
    </w:p>
    <w:p>
      <w:pPr>
        <w:spacing w:after="0" w:line="125" w:lineRule="exact"/>
        <w:rPr>
          <w:sz w:val="20"/>
          <w:szCs w:val="20"/>
          <w:color w:val="auto"/>
        </w:rPr>
      </w:pPr>
    </w:p>
    <w:p>
      <w:pPr>
        <w:ind w:left="1000" w:right="479"/>
        <w:spacing w:after="0" w:line="270" w:lineRule="auto"/>
        <w:rPr>
          <w:sz w:val="20"/>
          <w:szCs w:val="20"/>
          <w:color w:val="auto"/>
        </w:rPr>
      </w:pPr>
      <w:r>
        <w:rPr>
          <w:rFonts w:ascii="Arial" w:cs="Arial" w:eastAsia="Arial" w:hAnsi="Arial"/>
          <w:sz w:val="18"/>
          <w:szCs w:val="18"/>
          <w:color w:val="auto"/>
        </w:rPr>
        <w:t>All the nominees are presently serving as Directors of the Board. The Corporate Governance Committee recommended to the Board all the nominees for re-election. Each nominee has consented to being named herein and to serving if elected.</w:t>
      </w:r>
    </w:p>
    <w:p>
      <w:pPr>
        <w:spacing w:after="0" w:line="111" w:lineRule="exact"/>
        <w:rPr>
          <w:sz w:val="20"/>
          <w:szCs w:val="20"/>
          <w:color w:val="auto"/>
        </w:rPr>
      </w:pPr>
    </w:p>
    <w:p>
      <w:pPr>
        <w:ind w:left="1000" w:right="339"/>
        <w:spacing w:after="0" w:line="268" w:lineRule="auto"/>
        <w:rPr>
          <w:sz w:val="20"/>
          <w:szCs w:val="20"/>
          <w:color w:val="auto"/>
        </w:rPr>
      </w:pPr>
      <w:r>
        <w:rPr>
          <w:rFonts w:ascii="Arial" w:cs="Arial" w:eastAsia="Arial" w:hAnsi="Arial"/>
          <w:sz w:val="18"/>
          <w:szCs w:val="18"/>
          <w:color w:val="auto"/>
        </w:rPr>
        <w:t>If any nominee should become unavailable for election, either: (1) the persons named as proxies in the enclosed proxy card may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w:t>
      </w:r>
    </w:p>
    <w:p>
      <w:pPr>
        <w:spacing w:after="0" w:line="158" w:lineRule="exact"/>
        <w:rPr>
          <w:sz w:val="20"/>
          <w:szCs w:val="20"/>
          <w:color w:val="auto"/>
        </w:rPr>
      </w:pPr>
    </w:p>
    <w:p>
      <w:pPr>
        <w:ind w:left="1000" w:right="199"/>
        <w:spacing w:after="0" w:line="289" w:lineRule="auto"/>
        <w:rPr>
          <w:sz w:val="20"/>
          <w:szCs w:val="20"/>
          <w:color w:val="auto"/>
        </w:rPr>
      </w:pPr>
      <w:r>
        <w:rPr>
          <w:rFonts w:ascii="Arial" w:cs="Arial" w:eastAsia="Arial" w:hAnsi="Arial"/>
          <w:sz w:val="17"/>
          <w:szCs w:val="17"/>
          <w:color w:val="auto"/>
        </w:rPr>
        <w:t>To be elected, provided a quorum is present, each nominee must receive the affirmative vote of a majority of the votes cast with respect to his or her election.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Brokers who hold shares of Common Stock as nominees may not vote such shares for a Director nominee.</w:t>
      </w:r>
    </w:p>
    <w:p>
      <w:pPr>
        <w:spacing w:after="0" w:line="158" w:lineRule="exact"/>
        <w:rPr>
          <w:sz w:val="20"/>
          <w:szCs w:val="20"/>
          <w:color w:val="auto"/>
        </w:rPr>
      </w:pPr>
    </w:p>
    <w:p>
      <w:pPr>
        <w:ind w:left="1000" w:right="219"/>
        <w:spacing w:after="0" w:line="270"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58" w:lineRule="exact"/>
        <w:rPr>
          <w:sz w:val="20"/>
          <w:szCs w:val="20"/>
          <w:color w:val="auto"/>
        </w:rPr>
      </w:pPr>
    </w:p>
    <w:p>
      <w:pPr>
        <w:ind w:left="1000" w:right="259"/>
        <w:spacing w:after="0" w:line="291"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election of all ten nominees listed below.</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Nominees</w:t>
      </w:r>
    </w:p>
    <w:p>
      <w:pPr>
        <w:spacing w:after="0" w:line="172" w:lineRule="exact"/>
        <w:rPr>
          <w:sz w:val="20"/>
          <w:szCs w:val="20"/>
          <w:color w:val="auto"/>
        </w:rPr>
      </w:pPr>
    </w:p>
    <w:p>
      <w:pPr>
        <w:ind w:left="1000" w:right="219"/>
        <w:spacing w:after="0" w:line="269" w:lineRule="auto"/>
        <w:rPr>
          <w:sz w:val="20"/>
          <w:szCs w:val="20"/>
          <w:color w:val="auto"/>
        </w:rPr>
      </w:pPr>
      <w:r>
        <w:rPr>
          <w:rFonts w:ascii="Arial" w:cs="Arial" w:eastAsia="Arial" w:hAnsi="Arial"/>
          <w:sz w:val="18"/>
          <w:szCs w:val="18"/>
          <w:color w:val="auto"/>
        </w:rPr>
        <w:t>The following table sets forth the names and biographical information of the nominees as of September 18, 2023, including their age, principal occupation, the year they each first became a Director and the experience, qualifications, attributes, and skills that have led the Board to conclude that these nominees should serve as Directors of the Company.</w:t>
      </w:r>
    </w:p>
    <w:p>
      <w:pPr>
        <w:spacing w:after="0" w:line="200" w:lineRule="exact"/>
        <w:rPr>
          <w:sz w:val="20"/>
          <w:szCs w:val="20"/>
          <w:color w:val="auto"/>
        </w:rPr>
      </w:pP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1242695"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700" w:type="dxa"/>
            <w:vAlign w:val="bottom"/>
            <w:vMerge w:val="restart"/>
          </w:tcPr>
          <w:p>
            <w:pPr>
              <w:ind w:left="2660"/>
              <w:spacing w:after="0"/>
              <w:rPr>
                <w:sz w:val="20"/>
                <w:szCs w:val="20"/>
                <w:color w:val="auto"/>
              </w:rPr>
            </w:pPr>
            <w:r>
              <w:rPr>
                <w:rFonts w:ascii="Arial" w:cs="Arial" w:eastAsia="Arial" w:hAnsi="Arial"/>
                <w:sz w:val="14"/>
                <w:szCs w:val="14"/>
                <w:color w:val="auto"/>
              </w:rPr>
              <w:t>Proposal 1: Election of Directors</w:t>
            </w:r>
          </w:p>
        </w:tc>
        <w:tc>
          <w:tcPr>
            <w:tcW w:w="0" w:type="dxa"/>
            <w:vAlign w:val="bottom"/>
          </w:tcPr>
          <w:p>
            <w:pPr>
              <w:spacing w:after="0"/>
              <w:rPr>
                <w:sz w:val="1"/>
                <w:szCs w:val="1"/>
                <w:color w:val="auto"/>
              </w:rPr>
            </w:pPr>
          </w:p>
        </w:tc>
      </w:tr>
      <w:tr>
        <w:trPr>
          <w:trHeight w:val="84"/>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677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54980" cy="367728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r>
        <w:rPr>
          <w:rFonts w:ascii="Arial" w:cs="Arial" w:eastAsia="Arial" w:hAnsi="Arial"/>
          <w:sz w:val="17"/>
          <w:szCs w:val="17"/>
          <w:color w:val="auto"/>
        </w:rPr>
        <w:t>​</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ind w:left="1340" w:hanging="269"/>
        <w:spacing w:after="0" w:line="230" w:lineRule="auto"/>
        <w:tabs>
          <w:tab w:leader="none" w:pos="1340" w:val="left"/>
        </w:tabs>
        <w:numPr>
          <w:ilvl w:val="0"/>
          <w:numId w:val="15"/>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16" w:lineRule="exact"/>
        <w:rPr>
          <w:rFonts w:ascii="Arial" w:cs="Arial" w:eastAsia="Arial" w:hAnsi="Arial"/>
          <w:sz w:val="18"/>
          <w:szCs w:val="18"/>
          <w:color w:val="53C072"/>
        </w:rPr>
      </w:pPr>
    </w:p>
    <w:p>
      <w:pPr>
        <w:ind w:left="1340" w:hanging="269"/>
        <w:spacing w:after="0" w:line="199" w:lineRule="auto"/>
        <w:tabs>
          <w:tab w:leader="none" w:pos="1340" w:val="left"/>
        </w:tabs>
        <w:numPr>
          <w:ilvl w:val="0"/>
          <w:numId w:val="15"/>
        </w:numPr>
        <w:rPr>
          <w:rFonts w:ascii="Arial" w:cs="Arial" w:eastAsia="Arial" w:hAnsi="Arial"/>
          <w:sz w:val="18"/>
          <w:szCs w:val="18"/>
          <w:color w:val="53C072"/>
        </w:rPr>
      </w:pPr>
      <w:r>
        <w:rPr>
          <w:rFonts w:ascii="Arial" w:cs="Arial" w:eastAsia="Arial" w:hAnsi="Arial"/>
          <w:sz w:val="14"/>
          <w:szCs w:val="14"/>
          <w:color w:val="auto"/>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RODNEY C. ADKINS</w:t>
      </w:r>
      <w:r>
        <w:rPr>
          <w:sz w:val="20"/>
          <w:szCs w:val="20"/>
          <w:color w:val="auto"/>
        </w:rPr>
        <w:tab/>
      </w:r>
      <w:r>
        <w:rPr>
          <w:rFonts w:ascii="Arial" w:cs="Arial" w:eastAsia="Arial" w:hAnsi="Arial"/>
          <w:sz w:val="29"/>
          <w:szCs w:val="29"/>
          <w:color w:val="auto"/>
          <w:vertAlign w:val="superscript"/>
        </w:rPr>
        <w:t>​</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31" w:lineRule="exact"/>
        <w:rPr>
          <w:sz w:val="20"/>
          <w:szCs w:val="20"/>
          <w:color w:val="auto"/>
        </w:rPr>
      </w:pPr>
    </w:p>
    <w:p>
      <w:pPr>
        <w:ind w:left="180" w:right="299"/>
        <w:spacing w:after="0" w:line="248"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w:t>
      </w:r>
    </w:p>
    <w:p>
      <w:pPr>
        <w:spacing w:after="0" w:line="1" w:lineRule="exact"/>
        <w:rPr>
          <w:sz w:val="20"/>
          <w:szCs w:val="20"/>
          <w:color w:val="auto"/>
        </w:rPr>
      </w:pPr>
    </w:p>
    <w:p>
      <w:pPr>
        <w:ind w:left="180" w:right="519"/>
        <w:spacing w:after="0"/>
        <w:rPr>
          <w:sz w:val="20"/>
          <w:szCs w:val="20"/>
          <w:color w:val="auto"/>
        </w:rPr>
      </w:pPr>
      <w:r>
        <w:rPr>
          <w:rFonts w:ascii="Arial" w:cs="Arial" w:eastAsia="Arial" w:hAnsi="Arial"/>
          <w:sz w:val="17"/>
          <w:szCs w:val="17"/>
          <w:color w:val="auto"/>
        </w:rPr>
        <w:t>held company specializing in capital investments, business consulting services, and property management. Mr. Adkins formerly served as Senior</w:t>
      </w:r>
    </w:p>
    <w:p>
      <w:pPr>
        <w:ind w:left="180"/>
        <w:spacing w:after="0" w:line="235" w:lineRule="auto"/>
        <w:rPr>
          <w:sz w:val="20"/>
          <w:szCs w:val="20"/>
          <w:color w:val="auto"/>
        </w:rPr>
      </w:pPr>
      <w:r>
        <w:rPr>
          <w:rFonts w:ascii="Arial" w:cs="Arial" w:eastAsia="Arial" w:hAnsi="Arial"/>
          <w:sz w:val="18"/>
          <w:szCs w:val="18"/>
          <w:color w:val="auto"/>
        </w:rPr>
        <w:t>Vice President of IBM from 2007 until 2014. In his 33-year career with IBM,</w:t>
      </w:r>
    </w:p>
    <w:p>
      <w:pPr>
        <w:ind w:left="180" w:right="419"/>
        <w:spacing w:after="0"/>
        <w:rPr>
          <w:sz w:val="20"/>
          <w:szCs w:val="20"/>
          <w:color w:val="auto"/>
        </w:rPr>
      </w:pPr>
      <w:r>
        <w:rPr>
          <w:rFonts w:ascii="Arial" w:cs="Arial" w:eastAsia="Arial" w:hAnsi="Arial"/>
          <w:sz w:val="17"/>
          <w:szCs w:val="17"/>
          <w:color w:val="auto"/>
        </w:rPr>
        <w:t>Mr. Adkins held a number of development and management roles, including Senior Vice President of Corporate Strategy from 2013 to 2014 and Senior</w:t>
      </w:r>
    </w:p>
    <w:p>
      <w:pPr>
        <w:ind w:left="180"/>
        <w:spacing w:after="0" w:line="235" w:lineRule="auto"/>
        <w:rPr>
          <w:sz w:val="20"/>
          <w:szCs w:val="20"/>
          <w:color w:val="auto"/>
        </w:rPr>
      </w:pPr>
      <w:r>
        <w:rPr>
          <w:rFonts w:ascii="Arial" w:cs="Arial" w:eastAsia="Arial" w:hAnsi="Arial"/>
          <w:sz w:val="18"/>
          <w:szCs w:val="18"/>
          <w:color w:val="auto"/>
        </w:rPr>
        <w:t>Vice President of Systems and Technology Group from 2009 to 2013.</w:t>
      </w:r>
    </w:p>
    <w:p>
      <w:pPr>
        <w:jc w:val="both"/>
        <w:ind w:left="180" w:right="259"/>
        <w:spacing w:after="0"/>
        <w:rPr>
          <w:sz w:val="20"/>
          <w:szCs w:val="20"/>
          <w:color w:val="auto"/>
        </w:rPr>
      </w:pPr>
      <w:r>
        <w:rPr>
          <w:rFonts w:ascii="Arial" w:cs="Arial" w:eastAsia="Arial" w:hAnsi="Arial"/>
          <w:sz w:val="17"/>
          <w:szCs w:val="17"/>
          <w:color w:val="auto"/>
        </w:rPr>
        <w:t>Mr. Adkins currently serves on the board of directors of United Parcel Service, Inc. (NYSE: UPS); W.W. Grainger, Inc. (NYSE: GWW), and PayPal Holdings,</w:t>
      </w:r>
    </w:p>
    <w:p>
      <w:pPr>
        <w:ind w:left="180"/>
        <w:spacing w:after="0" w:line="235" w:lineRule="auto"/>
        <w:rPr>
          <w:sz w:val="20"/>
          <w:szCs w:val="20"/>
          <w:color w:val="auto"/>
        </w:rPr>
      </w:pPr>
      <w:r>
        <w:rPr>
          <w:rFonts w:ascii="Arial" w:cs="Arial" w:eastAsia="Arial" w:hAnsi="Arial"/>
          <w:sz w:val="18"/>
          <w:szCs w:val="18"/>
          <w:color w:val="auto"/>
        </w:rPr>
        <w:t>Inc. (Nasdaq: PYPL). From 2007 to 2013, he served on the board of directors</w:t>
      </w:r>
    </w:p>
    <w:p>
      <w:pPr>
        <w:ind w:left="180"/>
        <w:spacing w:after="0" w:line="219" w:lineRule="auto"/>
        <w:rPr>
          <w:sz w:val="20"/>
          <w:szCs w:val="20"/>
          <w:color w:val="auto"/>
        </w:rPr>
      </w:pPr>
      <w:r>
        <w:rPr>
          <w:rFonts w:ascii="Arial" w:cs="Arial" w:eastAsia="Arial" w:hAnsi="Arial"/>
          <w:sz w:val="18"/>
          <w:szCs w:val="18"/>
          <w:color w:val="auto"/>
        </w:rPr>
        <w:t>of Pitney Bowes Inc. (NYSE: PBI) and from 2014 to 2019, he served on board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directors of PPL Corporation (NYSE: PPL).</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63"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Technology/Digital Media</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Industry</w:t>
      </w:r>
    </w:p>
    <w:p>
      <w:pPr>
        <w:spacing w:after="0" w:line="63" w:lineRule="exact"/>
        <w:rPr>
          <w:sz w:val="20"/>
          <w:szCs w:val="20"/>
          <w:color w:val="auto"/>
        </w:rPr>
      </w:pPr>
    </w:p>
    <w:p>
      <w:pPr>
        <w:ind w:left="500" w:hanging="326"/>
        <w:spacing w:after="0"/>
        <w:tabs>
          <w:tab w:leader="none" w:pos="500" w:val="left"/>
        </w:tabs>
        <w:numPr>
          <w:ilvl w:val="0"/>
          <w:numId w:val="16"/>
        </w:numPr>
        <w:rPr>
          <w:rFonts w:ascii="Arial" w:cs="Arial" w:eastAsia="Arial" w:hAnsi="Arial"/>
          <w:sz w:val="18"/>
          <w:szCs w:val="18"/>
          <w:color w:val="53C072"/>
        </w:rPr>
      </w:pPr>
      <w:r>
        <w:rPr>
          <w:rFonts w:ascii="Arial" w:cs="Arial" w:eastAsia="Arial" w:hAnsi="Arial"/>
          <w:sz w:val="18"/>
          <w:szCs w:val="18"/>
          <w:color w:val="auto"/>
        </w:rPr>
        <w:t>Risk Management</w:t>
      </w:r>
    </w:p>
    <w:p>
      <w:pPr>
        <w:spacing w:after="0" w:line="63" w:lineRule="exact"/>
        <w:rPr>
          <w:sz w:val="20"/>
          <w:szCs w:val="20"/>
          <w:color w:val="auto"/>
        </w:rPr>
      </w:pPr>
    </w:p>
    <w:p>
      <w:pPr>
        <w:ind w:left="180" w:right="859"/>
        <w:spacing w:after="0" w:line="255" w:lineRule="auto"/>
        <w:rPr>
          <w:sz w:val="20"/>
          <w:szCs w:val="20"/>
          <w:color w:val="auto"/>
        </w:rPr>
      </w:pPr>
      <w:r>
        <w:rPr>
          <w:rFonts w:ascii="Arial" w:cs="Arial" w:eastAsia="Arial" w:hAnsi="Arial"/>
          <w:sz w:val="17"/>
          <w:szCs w:val="17"/>
          <w:color w:val="auto"/>
        </w:rPr>
        <w:t>The Board benefits from Mr. Adkins’ global business experience in the technology industry, including emerging technologies and services,</w:t>
      </w:r>
    </w:p>
    <w:p>
      <w:pPr>
        <w:spacing w:after="0" w:line="2" w:lineRule="exact"/>
        <w:rPr>
          <w:sz w:val="20"/>
          <w:szCs w:val="20"/>
          <w:color w:val="auto"/>
        </w:rPr>
      </w:pPr>
    </w:p>
    <w:p>
      <w:pPr>
        <w:ind w:left="180" w:right="299"/>
        <w:spacing w:after="0"/>
        <w:rPr>
          <w:sz w:val="20"/>
          <w:szCs w:val="20"/>
          <w:color w:val="auto"/>
        </w:rPr>
      </w:pPr>
      <w:r>
        <w:rPr>
          <w:rFonts w:ascii="Arial" w:cs="Arial" w:eastAsia="Arial" w:hAnsi="Arial"/>
          <w:sz w:val="17"/>
          <w:szCs w:val="17"/>
          <w:color w:val="auto"/>
        </w:rPr>
        <w:t>international and emerging markets, and supply chain management. In addition, the Board believes he provides additional experience in the areas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governance, strategy development, and 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237490</wp:posOffset>
            </wp:positionV>
            <wp:extent cx="5554980" cy="3583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54980" cy="3583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500"/>
            <w:col w:w="6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r>
        <w:rPr>
          <w:rFonts w:ascii="Arial" w:cs="Arial" w:eastAsia="Arial" w:hAnsi="Arial"/>
          <w:sz w:val="17"/>
          <w:szCs w:val="17"/>
          <w:color w:val="auto"/>
        </w:rPr>
        <w:t>​</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32" w:lineRule="exact"/>
        <w:rPr>
          <w:sz w:val="20"/>
          <w:szCs w:val="20"/>
          <w:color w:val="auto"/>
        </w:rPr>
      </w:pPr>
    </w:p>
    <w:p>
      <w:pPr>
        <w:ind w:left="1340" w:hanging="269"/>
        <w:spacing w:after="0"/>
        <w:tabs>
          <w:tab w:leader="none" w:pos="1340" w:val="left"/>
        </w:tabs>
        <w:numPr>
          <w:ilvl w:val="0"/>
          <w:numId w:val="17"/>
        </w:numPr>
        <w:rPr>
          <w:rFonts w:ascii="Arial" w:cs="Arial" w:eastAsia="Arial" w:hAnsi="Arial"/>
          <w:sz w:val="14"/>
          <w:szCs w:val="14"/>
          <w:color w:val="53C072"/>
        </w:rPr>
      </w:pPr>
      <w:r>
        <w:rPr>
          <w:rFonts w:ascii="Arial" w:cs="Arial" w:eastAsia="Arial" w:hAnsi="Arial"/>
          <w:sz w:val="14"/>
          <w:szCs w:val="14"/>
          <w:color w:val="auto"/>
        </w:rPr>
        <w:t>Audit (Chair)</w:t>
      </w:r>
    </w:p>
    <w:p>
      <w:pPr>
        <w:spacing w:after="0" w:line="28" w:lineRule="exact"/>
        <w:rPr>
          <w:rFonts w:ascii="Arial" w:cs="Arial" w:eastAsia="Arial" w:hAnsi="Arial"/>
          <w:sz w:val="14"/>
          <w:szCs w:val="14"/>
          <w:color w:val="53C072"/>
        </w:rPr>
      </w:pPr>
    </w:p>
    <w:p>
      <w:pPr>
        <w:ind w:left="1340" w:hanging="269"/>
        <w:spacing w:after="0"/>
        <w:tabs>
          <w:tab w:leader="none" w:pos="1340" w:val="left"/>
        </w:tabs>
        <w:numPr>
          <w:ilvl w:val="0"/>
          <w:numId w:val="17"/>
        </w:numPr>
        <w:rPr>
          <w:rFonts w:ascii="Arial" w:cs="Arial" w:eastAsia="Arial" w:hAnsi="Arial"/>
          <w:sz w:val="14"/>
          <w:szCs w:val="14"/>
          <w:color w:val="53C072"/>
        </w:rPr>
      </w:pPr>
      <w:r>
        <w:rPr>
          <w:rFonts w:ascii="Arial" w:cs="Arial" w:eastAsia="Arial" w:hAnsi="Arial"/>
          <w:sz w:val="14"/>
          <w:szCs w:val="14"/>
          <w:color w:val="auto"/>
        </w:rPr>
        <w:t>Finance</w:t>
      </w:r>
    </w:p>
    <w:p>
      <w:pPr>
        <w:spacing w:after="0" w:line="41" w:lineRule="exact"/>
        <w:rPr>
          <w:rFonts w:ascii="Arial" w:cs="Arial" w:eastAsia="Arial" w:hAnsi="Arial"/>
          <w:sz w:val="14"/>
          <w:szCs w:val="14"/>
          <w:color w:val="53C072"/>
        </w:rPr>
      </w:pPr>
    </w:p>
    <w:p>
      <w:pPr>
        <w:ind w:left="1340" w:hanging="269"/>
        <w:spacing w:after="0"/>
        <w:tabs>
          <w:tab w:leader="none" w:pos="1340" w:val="left"/>
        </w:tabs>
        <w:numPr>
          <w:ilvl w:val="0"/>
          <w:numId w:val="17"/>
        </w:numPr>
        <w:rPr>
          <w:rFonts w:ascii="Arial" w:cs="Arial" w:eastAsia="Arial" w:hAnsi="Arial"/>
          <w:sz w:val="14"/>
          <w:szCs w:val="14"/>
          <w:color w:val="53C072"/>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CARLO BOZOTTI</w:t>
      </w:r>
      <w:r>
        <w:rPr>
          <w:sz w:val="20"/>
          <w:szCs w:val="20"/>
          <w:color w:val="auto"/>
        </w:rPr>
        <w:tab/>
      </w:r>
      <w:r>
        <w:rPr>
          <w:rFonts w:ascii="Arial" w:cs="Arial" w:eastAsia="Arial" w:hAnsi="Arial"/>
          <w:sz w:val="29"/>
          <w:szCs w:val="29"/>
          <w:color w:val="auto"/>
          <w:vertAlign w:val="superscript"/>
        </w:rPr>
        <w:t>​</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31" w:lineRule="exact"/>
        <w:rPr>
          <w:sz w:val="20"/>
          <w:szCs w:val="20"/>
          <w:color w:val="auto"/>
        </w:rPr>
      </w:pPr>
    </w:p>
    <w:p>
      <w:pPr>
        <w:ind w:left="180" w:right="419"/>
        <w:spacing w:after="0" w:line="234" w:lineRule="auto"/>
        <w:rPr>
          <w:sz w:val="20"/>
          <w:szCs w:val="20"/>
          <w:color w:val="auto"/>
        </w:rPr>
      </w:pPr>
      <w:r>
        <w:rPr>
          <w:rFonts w:ascii="Arial" w:cs="Arial" w:eastAsia="Arial" w:hAnsi="Arial"/>
          <w:sz w:val="18"/>
          <w:szCs w:val="18"/>
          <w:color w:val="auto"/>
        </w:rPr>
        <w:t>Mr. Bozotti has been an Industrial Partner of FSI since June 2018. FSI is an independent private equity firm based in Milan, Italy that is currently</w:t>
      </w:r>
    </w:p>
    <w:p>
      <w:pPr>
        <w:spacing w:after="0" w:line="1" w:lineRule="exact"/>
        <w:rPr>
          <w:sz w:val="20"/>
          <w:szCs w:val="20"/>
          <w:color w:val="auto"/>
        </w:rPr>
      </w:pPr>
    </w:p>
    <w:p>
      <w:pPr>
        <w:ind w:left="180" w:right="379"/>
        <w:spacing w:after="0"/>
        <w:rPr>
          <w:sz w:val="20"/>
          <w:szCs w:val="20"/>
          <w:color w:val="auto"/>
        </w:rPr>
      </w:pPr>
      <w:r>
        <w:rPr>
          <w:rFonts w:ascii="Arial" w:cs="Arial" w:eastAsia="Arial" w:hAnsi="Arial"/>
          <w:sz w:val="17"/>
          <w:szCs w:val="17"/>
          <w:color w:val="auto"/>
        </w:rPr>
        <w:t>managing the fund FSI I and II, two of the largest European country-focused private equity funds. He served as the President and Chief Executive Officer</w:t>
      </w:r>
    </w:p>
    <w:p>
      <w:pPr>
        <w:ind w:left="180"/>
        <w:spacing w:after="0" w:line="235" w:lineRule="auto"/>
        <w:rPr>
          <w:sz w:val="20"/>
          <w:szCs w:val="20"/>
          <w:color w:val="auto"/>
        </w:rPr>
      </w:pPr>
      <w:r>
        <w:rPr>
          <w:rFonts w:ascii="Arial" w:cs="Arial" w:eastAsia="Arial" w:hAnsi="Arial"/>
          <w:sz w:val="18"/>
          <w:szCs w:val="18"/>
          <w:color w:val="auto"/>
        </w:rPr>
        <w:t>and Sole Member of the Management Board of STMicroelectronics NV</w:t>
      </w:r>
    </w:p>
    <w:p>
      <w:pPr>
        <w:ind w:left="180" w:right="839"/>
        <w:spacing w:after="0"/>
        <w:rPr>
          <w:sz w:val="20"/>
          <w:szCs w:val="20"/>
          <w:color w:val="auto"/>
        </w:rPr>
      </w:pPr>
      <w:r>
        <w:rPr>
          <w:rFonts w:ascii="Arial" w:cs="Arial" w:eastAsia="Arial" w:hAnsi="Arial"/>
          <w:sz w:val="17"/>
          <w:szCs w:val="17"/>
          <w:color w:val="auto"/>
        </w:rPr>
        <w:t>(ENXTPA: STM), a global semiconductor company, from 2005 until his retirement in May 2018. Prior to that, he served in various roles with</w:t>
      </w:r>
    </w:p>
    <w:p>
      <w:pPr>
        <w:ind w:left="180"/>
        <w:spacing w:after="0" w:line="235" w:lineRule="auto"/>
        <w:rPr>
          <w:sz w:val="20"/>
          <w:szCs w:val="20"/>
          <w:color w:val="auto"/>
        </w:rPr>
      </w:pPr>
      <w:r>
        <w:rPr>
          <w:rFonts w:ascii="Arial" w:cs="Arial" w:eastAsia="Arial" w:hAnsi="Arial"/>
          <w:sz w:val="18"/>
          <w:szCs w:val="18"/>
          <w:color w:val="auto"/>
        </w:rPr>
        <w:t>STMicroelectronics since 1977, including senior executive officer and global</w:t>
      </w:r>
    </w:p>
    <w:p>
      <w:pPr>
        <w:ind w:left="180" w:right="499"/>
        <w:spacing w:after="0"/>
        <w:rPr>
          <w:sz w:val="20"/>
          <w:szCs w:val="20"/>
          <w:color w:val="auto"/>
        </w:rPr>
      </w:pPr>
      <w:r>
        <w:rPr>
          <w:rFonts w:ascii="Arial" w:cs="Arial" w:eastAsia="Arial" w:hAnsi="Arial"/>
          <w:sz w:val="17"/>
          <w:szCs w:val="17"/>
          <w:color w:val="auto"/>
        </w:rPr>
        <w:t>general management roles. From 2008 to 2010, Mr. Bozotti also served as Chairman of Numonyx, a memory products joint venture between Intel and</w:t>
      </w:r>
    </w:p>
    <w:p>
      <w:pPr>
        <w:ind w:left="180"/>
        <w:spacing w:after="0" w:line="235" w:lineRule="auto"/>
        <w:rPr>
          <w:sz w:val="20"/>
          <w:szCs w:val="20"/>
          <w:color w:val="auto"/>
        </w:rPr>
      </w:pPr>
      <w:r>
        <w:rPr>
          <w:rFonts w:ascii="Arial" w:cs="Arial" w:eastAsia="Arial" w:hAnsi="Arial"/>
          <w:sz w:val="18"/>
          <w:szCs w:val="18"/>
          <w:color w:val="auto"/>
        </w:rPr>
        <w:t>STMicroelectronics. He had been a member of the European Round Table of</w:t>
      </w:r>
    </w:p>
    <w:p>
      <w:pPr>
        <w:ind w:left="180" w:right="399"/>
        <w:spacing w:after="0"/>
        <w:rPr>
          <w:sz w:val="20"/>
          <w:szCs w:val="20"/>
          <w:color w:val="auto"/>
        </w:rPr>
      </w:pPr>
      <w:r>
        <w:rPr>
          <w:rFonts w:ascii="Arial" w:cs="Arial" w:eastAsia="Arial" w:hAnsi="Arial"/>
          <w:sz w:val="17"/>
          <w:szCs w:val="17"/>
          <w:color w:val="auto"/>
        </w:rPr>
        <w:t>Industrialists, an advocacy group in the European Union consisting of approximately 50 European industrial leaders, from 2005 to 2018. Currently,</w:t>
      </w:r>
    </w:p>
    <w:p>
      <w:pPr>
        <w:ind w:left="180"/>
        <w:spacing w:after="0" w:line="235" w:lineRule="auto"/>
        <w:rPr>
          <w:sz w:val="20"/>
          <w:szCs w:val="20"/>
          <w:color w:val="auto"/>
        </w:rPr>
      </w:pPr>
      <w:r>
        <w:rPr>
          <w:rFonts w:ascii="Arial" w:cs="Arial" w:eastAsia="Arial" w:hAnsi="Arial"/>
          <w:sz w:val="18"/>
          <w:szCs w:val="18"/>
          <w:color w:val="auto"/>
        </w:rPr>
        <w:t>he serves as a member of the Supervisory Board of BE Semiconductor</w:t>
      </w:r>
    </w:p>
    <w:p>
      <w:pPr>
        <w:ind w:left="180" w:right="519"/>
        <w:spacing w:after="0" w:line="235" w:lineRule="auto"/>
        <w:rPr>
          <w:sz w:val="20"/>
          <w:szCs w:val="20"/>
          <w:color w:val="auto"/>
        </w:rPr>
      </w:pPr>
      <w:r>
        <w:rPr>
          <w:rFonts w:ascii="Arial" w:cs="Arial" w:eastAsia="Arial" w:hAnsi="Arial"/>
          <w:sz w:val="18"/>
          <w:szCs w:val="18"/>
          <w:color w:val="auto"/>
        </w:rPr>
        <w:t>Industries NV, known as Besi (AMS: BESI), a leading supplier of assembly equipment for global semiconductor and electronics industries.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Finance</w:t>
      </w:r>
    </w:p>
    <w:p>
      <w:pPr>
        <w:spacing w:after="0" w:line="63" w:lineRule="exact"/>
        <w:rPr>
          <w:sz w:val="20"/>
          <w:szCs w:val="20"/>
          <w:color w:val="auto"/>
        </w:rPr>
      </w:pPr>
    </w:p>
    <w:p>
      <w:pPr>
        <w:ind w:left="180" w:right="519"/>
        <w:spacing w:after="0" w:line="255" w:lineRule="auto"/>
        <w:rPr>
          <w:sz w:val="20"/>
          <w:szCs w:val="20"/>
          <w:color w:val="auto"/>
        </w:rPr>
      </w:pPr>
      <w:r>
        <w:rPr>
          <w:rFonts w:ascii="Arial" w:cs="Arial" w:eastAsia="Arial" w:hAnsi="Arial"/>
          <w:sz w:val="17"/>
          <w:szCs w:val="17"/>
          <w:color w:val="auto"/>
        </w:rPr>
        <w:t>The Board benefits from Mr. Bozotti’s extensive experience in the semiconductor industry as well as his strong experience in technology and</w:t>
      </w:r>
    </w:p>
    <w:p>
      <w:pPr>
        <w:spacing w:after="0" w:line="2" w:lineRule="exact"/>
        <w:rPr>
          <w:sz w:val="20"/>
          <w:szCs w:val="20"/>
          <w:color w:val="auto"/>
        </w:rPr>
      </w:pPr>
    </w:p>
    <w:p>
      <w:pPr>
        <w:ind w:left="180" w:right="359"/>
        <w:spacing w:after="0" w:line="235" w:lineRule="auto"/>
        <w:rPr>
          <w:sz w:val="20"/>
          <w:szCs w:val="20"/>
          <w:color w:val="auto"/>
        </w:rPr>
      </w:pPr>
      <w:r>
        <w:rPr>
          <w:rFonts w:ascii="Arial" w:cs="Arial" w:eastAsia="Arial" w:hAnsi="Arial"/>
          <w:sz w:val="18"/>
          <w:szCs w:val="18"/>
          <w:color w:val="auto"/>
        </w:rPr>
        <w:t>innovation, finance, global business, corporate leadership and management, sales and marketing, and risk oversight.</w:t>
      </w:r>
    </w:p>
    <w:p>
      <w:pPr>
        <w:spacing w:after="0" w:line="200" w:lineRule="exact"/>
        <w:rPr>
          <w:sz w:val="20"/>
          <w:szCs w:val="20"/>
          <w:color w:val="auto"/>
        </w:rPr>
      </w:pPr>
    </w:p>
    <w:p>
      <w:pPr>
        <w:sectPr>
          <w:pgSz w:w="11900" w:h="16838" w:orient="portrait"/>
          <w:cols w:equalWidth="0" w:num="2">
            <w:col w:w="2580" w:space="720"/>
            <w:col w:w="6579"/>
          </w:cols>
          <w:pgMar w:left="580" w:top="90" w:right="1440" w:bottom="1440" w:gutter="0" w:footer="0" w:header="0"/>
          <w:type w:val="continuous"/>
        </w:sectPr>
      </w:pPr>
    </w:p>
    <w:p>
      <w:pPr>
        <w:spacing w:after="0" w:line="191"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8" w:lineRule="exact"/>
        <w:rPr>
          <w:sz w:val="20"/>
          <w:szCs w:val="20"/>
          <w:color w:val="auto"/>
        </w:rPr>
      </w:pPr>
    </w:p>
    <w:p>
      <w:pPr>
        <w:ind w:left="1340" w:hanging="269"/>
        <w:spacing w:after="0"/>
        <w:tabs>
          <w:tab w:leader="none" w:pos="1340" w:val="left"/>
        </w:tabs>
        <w:numPr>
          <w:ilvl w:val="0"/>
          <w:numId w:val="18"/>
        </w:numPr>
        <w:rPr>
          <w:rFonts w:ascii="Arial" w:cs="Arial" w:eastAsia="Arial" w:hAnsi="Arial"/>
          <w:sz w:val="18"/>
          <w:szCs w:val="18"/>
          <w:color w:val="53C072"/>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3C072"/>
        </w:rPr>
      </w:pPr>
    </w:p>
    <w:p>
      <w:pPr>
        <w:ind w:left="1340" w:hanging="269"/>
        <w:spacing w:after="0"/>
        <w:tabs>
          <w:tab w:leader="none" w:pos="1340" w:val="left"/>
        </w:tabs>
        <w:numPr>
          <w:ilvl w:val="0"/>
          <w:numId w:val="18"/>
        </w:numPr>
        <w:rPr>
          <w:rFonts w:ascii="Arial" w:cs="Arial" w:eastAsia="Arial" w:hAnsi="Arial"/>
          <w:sz w:val="18"/>
          <w:szCs w:val="18"/>
          <w:color w:val="53C072"/>
        </w:rPr>
      </w:pPr>
      <w:r>
        <w:rPr>
          <w:rFonts w:ascii="Arial" w:cs="Arial" w:eastAsia="Arial" w:hAnsi="Arial"/>
          <w:sz w:val="14"/>
          <w:szCs w:val="14"/>
          <w:color w:val="auto"/>
        </w:rPr>
        <w:t>Corporate Governance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20" w:type="dxa"/>
            <w:vAlign w:val="bottom"/>
            <w:gridSpan w:val="2"/>
          </w:tcPr>
          <w:p>
            <w:pPr>
              <w:ind w:left="980"/>
              <w:spacing w:after="0"/>
              <w:rPr>
                <w:sz w:val="20"/>
                <w:szCs w:val="20"/>
                <w:color w:val="auto"/>
              </w:rPr>
            </w:pPr>
            <w:r>
              <w:rPr>
                <w:rFonts w:ascii="Arial" w:cs="Arial" w:eastAsia="Arial" w:hAnsi="Arial"/>
                <w:sz w:val="14"/>
                <w:szCs w:val="14"/>
                <w:color w:val="auto"/>
              </w:rPr>
              <w:t>Proposal 1: Election of Directors</w:t>
            </w:r>
          </w:p>
        </w:tc>
      </w:tr>
      <w:tr>
        <w:trPr>
          <w:trHeight w:val="627"/>
        </w:trPr>
        <w:tc>
          <w:tcPr>
            <w:tcW w:w="180" w:type="dxa"/>
            <w:vAlign w:val="bottom"/>
            <w:gridSpan w:val="2"/>
          </w:tcPr>
          <w:p>
            <w:pPr>
              <w:spacing w:after="0"/>
              <w:rPr>
                <w:sz w:val="24"/>
                <w:szCs w:val="24"/>
                <w:color w:val="auto"/>
              </w:rPr>
            </w:pPr>
          </w:p>
        </w:tc>
        <w:tc>
          <w:tcPr>
            <w:tcW w:w="3240" w:type="dxa"/>
            <w:vAlign w:val="bottom"/>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363"/>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324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22"/>
                <w:szCs w:val="22"/>
                <w:b w:val="1"/>
                <w:bCs w:val="1"/>
                <w:color w:val="FEFEFE"/>
              </w:rPr>
              <w:t>BRENDA L. FREEMAN</w:t>
            </w:r>
          </w:p>
        </w:tc>
        <w:tc>
          <w:tcPr>
            <w:tcW w:w="3000" w:type="dxa"/>
            <w:vAlign w:val="bottom"/>
            <w:tcBorders>
              <w:top w:val="single" w:sz="8" w:color="53C072"/>
            </w:tcBorders>
            <w:shd w:val="clear" w:color="auto" w:fill="53C072"/>
          </w:tcPr>
          <w:p>
            <w:pPr>
              <w:ind w:left="29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68"/>
        </w:trPr>
        <w:tc>
          <w:tcPr>
            <w:tcW w:w="80" w:type="dxa"/>
            <w:vAlign w:val="bottom"/>
          </w:tcPr>
          <w:p>
            <w:pPr>
              <w:spacing w:after="0"/>
              <w:rPr>
                <w:sz w:val="5"/>
                <w:szCs w:val="5"/>
                <w:color w:val="auto"/>
              </w:rPr>
            </w:pPr>
          </w:p>
        </w:tc>
        <w:tc>
          <w:tcPr>
            <w:tcW w:w="100" w:type="dxa"/>
            <w:vAlign w:val="bottom"/>
            <w:shd w:val="clear" w:color="auto" w:fill="53C072"/>
          </w:tcPr>
          <w:p>
            <w:pPr>
              <w:spacing w:after="0"/>
              <w:rPr>
                <w:sz w:val="5"/>
                <w:szCs w:val="5"/>
                <w:color w:val="auto"/>
              </w:rPr>
            </w:pPr>
          </w:p>
        </w:tc>
        <w:tc>
          <w:tcPr>
            <w:tcW w:w="3240" w:type="dxa"/>
            <w:vAlign w:val="bottom"/>
            <w:shd w:val="clear" w:color="auto" w:fill="53C072"/>
          </w:tcPr>
          <w:p>
            <w:pPr>
              <w:spacing w:after="0"/>
              <w:rPr>
                <w:sz w:val="5"/>
                <w:szCs w:val="5"/>
                <w:color w:val="auto"/>
              </w:rPr>
            </w:pPr>
          </w:p>
        </w:tc>
        <w:tc>
          <w:tcPr>
            <w:tcW w:w="3000" w:type="dxa"/>
            <w:vAlign w:val="bottom"/>
            <w:shd w:val="clear" w:color="auto" w:fill="53C072"/>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-290830</wp:posOffset>
            </wp:positionV>
            <wp:extent cx="5554980" cy="47745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54980" cy="477456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80" w:right="259"/>
        <w:spacing w:after="0" w:line="251" w:lineRule="auto"/>
        <w:rPr>
          <w:sz w:val="20"/>
          <w:szCs w:val="20"/>
          <w:color w:val="auto"/>
        </w:rPr>
      </w:pPr>
      <w:r>
        <w:rPr>
          <w:rFonts w:ascii="Arial" w:cs="Arial" w:eastAsia="Arial" w:hAnsi="Arial"/>
          <w:sz w:val="18"/>
          <w:szCs w:val="18"/>
          <w:color w:val="auto"/>
        </w:rPr>
        <w:t>Ms. Freeman is the founder of an advisory company, Joyeux Advisory Group, which was founded in 2018. She has been a Venture Partner of Debut Capital since May 2021. Ms. Freeman formerly served as the Chief Executive Officer and a Director of Arteza, a direct-to-consumer arts and crafts supplies company, from February 2020 to April 2021. Previously she served as Chief Marketing Officer of Magic Leap, Inc., a private company focused on virtual retinal displays, from 2016 to 2019. Prior to that, she served as Chief Marketing Officer at the National Geographic Channel from 2015 to 2016; Vice President, Television Marketing at DreamWorks Animation SKG Inc. from 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WM Technology, Inc. (Nasdaq: MAPS) since June 2021, Blue Apron Holdings, Inc. (NYSE: APRN) since October 2020, and Caleres, Inc. (NYSE: CAL) since April 2017. Previously, she served on the board of directors of Herman Miller, Inc. (Nasdaq: MLHR) from 2016 to 2019 and Under Armour, Inc. (NYSE: UA) from 2012 to 2013.</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68"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Finance</w:t>
      </w:r>
    </w:p>
    <w:p>
      <w:pPr>
        <w:spacing w:after="0" w:line="77"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 Digital Media</w:t>
      </w:r>
      <w:r>
        <w:rPr>
          <w:sz w:val="20"/>
          <w:szCs w:val="20"/>
          <w:color w:val="auto"/>
        </w:rPr>
        <w:tab/>
      </w:r>
      <w:r>
        <w:rPr>
          <w:rFonts w:ascii="Arial" w:cs="Arial" w:eastAsia="Arial" w:hAnsi="Arial"/>
          <w:sz w:val="18"/>
          <w:szCs w:val="18"/>
          <w:color w:val="53C072"/>
        </w:rPr>
        <w:t>•</w:t>
      </w:r>
      <w:r>
        <w:rPr>
          <w:rFonts w:ascii="Arial" w:cs="Arial" w:eastAsia="Arial" w:hAnsi="Arial"/>
          <w:sz w:val="18"/>
          <w:szCs w:val="18"/>
          <w:color w:val="auto"/>
        </w:rPr>
        <w:tab/>
        <w:t>Marketing</w:t>
      </w:r>
    </w:p>
    <w:p>
      <w:pPr>
        <w:spacing w:after="0" w:line="77" w:lineRule="exact"/>
        <w:rPr>
          <w:sz w:val="20"/>
          <w:szCs w:val="20"/>
          <w:color w:val="auto"/>
        </w:rPr>
      </w:pPr>
    </w:p>
    <w:p>
      <w:pPr>
        <w:ind w:left="500" w:hanging="326"/>
        <w:spacing w:after="0"/>
        <w:tabs>
          <w:tab w:leader="none" w:pos="500" w:val="left"/>
        </w:tabs>
        <w:numPr>
          <w:ilvl w:val="0"/>
          <w:numId w:val="19"/>
        </w:numPr>
        <w:rPr>
          <w:rFonts w:ascii="Arial" w:cs="Arial" w:eastAsia="Arial" w:hAnsi="Arial"/>
          <w:sz w:val="18"/>
          <w:szCs w:val="18"/>
          <w:color w:val="53C072"/>
        </w:rPr>
      </w:pPr>
      <w:r>
        <w:rPr>
          <w:rFonts w:ascii="Arial" w:cs="Arial" w:eastAsia="Arial" w:hAnsi="Arial"/>
          <w:sz w:val="18"/>
          <w:szCs w:val="18"/>
          <w:color w:val="auto"/>
        </w:rPr>
        <w:t>ESG</w:t>
      </w:r>
    </w:p>
    <w:p>
      <w:pPr>
        <w:spacing w:after="0" w:line="158" w:lineRule="exact"/>
        <w:rPr>
          <w:sz w:val="20"/>
          <w:szCs w:val="20"/>
          <w:color w:val="auto"/>
        </w:rPr>
      </w:pPr>
    </w:p>
    <w:p>
      <w:pPr>
        <w:ind w:left="180" w:right="259"/>
        <w:spacing w:after="0" w:line="263" w:lineRule="auto"/>
        <w:rPr>
          <w:sz w:val="20"/>
          <w:szCs w:val="20"/>
          <w:color w:val="auto"/>
        </w:rPr>
      </w:pPr>
      <w:r>
        <w:rPr>
          <w:rFonts w:ascii="Arial" w:cs="Arial" w:eastAsia="Arial" w:hAnsi="Arial"/>
          <w:sz w:val="18"/>
          <w:szCs w:val="18"/>
          <w:color w:val="auto"/>
        </w:rPr>
        <w:t>The Board benefits from Ms. Freeman’s experience in corporate leadership, serving on other boards, and her strong background in marketing, technology, digital commerce, and digital transformation.</w:t>
      </w:r>
    </w:p>
    <w:p>
      <w:pPr>
        <w:spacing w:after="0" w:line="200" w:lineRule="exact"/>
        <w:rPr>
          <w:sz w:val="20"/>
          <w:szCs w:val="20"/>
          <w:color w:val="auto"/>
        </w:rPr>
      </w:pPr>
    </w:p>
    <w:p>
      <w:pPr>
        <w:sectPr>
          <w:pgSz w:w="11900" w:h="16838" w:orient="portrait"/>
          <w:cols w:equalWidth="0" w:num="2">
            <w:col w:w="2840" w:space="460"/>
            <w:col w:w="65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10     </w:t>
      </w:r>
      <w:r>
        <w:rPr>
          <w:sz w:val="1"/>
          <w:szCs w:val="1"/>
          <w:color w:val="auto"/>
        </w:rPr>
        <w:drawing>
          <wp:inline distT="0" distB="0" distL="0" distR="0">
            <wp:extent cx="1242695" cy="2400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700" w:type="dxa"/>
            <w:vAlign w:val="bottom"/>
            <w:vMerge w:val="restart"/>
          </w:tcPr>
          <w:p>
            <w:pPr>
              <w:ind w:left="2660"/>
              <w:spacing w:after="0"/>
              <w:rPr>
                <w:sz w:val="20"/>
                <w:szCs w:val="20"/>
                <w:color w:val="auto"/>
              </w:rPr>
            </w:pPr>
            <w:r>
              <w:rPr>
                <w:rFonts w:ascii="Arial" w:cs="Arial" w:eastAsia="Arial" w:hAnsi="Arial"/>
                <w:sz w:val="14"/>
                <w:szCs w:val="14"/>
                <w:color w:val="auto"/>
              </w:rPr>
              <w:t>Proposal 1: Election of Directors</w:t>
            </w:r>
          </w:p>
        </w:tc>
        <w:tc>
          <w:tcPr>
            <w:tcW w:w="0" w:type="dxa"/>
            <w:vAlign w:val="bottom"/>
          </w:tcPr>
          <w:p>
            <w:pPr>
              <w:spacing w:after="0"/>
              <w:rPr>
                <w:sz w:val="1"/>
                <w:szCs w:val="1"/>
                <w:color w:val="auto"/>
              </w:rPr>
            </w:pPr>
          </w:p>
        </w:tc>
      </w:tr>
      <w:tr>
        <w:trPr>
          <w:trHeight w:val="84"/>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797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54980" cy="379730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Not Independent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tabs>
          <w:tab w:leader="none" w:pos="636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2"/>
          <w:szCs w:val="22"/>
          <w:b w:val="1"/>
          <w:bCs w:val="1"/>
          <w:color w:val="FEFEFE"/>
        </w:rPr>
        <w:t>PHILIP R. GALLAGHER</w:t>
      </w:r>
      <w:r>
        <w:rPr>
          <w:sz w:val="20"/>
          <w:szCs w:val="20"/>
          <w:color w:val="auto"/>
        </w:rPr>
        <w:tab/>
      </w:r>
      <w:r>
        <w:rPr>
          <w:rFonts w:ascii="Arial" w:cs="Arial" w:eastAsia="Arial" w:hAnsi="Arial"/>
          <w:sz w:val="36"/>
          <w:szCs w:val="36"/>
          <w:color w:val="auto"/>
          <w:vertAlign w:val="superscript"/>
        </w:rPr>
        <w: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80" w:right="299"/>
        <w:spacing w:after="0" w:line="248" w:lineRule="auto"/>
        <w:rPr>
          <w:sz w:val="20"/>
          <w:szCs w:val="20"/>
          <w:color w:val="auto"/>
        </w:rPr>
      </w:pPr>
      <w:r>
        <w:rPr>
          <w:rFonts w:ascii="Arial" w:cs="Arial" w:eastAsia="Arial" w:hAnsi="Arial"/>
          <w:sz w:val="18"/>
          <w:szCs w:val="18"/>
          <w:color w:val="auto"/>
        </w:rPr>
        <w:t>Mr. Gallagher has served as the Company’s Chief Executive Officer and a Director since November 2020, and as the President, Electronic Components since August 2018. He previously served as the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council for Women in Electronics and is also a member of Greater Phoenix Leadership (GPL), an organization of leading CEOs focused on creating action on priority issues.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500" w:hanging="326"/>
        <w:spacing w:after="0"/>
        <w:tabs>
          <w:tab w:leader="none" w:pos="500" w:val="left"/>
        </w:tabs>
        <w:numPr>
          <w:ilvl w:val="0"/>
          <w:numId w:val="20"/>
        </w:numPr>
        <w:rPr>
          <w:rFonts w:ascii="Arial" w:cs="Arial" w:eastAsia="Arial" w:hAnsi="Arial"/>
          <w:sz w:val="18"/>
          <w:szCs w:val="18"/>
          <w:color w:val="53C072"/>
        </w:rPr>
      </w:pPr>
      <w:r>
        <w:rPr>
          <w:rFonts w:ascii="Arial" w:cs="Arial" w:eastAsia="Arial" w:hAnsi="Arial"/>
          <w:sz w:val="18"/>
          <w:szCs w:val="18"/>
          <w:color w:val="auto"/>
        </w:rPr>
        <w:t>Technology/Digital Media</w:t>
      </w:r>
    </w:p>
    <w:p>
      <w:pPr>
        <w:spacing w:after="0" w:line="104" w:lineRule="exact"/>
        <w:rPr>
          <w:sz w:val="20"/>
          <w:szCs w:val="20"/>
          <w:color w:val="auto"/>
        </w:rPr>
      </w:pPr>
    </w:p>
    <w:p>
      <w:pPr>
        <w:ind w:left="180" w:right="359"/>
        <w:spacing w:after="0" w:line="263" w:lineRule="auto"/>
        <w:rPr>
          <w:sz w:val="20"/>
          <w:szCs w:val="20"/>
          <w:color w:val="auto"/>
        </w:rPr>
      </w:pPr>
      <w:r>
        <w:rPr>
          <w:rFonts w:ascii="Arial" w:cs="Arial" w:eastAsia="Arial" w:hAnsi="Arial"/>
          <w:sz w:val="18"/>
          <w:szCs w:val="18"/>
          <w:color w:val="auto"/>
        </w:rPr>
        <w:t>The Board benefits from Mr. Gallagher’s extensive experience in business operations, corporate leadership, and management. The Board also benefits from his broad knowledge of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219075</wp:posOffset>
            </wp:positionV>
            <wp:extent cx="5554980" cy="3206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54980" cy="3206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6" w:lineRule="exact"/>
        <w:rPr>
          <w:sz w:val="20"/>
          <w:szCs w:val="20"/>
          <w:color w:val="auto"/>
        </w:rPr>
      </w:pPr>
    </w:p>
    <w:p>
      <w:pPr>
        <w:ind w:left="1340" w:hanging="269"/>
        <w:spacing w:after="0" w:line="186" w:lineRule="auto"/>
        <w:tabs>
          <w:tab w:leader="none" w:pos="1340" w:val="left"/>
        </w:tabs>
        <w:numPr>
          <w:ilvl w:val="0"/>
          <w:numId w:val="21"/>
        </w:numPr>
        <w:rPr>
          <w:rFonts w:ascii="Arial" w:cs="Arial" w:eastAsia="Arial" w:hAnsi="Arial"/>
          <w:sz w:val="28"/>
          <w:szCs w:val="28"/>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4" w:lineRule="exact"/>
        <w:rPr>
          <w:rFonts w:ascii="Arial" w:cs="Arial" w:eastAsia="Arial" w:hAnsi="Arial"/>
          <w:sz w:val="28"/>
          <w:szCs w:val="28"/>
          <w:color w:val="53C072"/>
          <w:vertAlign w:val="subscript"/>
        </w:rPr>
      </w:pPr>
    </w:p>
    <w:p>
      <w:pPr>
        <w:ind w:left="1340" w:hanging="269"/>
        <w:spacing w:after="0"/>
        <w:tabs>
          <w:tab w:leader="none" w:pos="1340" w:val="left"/>
        </w:tabs>
        <w:numPr>
          <w:ilvl w:val="0"/>
          <w:numId w:val="21"/>
        </w:numPr>
        <w:rPr>
          <w:rFonts w:ascii="Arial" w:cs="Arial" w:eastAsia="Arial" w:hAnsi="Arial"/>
          <w:sz w:val="18"/>
          <w:szCs w:val="18"/>
          <w:color w:val="53C072"/>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JO ANN JENKINS</w:t>
      </w:r>
      <w:r>
        <w:rPr>
          <w:sz w:val="20"/>
          <w:szCs w:val="20"/>
          <w:color w:val="auto"/>
        </w:rPr>
        <w:tab/>
      </w:r>
      <w:r>
        <w:rPr>
          <w:rFonts w:ascii="Arial" w:cs="Arial" w:eastAsia="Arial" w:hAnsi="Arial"/>
          <w:sz w:val="29"/>
          <w:szCs w:val="29"/>
          <w:color w:val="auto"/>
          <w:vertAlign w:val="superscript"/>
        </w:rPr>
        <w: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60" w:right="259"/>
        <w:spacing w:after="0" w:line="262" w:lineRule="auto"/>
        <w:rPr>
          <w:sz w:val="20"/>
          <w:szCs w:val="20"/>
          <w:color w:val="auto"/>
        </w:rPr>
      </w:pPr>
      <w:r>
        <w:rPr>
          <w:rFonts w:ascii="Arial" w:cs="Arial" w:eastAsia="Arial" w:hAnsi="Arial"/>
          <w:sz w:val="17"/>
          <w:szCs w:val="17"/>
          <w:color w:val="auto"/>
        </w:rPr>
        <w:t>Ms. Jenkins has served as the Chief Executive Officer of AARP, the nation’s largest nonprofit, nonpartisan organization dedicated to empowering people 50 and older to choose how they live and age, since 2014.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Ms. Jenkins has served on the board of directors of General Mills, Inc.</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(NYSE: GIS) since January 2020.</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104" w:lineRule="exact"/>
        <w:rPr>
          <w:sz w:val="20"/>
          <w:szCs w:val="20"/>
          <w:color w:val="auto"/>
        </w:rPr>
      </w:pPr>
    </w:p>
    <w:p>
      <w:pPr>
        <w:ind w:left="160" w:right="459"/>
        <w:spacing w:after="0" w:line="252" w:lineRule="auto"/>
        <w:rPr>
          <w:sz w:val="20"/>
          <w:szCs w:val="20"/>
          <w:color w:val="auto"/>
        </w:rPr>
      </w:pPr>
      <w:r>
        <w:rPr>
          <w:rFonts w:ascii="Arial" w:cs="Arial" w:eastAsia="Arial" w:hAnsi="Arial"/>
          <w:sz w:val="18"/>
          <w:szCs w:val="18"/>
          <w:color w:val="auto"/>
        </w:rPr>
        <w:t>The Board benefits from Ms. Jenkins’ deep understanding of strategic management and innovative marketing, which she developed through her CEO and operational roles. She contributes valuable insights regarding corporate leadership and management, government affairs and community relations, and innovation and strategic transformation, including developing and implementing diversity strategies.</w:t>
      </w:r>
    </w:p>
    <w:p>
      <w:pPr>
        <w:spacing w:after="0" w:line="200" w:lineRule="exact"/>
        <w:rPr>
          <w:sz w:val="20"/>
          <w:szCs w:val="20"/>
          <w:color w:val="auto"/>
        </w:rPr>
      </w:pPr>
    </w:p>
    <w:p>
      <w:pPr>
        <w:sectPr>
          <w:pgSz w:w="11900" w:h="16838" w:orient="portrait"/>
          <w:cols w:equalWidth="0" w:num="2">
            <w:col w:w="2980" w:space="340"/>
            <w:col w:w="65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560"/>
        <w:spacing w:after="0"/>
        <w:rPr>
          <w:sz w:val="20"/>
          <w:szCs w:val="20"/>
          <w:color w:val="auto"/>
        </w:rPr>
      </w:pPr>
      <w:r>
        <w:rPr>
          <w:sz w:val="1"/>
          <w:szCs w:val="1"/>
          <w:color w:val="auto"/>
        </w:rPr>
        <w:drawing>
          <wp:inline distT="0" distB="0" distL="0" distR="0">
            <wp:extent cx="1242695"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56" w:lineRule="exact"/>
        <w:rPr>
          <w:sz w:val="20"/>
          <w:szCs w:val="20"/>
          <w:color w:val="auto"/>
        </w:rPr>
      </w:pPr>
    </w:p>
    <w:p>
      <w:pPr>
        <w:ind w:left="1340" w:hanging="269"/>
        <w:spacing w:after="0"/>
        <w:tabs>
          <w:tab w:leader="none" w:pos="1340" w:val="left"/>
        </w:tabs>
        <w:numPr>
          <w:ilvl w:val="0"/>
          <w:numId w:val="22"/>
        </w:numPr>
        <w:rPr>
          <w:rFonts w:ascii="Arial" w:cs="Arial" w:eastAsia="Arial" w:hAnsi="Arial"/>
          <w:sz w:val="18"/>
          <w:szCs w:val="18"/>
          <w:color w:val="53C072"/>
        </w:rPr>
      </w:pPr>
      <w:r>
        <w:rPr>
          <w:rFonts w:ascii="Arial" w:cs="Arial" w:eastAsia="Arial" w:hAnsi="Arial"/>
          <w:sz w:val="14"/>
          <w:szCs w:val="14"/>
          <w:color w:val="auto"/>
        </w:rPr>
        <w:t>Audit</w:t>
      </w:r>
    </w:p>
    <w:p>
      <w:pPr>
        <w:spacing w:after="0" w:line="16" w:lineRule="exact"/>
        <w:rPr>
          <w:rFonts w:ascii="Arial" w:cs="Arial" w:eastAsia="Arial" w:hAnsi="Arial"/>
          <w:sz w:val="18"/>
          <w:szCs w:val="18"/>
          <w:color w:val="53C072"/>
        </w:rPr>
      </w:pPr>
    </w:p>
    <w:p>
      <w:pPr>
        <w:ind w:left="1340" w:hanging="269"/>
        <w:spacing w:after="0" w:line="199" w:lineRule="auto"/>
        <w:tabs>
          <w:tab w:leader="none" w:pos="1340" w:val="left"/>
        </w:tabs>
        <w:numPr>
          <w:ilvl w:val="0"/>
          <w:numId w:val="22"/>
        </w:numPr>
        <w:rPr>
          <w:rFonts w:ascii="Arial" w:cs="Arial" w:eastAsia="Arial" w:hAnsi="Arial"/>
          <w:sz w:val="18"/>
          <w:szCs w:val="18"/>
          <w:color w:val="53C072"/>
        </w:rPr>
      </w:pPr>
      <w:r>
        <w:rPr>
          <w:rFonts w:ascii="Arial" w:cs="Arial" w:eastAsia="Arial" w:hAnsi="Arial"/>
          <w:sz w:val="14"/>
          <w:szCs w:val="14"/>
          <w:color w:val="auto"/>
        </w:rPr>
        <w:t>Executive</w:t>
      </w:r>
    </w:p>
    <w:p>
      <w:pPr>
        <w:spacing w:after="0" w:line="17" w:lineRule="exact"/>
        <w:rPr>
          <w:rFonts w:ascii="Arial" w:cs="Arial" w:eastAsia="Arial" w:hAnsi="Arial"/>
          <w:sz w:val="18"/>
          <w:szCs w:val="18"/>
          <w:color w:val="53C072"/>
        </w:rPr>
      </w:pPr>
    </w:p>
    <w:p>
      <w:pPr>
        <w:ind w:left="1340" w:hanging="269"/>
        <w:spacing w:after="0" w:line="199" w:lineRule="auto"/>
        <w:tabs>
          <w:tab w:leader="none" w:pos="1340" w:val="left"/>
        </w:tabs>
        <w:numPr>
          <w:ilvl w:val="0"/>
          <w:numId w:val="22"/>
        </w:numPr>
        <w:rPr>
          <w:rFonts w:ascii="Arial" w:cs="Arial" w:eastAsia="Arial" w:hAnsi="Arial"/>
          <w:sz w:val="18"/>
          <w:szCs w:val="18"/>
          <w:color w:val="53C072"/>
        </w:rPr>
      </w:pPr>
      <w:r>
        <w:rPr>
          <w:rFonts w:ascii="Arial" w:cs="Arial" w:eastAsia="Arial" w:hAnsi="Arial"/>
          <w:sz w:val="14"/>
          <w:szCs w:val="14"/>
          <w:color w:val="auto"/>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480" w:type="dxa"/>
            <w:vAlign w:val="bottom"/>
            <w:gridSpan w:val="2"/>
          </w:tcPr>
          <w:p>
            <w:pPr>
              <w:ind w:left="1440"/>
              <w:spacing w:after="0"/>
              <w:rPr>
                <w:sz w:val="20"/>
                <w:szCs w:val="20"/>
                <w:color w:val="auto"/>
              </w:rPr>
            </w:pPr>
            <w:r>
              <w:rPr>
                <w:rFonts w:ascii="Arial" w:cs="Arial" w:eastAsia="Arial" w:hAnsi="Arial"/>
                <w:sz w:val="14"/>
                <w:szCs w:val="14"/>
                <w:color w:val="auto"/>
              </w:rPr>
              <w:t>Proposal 1: Election of Directors</w:t>
            </w:r>
          </w:p>
        </w:tc>
      </w:tr>
      <w:tr>
        <w:trPr>
          <w:trHeight w:val="627"/>
        </w:trPr>
        <w:tc>
          <w:tcPr>
            <w:tcW w:w="180" w:type="dxa"/>
            <w:vAlign w:val="bottom"/>
            <w:gridSpan w:val="2"/>
          </w:tcPr>
          <w:p>
            <w:pPr>
              <w:spacing w:after="0"/>
              <w:rPr>
                <w:sz w:val="24"/>
                <w:szCs w:val="24"/>
                <w:color w:val="auto"/>
              </w:rPr>
            </w:pPr>
          </w:p>
        </w:tc>
        <w:tc>
          <w:tcPr>
            <w:tcW w:w="2780" w:type="dxa"/>
            <w:vAlign w:val="bottom"/>
          </w:tcPr>
          <w:p>
            <w:pPr>
              <w:spacing w:after="0"/>
              <w:rPr>
                <w:sz w:val="24"/>
                <w:szCs w:val="24"/>
                <w:color w:val="auto"/>
              </w:rPr>
            </w:pPr>
          </w:p>
        </w:tc>
        <w:tc>
          <w:tcPr>
            <w:tcW w:w="3480" w:type="dxa"/>
            <w:vAlign w:val="bottom"/>
            <w:gridSpan w:val="2"/>
          </w:tcPr>
          <w:p>
            <w:pPr>
              <w:spacing w:after="0"/>
              <w:rPr>
                <w:sz w:val="24"/>
                <w:szCs w:val="24"/>
                <w:color w:val="auto"/>
              </w:rPr>
            </w:pPr>
          </w:p>
        </w:tc>
      </w:tr>
      <w:tr>
        <w:trPr>
          <w:trHeight w:val="296"/>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278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18"/>
                <w:szCs w:val="18"/>
                <w:b w:val="1"/>
                <w:bCs w:val="1"/>
                <w:color w:val="FEFEFE"/>
              </w:rPr>
              <w:t>OLEG KHAYKIN</w:t>
            </w:r>
          </w:p>
        </w:tc>
        <w:tc>
          <w:tcPr>
            <w:tcW w:w="3460" w:type="dxa"/>
            <w:vAlign w:val="bottom"/>
            <w:tcBorders>
              <w:top w:val="single" w:sz="8" w:color="53C072"/>
            </w:tcBorders>
            <w:shd w:val="clear" w:color="auto" w:fill="53C072"/>
          </w:tcPr>
          <w:p>
            <w:pPr>
              <w:ind w:left="342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55"/>
        </w:trPr>
        <w:tc>
          <w:tcPr>
            <w:tcW w:w="80" w:type="dxa"/>
            <w:vAlign w:val="bottom"/>
          </w:tcPr>
          <w:p>
            <w:pPr>
              <w:spacing w:after="0"/>
              <w:rPr>
                <w:sz w:val="4"/>
                <w:szCs w:val="4"/>
                <w:color w:val="auto"/>
              </w:rPr>
            </w:pPr>
          </w:p>
        </w:tc>
        <w:tc>
          <w:tcPr>
            <w:tcW w:w="100" w:type="dxa"/>
            <w:vAlign w:val="bottom"/>
            <w:shd w:val="clear" w:color="auto" w:fill="53C072"/>
          </w:tcPr>
          <w:p>
            <w:pPr>
              <w:spacing w:after="0"/>
              <w:rPr>
                <w:sz w:val="4"/>
                <w:szCs w:val="4"/>
                <w:color w:val="auto"/>
              </w:rPr>
            </w:pPr>
          </w:p>
        </w:tc>
        <w:tc>
          <w:tcPr>
            <w:tcW w:w="2780" w:type="dxa"/>
            <w:vAlign w:val="bottom"/>
            <w:shd w:val="clear" w:color="auto" w:fill="53C072"/>
          </w:tcPr>
          <w:p>
            <w:pPr>
              <w:spacing w:after="0"/>
              <w:rPr>
                <w:sz w:val="4"/>
                <w:szCs w:val="4"/>
                <w:color w:val="auto"/>
              </w:rPr>
            </w:pPr>
          </w:p>
        </w:tc>
        <w:tc>
          <w:tcPr>
            <w:tcW w:w="3460" w:type="dxa"/>
            <w:vAlign w:val="bottom"/>
            <w:shd w:val="clear" w:color="auto" w:fill="53C072"/>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-239395</wp:posOffset>
            </wp:positionV>
            <wp:extent cx="5554980" cy="3497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349758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 w:lineRule="exact"/>
        <w:rPr>
          <w:sz w:val="20"/>
          <w:szCs w:val="20"/>
          <w:color w:val="auto"/>
        </w:rPr>
      </w:pPr>
    </w:p>
    <w:p>
      <w:pPr>
        <w:ind w:left="180" w:right="239"/>
        <w:spacing w:after="0" w:line="233" w:lineRule="auto"/>
        <w:rPr>
          <w:sz w:val="20"/>
          <w:szCs w:val="20"/>
          <w:color w:val="auto"/>
        </w:rPr>
      </w:pPr>
      <w:r>
        <w:rPr>
          <w:rFonts w:ascii="Arial" w:cs="Arial" w:eastAsia="Arial" w:hAnsi="Arial"/>
          <w:sz w:val="17"/>
          <w:szCs w:val="17"/>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Executive Vice President and Chief Operating Officer of Amkor Technology, Inc. (Nasdaq: AMKR), and from 1999 to 2003 as Vice President of Strategy &amp; Business Development at Conexant Systems, Inc. (Nasdaq: CNXT) and Mindspeed Technologies, Inc. (Nasdaq: MSPD).</w:t>
      </w:r>
    </w:p>
    <w:p>
      <w:pPr>
        <w:spacing w:after="0" w:line="5" w:lineRule="exact"/>
        <w:rPr>
          <w:sz w:val="20"/>
          <w:szCs w:val="20"/>
          <w:color w:val="auto"/>
        </w:rPr>
      </w:pPr>
    </w:p>
    <w:p>
      <w:pPr>
        <w:ind w:left="180" w:right="759"/>
        <w:spacing w:after="0" w:line="241" w:lineRule="auto"/>
        <w:rPr>
          <w:sz w:val="20"/>
          <w:szCs w:val="20"/>
          <w:color w:val="auto"/>
        </w:rPr>
      </w:pPr>
      <w:r>
        <w:rPr>
          <w:rFonts w:ascii="Arial" w:cs="Arial" w:eastAsia="Arial" w:hAnsi="Arial"/>
          <w:sz w:val="17"/>
          <w:szCs w:val="17"/>
          <w:color w:val="auto"/>
        </w:rPr>
        <w:t>Mr. Khaykin had previously served on the boards of directors of Marvell Technology Group (Nasdaq: MRVL) from 2016 to July 2020 and Newport Corporation from 2010 until its acquisition by MKS Instruments in 2016.</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2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53C072"/>
              </w:rPr>
              <w:t>Primary Qualifications and Experience:</w:t>
            </w:r>
          </w:p>
        </w:tc>
        <w:tc>
          <w:tcPr>
            <w:tcW w:w="2120" w:type="dxa"/>
            <w:vAlign w:val="bottom"/>
          </w:tcPr>
          <w:p>
            <w:pPr>
              <w:spacing w:after="0"/>
              <w:rPr>
                <w:sz w:val="21"/>
                <w:szCs w:val="21"/>
                <w:color w:val="auto"/>
              </w:rPr>
            </w:pPr>
          </w:p>
        </w:tc>
      </w:tr>
      <w:tr>
        <w:trPr>
          <w:trHeight w:val="242"/>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CEO</w:t>
            </w:r>
          </w:p>
        </w:tc>
        <w:tc>
          <w:tcPr>
            <w:tcW w:w="760" w:type="dxa"/>
            <w:vAlign w:val="bottom"/>
          </w:tcPr>
          <w:p>
            <w:pPr>
              <w:ind w:left="560"/>
              <w:spacing w:after="0"/>
              <w:rPr>
                <w:sz w:val="20"/>
                <w:szCs w:val="20"/>
                <w:color w:val="auto"/>
              </w:rPr>
            </w:pPr>
            <w:r>
              <w:rPr>
                <w:rFonts w:ascii="Arial" w:cs="Arial" w:eastAsia="Arial" w:hAnsi="Arial"/>
                <w:sz w:val="18"/>
                <w:szCs w:val="18"/>
                <w:color w:val="53C072"/>
              </w:rPr>
              <w:t>•</w:t>
            </w:r>
          </w:p>
        </w:tc>
        <w:tc>
          <w:tcPr>
            <w:tcW w:w="2120" w:type="dxa"/>
            <w:vAlign w:val="bottom"/>
          </w:tcPr>
          <w:p>
            <w:pPr>
              <w:ind w:left="120"/>
              <w:spacing w:after="0"/>
              <w:rPr>
                <w:sz w:val="20"/>
                <w:szCs w:val="20"/>
                <w:color w:val="auto"/>
              </w:rPr>
            </w:pPr>
            <w:r>
              <w:rPr>
                <w:rFonts w:ascii="Arial" w:cs="Arial" w:eastAsia="Arial" w:hAnsi="Arial"/>
                <w:sz w:val="18"/>
                <w:szCs w:val="18"/>
                <w:color w:val="auto"/>
                <w:w w:val="95"/>
              </w:rPr>
              <w:t>Technology/ Digital Media</w:t>
            </w: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760" w:type="dxa"/>
            <w:vAlign w:val="bottom"/>
          </w:tcPr>
          <w:p>
            <w:pPr>
              <w:ind w:left="560"/>
              <w:spacing w:after="0"/>
              <w:rPr>
                <w:sz w:val="20"/>
                <w:szCs w:val="20"/>
                <w:color w:val="auto"/>
              </w:rPr>
            </w:pPr>
            <w:r>
              <w:rPr>
                <w:rFonts w:ascii="Arial" w:cs="Arial" w:eastAsia="Arial" w:hAnsi="Arial"/>
                <w:sz w:val="18"/>
                <w:szCs w:val="18"/>
                <w:color w:val="53C072"/>
              </w:rPr>
              <w:t>•</w:t>
            </w:r>
          </w:p>
        </w:tc>
        <w:tc>
          <w:tcPr>
            <w:tcW w:w="2120" w:type="dxa"/>
            <w:vAlign w:val="bottom"/>
          </w:tcPr>
          <w:p>
            <w:pPr>
              <w:ind w:left="120"/>
              <w:spacing w:after="0"/>
              <w:rPr>
                <w:sz w:val="20"/>
                <w:szCs w:val="20"/>
                <w:color w:val="auto"/>
              </w:rPr>
            </w:pPr>
            <w:r>
              <w:rPr>
                <w:rFonts w:ascii="Arial" w:cs="Arial" w:eastAsia="Arial" w:hAnsi="Arial"/>
                <w:sz w:val="18"/>
                <w:szCs w:val="18"/>
                <w:color w:val="auto"/>
              </w:rPr>
              <w:t>Risk Management</w:t>
            </w: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Finance</w:t>
            </w:r>
          </w:p>
        </w:tc>
        <w:tc>
          <w:tcPr>
            <w:tcW w:w="760" w:type="dxa"/>
            <w:vAlign w:val="bottom"/>
          </w:tcPr>
          <w:p>
            <w:pPr>
              <w:ind w:left="560"/>
              <w:spacing w:after="0"/>
              <w:rPr>
                <w:sz w:val="20"/>
                <w:szCs w:val="20"/>
                <w:color w:val="auto"/>
              </w:rPr>
            </w:pPr>
            <w:r>
              <w:rPr>
                <w:rFonts w:ascii="Arial" w:cs="Arial" w:eastAsia="Arial" w:hAnsi="Arial"/>
                <w:sz w:val="18"/>
                <w:szCs w:val="18"/>
                <w:color w:val="53C072"/>
              </w:rPr>
              <w:t>•</w:t>
            </w:r>
          </w:p>
        </w:tc>
        <w:tc>
          <w:tcPr>
            <w:tcW w:w="2120" w:type="dxa"/>
            <w:vAlign w:val="bottom"/>
          </w:tcPr>
          <w:p>
            <w:pPr>
              <w:ind w:left="120"/>
              <w:spacing w:after="0"/>
              <w:rPr>
                <w:sz w:val="20"/>
                <w:szCs w:val="20"/>
                <w:color w:val="auto"/>
              </w:rPr>
            </w:pPr>
            <w:r>
              <w:rPr>
                <w:rFonts w:ascii="Arial" w:cs="Arial" w:eastAsia="Arial" w:hAnsi="Arial"/>
                <w:sz w:val="18"/>
                <w:szCs w:val="18"/>
                <w:color w:val="auto"/>
              </w:rPr>
              <w:t>Marketing</w:t>
            </w: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60" w:type="dxa"/>
            <w:vAlign w:val="bottom"/>
          </w:tcPr>
          <w:p>
            <w:pPr>
              <w:ind w:left="560"/>
              <w:spacing w:after="0"/>
              <w:rPr>
                <w:sz w:val="20"/>
                <w:szCs w:val="20"/>
                <w:color w:val="auto"/>
              </w:rPr>
            </w:pPr>
            <w:r>
              <w:rPr>
                <w:rFonts w:ascii="Arial" w:cs="Arial" w:eastAsia="Arial" w:hAnsi="Arial"/>
                <w:sz w:val="18"/>
                <w:szCs w:val="18"/>
                <w:color w:val="53C072"/>
              </w:rPr>
              <w:t>•</w:t>
            </w:r>
          </w:p>
        </w:tc>
        <w:tc>
          <w:tcPr>
            <w:tcW w:w="2120" w:type="dxa"/>
            <w:vAlign w:val="bottom"/>
          </w:tcPr>
          <w:p>
            <w:pPr>
              <w:ind w:left="120"/>
              <w:spacing w:after="0"/>
              <w:rPr>
                <w:sz w:val="20"/>
                <w:szCs w:val="20"/>
                <w:color w:val="auto"/>
              </w:rPr>
            </w:pPr>
            <w:r>
              <w:rPr>
                <w:rFonts w:ascii="Arial" w:cs="Arial" w:eastAsia="Arial" w:hAnsi="Arial"/>
                <w:sz w:val="18"/>
                <w:szCs w:val="18"/>
                <w:color w:val="auto"/>
              </w:rPr>
              <w:t>Industry</w:t>
            </w:r>
          </w:p>
        </w:tc>
      </w:tr>
    </w:tbl>
    <w:p>
      <w:pPr>
        <w:spacing w:after="0" w:line="6" w:lineRule="exact"/>
        <w:rPr>
          <w:sz w:val="20"/>
          <w:szCs w:val="20"/>
          <w:color w:val="auto"/>
        </w:rPr>
      </w:pPr>
    </w:p>
    <w:p>
      <w:pPr>
        <w:ind w:left="180" w:right="439"/>
        <w:spacing w:after="0" w:line="249" w:lineRule="auto"/>
        <w:rPr>
          <w:sz w:val="20"/>
          <w:szCs w:val="20"/>
          <w:color w:val="auto"/>
        </w:rPr>
      </w:pPr>
      <w:r>
        <w:rPr>
          <w:rFonts w:ascii="Arial" w:cs="Arial" w:eastAsia="Arial" w:hAnsi="Arial"/>
          <w:sz w:val="17"/>
          <w:szCs w:val="17"/>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176530</wp:posOffset>
            </wp:positionV>
            <wp:extent cx="5554980" cy="3617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3617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42" w:lineRule="exact"/>
        <w:rPr>
          <w:sz w:val="20"/>
          <w:szCs w:val="20"/>
          <w:color w:val="auto"/>
        </w:rPr>
      </w:pPr>
    </w:p>
    <w:p>
      <w:pPr>
        <w:ind w:left="1300" w:hanging="229"/>
        <w:spacing w:after="0"/>
        <w:tabs>
          <w:tab w:leader="none" w:pos="1300" w:val="left"/>
        </w:tabs>
        <w:numPr>
          <w:ilvl w:val="0"/>
          <w:numId w:val="23"/>
        </w:numPr>
        <w:rPr>
          <w:rFonts w:ascii="Arial" w:cs="Arial" w:eastAsia="Arial" w:hAnsi="Arial"/>
          <w:sz w:val="18"/>
          <w:szCs w:val="18"/>
          <w:color w:val="53C072"/>
        </w:rPr>
      </w:pPr>
      <w:r>
        <w:rPr>
          <w:rFonts w:ascii="Arial" w:cs="Arial" w:eastAsia="Arial" w:hAnsi="Arial"/>
          <w:sz w:val="14"/>
          <w:szCs w:val="14"/>
          <w:color w:val="auto"/>
        </w:rPr>
        <w:t>Compensation and Leadership</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Development (Chair)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53C072"/>
        </w:rPr>
        <w:t>•</w:t>
      </w:r>
    </w:p>
    <w:p>
      <w:pPr>
        <w:jc w:val="center"/>
        <w:ind w:right="20"/>
        <w:spacing w:after="0" w:line="222" w:lineRule="auto"/>
        <w:rPr>
          <w:sz w:val="20"/>
          <w:szCs w:val="20"/>
          <w:color w:val="auto"/>
        </w:rPr>
      </w:pPr>
      <w:r>
        <w:rPr>
          <w:rFonts w:ascii="Arial" w:cs="Arial" w:eastAsia="Arial" w:hAnsi="Arial"/>
          <w:sz w:val="14"/>
          <w:szCs w:val="14"/>
          <w:color w:val="auto"/>
        </w:rPr>
        <w:t>Executive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53C072"/>
        </w:rPr>
        <w:t>•</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18"/>
          <w:szCs w:val="18"/>
          <w:b w:val="1"/>
          <w:bCs w:val="1"/>
          <w:color w:val="FEFEFE"/>
        </w:rPr>
        <w:t>JAMES A. LAWRENCE</w:t>
      </w:r>
      <w:r>
        <w:rPr>
          <w:sz w:val="20"/>
          <w:szCs w:val="20"/>
          <w:color w:val="auto"/>
        </w:rPr>
        <w:tab/>
      </w:r>
      <w:r>
        <w:rPr>
          <w:rFonts w:ascii="Arial" w:cs="Arial" w:eastAsia="Arial" w:hAnsi="Arial"/>
          <w:sz w:val="29"/>
          <w:szCs w:val="29"/>
          <w:color w:val="auto"/>
          <w:vertAlign w:val="superscript"/>
        </w:rPr>
        <w: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ind w:left="160" w:right="239"/>
        <w:spacing w:after="0" w:line="222" w:lineRule="auto"/>
        <w:rPr>
          <w:sz w:val="20"/>
          <w:szCs w:val="20"/>
          <w:color w:val="auto"/>
        </w:rPr>
      </w:pPr>
      <w:r>
        <w:rPr>
          <w:rFonts w:ascii="Arial" w:cs="Arial" w:eastAsia="Arial" w:hAnsi="Arial"/>
          <w:sz w:val="18"/>
          <w:szCs w:val="18"/>
          <w:color w:val="auto"/>
        </w:rPr>
        <w:t>Mr. Lawrence serves as the Chairman of Lake Harriet Capital, LLC. He previously served as Chairman of Great North Star LLC from 2015 to 2017, Chairman of Rothschild North America from 2012 to 2015, and Chief Executive Officer of Rothschild North America and as co-head of global investment banking from 2010 to 2012. Prior to that, he served as Chief Financial Officer of Unilever PLC (LON: ULVR) from 2007 to 2009, Vice Chairman and Chief Financial Officer of General Mills, Inc. (NYSE: GIS) from 1998 to 2007, Executive Vice President and Chief Financial Officer of Northwest Airlines (Nasdaq: NWAC) from 1996 to 1998, and Chief Executive Officer of Pepsi-Cola Asia Middle East Africa Group from 1992 to 1996. Mr. Lawrence has served on the board of directors of Smurfit Kappa, Dublin (LON: SKG) since 2015 and AerCap Holdings, N.V. (NYSE: AER) since 2017. Previously he had served on the board of directors of International Airlines Group (LON: IAG) from 2010 to 2018.</w:t>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3380" w:type="dxa"/>
            <w:vAlign w:val="bottom"/>
            <w:gridSpan w:val="3"/>
          </w:tcPr>
          <w:p>
            <w:pPr>
              <w:spacing w:after="0"/>
              <w:rPr>
                <w:sz w:val="20"/>
                <w:szCs w:val="20"/>
                <w:color w:val="auto"/>
              </w:rPr>
            </w:pPr>
            <w:r>
              <w:rPr>
                <w:rFonts w:ascii="Arial" w:cs="Arial" w:eastAsia="Arial" w:hAnsi="Arial"/>
                <w:sz w:val="18"/>
                <w:szCs w:val="18"/>
                <w:b w:val="1"/>
                <w:bCs w:val="1"/>
                <w:color w:val="53C072"/>
              </w:rPr>
              <w:t>Primary Qualifications and Experience:</w:t>
            </w:r>
          </w:p>
        </w:tc>
        <w:tc>
          <w:tcPr>
            <w:tcW w:w="1540" w:type="dxa"/>
            <w:vAlign w:val="bottom"/>
          </w:tcPr>
          <w:p>
            <w:pPr>
              <w:spacing w:after="0"/>
              <w:rPr>
                <w:sz w:val="21"/>
                <w:szCs w:val="2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CEO</w:t>
            </w:r>
          </w:p>
        </w:tc>
        <w:tc>
          <w:tcPr>
            <w:tcW w:w="480" w:type="dxa"/>
            <w:vAlign w:val="bottom"/>
          </w:tcPr>
          <w:p>
            <w:pPr>
              <w:ind w:left="280"/>
              <w:spacing w:after="0"/>
              <w:rPr>
                <w:sz w:val="20"/>
                <w:szCs w:val="20"/>
                <w:color w:val="auto"/>
              </w:rPr>
            </w:pPr>
            <w:r>
              <w:rPr>
                <w:rFonts w:ascii="Arial" w:cs="Arial" w:eastAsia="Arial" w:hAnsi="Arial"/>
                <w:sz w:val="18"/>
                <w:szCs w:val="18"/>
                <w:color w:val="53C072"/>
              </w:rPr>
              <w:t>•</w:t>
            </w:r>
          </w:p>
        </w:tc>
        <w:tc>
          <w:tcPr>
            <w:tcW w:w="1540" w:type="dxa"/>
            <w:vAlign w:val="bottom"/>
          </w:tcPr>
          <w:p>
            <w:pPr>
              <w:ind w:left="120"/>
              <w:spacing w:after="0"/>
              <w:rPr>
                <w:sz w:val="20"/>
                <w:szCs w:val="20"/>
                <w:color w:val="auto"/>
              </w:rPr>
            </w:pPr>
            <w:r>
              <w:rPr>
                <w:rFonts w:ascii="Arial" w:cs="Arial" w:eastAsia="Arial" w:hAnsi="Arial"/>
                <w:sz w:val="18"/>
                <w:szCs w:val="18"/>
                <w:color w:val="auto"/>
              </w:rPr>
              <w:t>Finance</w:t>
            </w:r>
          </w:p>
        </w:tc>
      </w:tr>
      <w:tr>
        <w:trPr>
          <w:trHeight w:val="243"/>
        </w:trPr>
        <w:tc>
          <w:tcPr>
            <w:tcW w:w="200" w:type="dxa"/>
            <w:vAlign w:val="bottom"/>
          </w:tcPr>
          <w:p>
            <w:pPr>
              <w:spacing w:after="0"/>
              <w:rPr>
                <w:sz w:val="20"/>
                <w:szCs w:val="20"/>
                <w:color w:val="auto"/>
              </w:rPr>
            </w:pPr>
            <w:r>
              <w:rPr>
                <w:rFonts w:ascii="Arial" w:cs="Arial" w:eastAsia="Arial" w:hAnsi="Arial"/>
                <w:sz w:val="18"/>
                <w:szCs w:val="18"/>
                <w:color w:val="53C072"/>
              </w:rPr>
              <w:t>•</w:t>
            </w:r>
          </w:p>
        </w:tc>
        <w:tc>
          <w:tcPr>
            <w:tcW w:w="2700" w:type="dxa"/>
            <w:vAlign w:val="bottom"/>
          </w:tcPr>
          <w:p>
            <w:pPr>
              <w:ind w:left="120"/>
              <w:spacing w:after="0"/>
              <w:rPr>
                <w:sz w:val="20"/>
                <w:szCs w:val="20"/>
                <w:color w:val="auto"/>
              </w:rPr>
            </w:pPr>
            <w:r>
              <w:rPr>
                <w:rFonts w:ascii="Arial" w:cs="Arial" w:eastAsia="Arial" w:hAnsi="Arial"/>
                <w:sz w:val="18"/>
                <w:szCs w:val="18"/>
                <w:color w:val="auto"/>
              </w:rPr>
              <w:t>International Business</w:t>
            </w:r>
          </w:p>
        </w:tc>
        <w:tc>
          <w:tcPr>
            <w:tcW w:w="480" w:type="dxa"/>
            <w:vAlign w:val="bottom"/>
          </w:tcPr>
          <w:p>
            <w:pPr>
              <w:ind w:left="280"/>
              <w:spacing w:after="0"/>
              <w:rPr>
                <w:sz w:val="20"/>
                <w:szCs w:val="20"/>
                <w:color w:val="auto"/>
              </w:rPr>
            </w:pPr>
            <w:r>
              <w:rPr>
                <w:rFonts w:ascii="Arial" w:cs="Arial" w:eastAsia="Arial" w:hAnsi="Arial"/>
                <w:sz w:val="18"/>
                <w:szCs w:val="18"/>
                <w:color w:val="53C072"/>
              </w:rPr>
              <w:t>•</w:t>
            </w:r>
          </w:p>
        </w:tc>
        <w:tc>
          <w:tcPr>
            <w:tcW w:w="1540" w:type="dxa"/>
            <w:vAlign w:val="bottom"/>
          </w:tcPr>
          <w:p>
            <w:pPr>
              <w:ind w:left="120"/>
              <w:spacing w:after="0"/>
              <w:rPr>
                <w:sz w:val="20"/>
                <w:szCs w:val="20"/>
                <w:color w:val="auto"/>
              </w:rPr>
            </w:pPr>
            <w:r>
              <w:rPr>
                <w:rFonts w:ascii="Arial" w:cs="Arial" w:eastAsia="Arial" w:hAnsi="Arial"/>
                <w:sz w:val="18"/>
                <w:szCs w:val="18"/>
                <w:color w:val="auto"/>
              </w:rPr>
              <w:t>Marketing</w:t>
            </w:r>
          </w:p>
        </w:tc>
      </w:tr>
      <w:tr>
        <w:trPr>
          <w:trHeight w:val="243"/>
        </w:trPr>
        <w:tc>
          <w:tcPr>
            <w:tcW w:w="2900" w:type="dxa"/>
            <w:vAlign w:val="bottom"/>
            <w:gridSpan w:val="2"/>
          </w:tcPr>
          <w:p>
            <w:pPr>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Legal &amp; Regulatory Oversight</w:t>
            </w:r>
          </w:p>
        </w:tc>
        <w:tc>
          <w:tcPr>
            <w:tcW w:w="480" w:type="dxa"/>
            <w:vAlign w:val="bottom"/>
          </w:tcPr>
          <w:p>
            <w:pPr>
              <w:ind w:left="280"/>
              <w:spacing w:after="0"/>
              <w:rPr>
                <w:sz w:val="20"/>
                <w:szCs w:val="20"/>
                <w:color w:val="auto"/>
              </w:rPr>
            </w:pPr>
            <w:r>
              <w:rPr>
                <w:rFonts w:ascii="Arial" w:cs="Arial" w:eastAsia="Arial" w:hAnsi="Arial"/>
                <w:sz w:val="18"/>
                <w:szCs w:val="18"/>
                <w:color w:val="53C072"/>
              </w:rPr>
              <w:t>•</w:t>
            </w:r>
          </w:p>
        </w:tc>
        <w:tc>
          <w:tcPr>
            <w:tcW w:w="1540" w:type="dxa"/>
            <w:vAlign w:val="bottom"/>
          </w:tcPr>
          <w:p>
            <w:pPr>
              <w:ind w:left="120"/>
              <w:spacing w:after="0"/>
              <w:rPr>
                <w:sz w:val="20"/>
                <w:szCs w:val="20"/>
                <w:color w:val="auto"/>
              </w:rPr>
            </w:pPr>
            <w:r>
              <w:rPr>
                <w:rFonts w:ascii="Arial" w:cs="Arial" w:eastAsia="Arial" w:hAnsi="Arial"/>
                <w:sz w:val="18"/>
                <w:szCs w:val="18"/>
                <w:color w:val="auto"/>
                <w:w w:val="96"/>
              </w:rPr>
              <w:t>Risk Management</w:t>
            </w:r>
          </w:p>
        </w:tc>
      </w:tr>
    </w:tbl>
    <w:p>
      <w:pPr>
        <w:spacing w:after="0" w:line="19" w:lineRule="exact"/>
        <w:rPr>
          <w:sz w:val="20"/>
          <w:szCs w:val="20"/>
          <w:color w:val="auto"/>
        </w:rPr>
      </w:pPr>
    </w:p>
    <w:p>
      <w:pPr>
        <w:ind w:left="480" w:hanging="313"/>
        <w:spacing w:after="0"/>
        <w:tabs>
          <w:tab w:leader="none" w:pos="480" w:val="left"/>
        </w:tabs>
        <w:numPr>
          <w:ilvl w:val="0"/>
          <w:numId w:val="24"/>
        </w:numPr>
        <w:rPr>
          <w:rFonts w:ascii="Arial" w:cs="Arial" w:eastAsia="Arial" w:hAnsi="Arial"/>
          <w:sz w:val="18"/>
          <w:szCs w:val="18"/>
          <w:color w:val="53C072"/>
        </w:rPr>
      </w:pPr>
      <w:r>
        <w:rPr>
          <w:rFonts w:ascii="Arial" w:cs="Arial" w:eastAsia="Arial" w:hAnsi="Arial"/>
          <w:sz w:val="18"/>
          <w:szCs w:val="18"/>
          <w:color w:val="auto"/>
        </w:rPr>
        <w:t>Operations</w:t>
      </w:r>
    </w:p>
    <w:p>
      <w:pPr>
        <w:spacing w:after="0" w:line="23" w:lineRule="exact"/>
        <w:rPr>
          <w:sz w:val="20"/>
          <w:szCs w:val="20"/>
          <w:color w:val="auto"/>
        </w:rPr>
      </w:pPr>
    </w:p>
    <w:p>
      <w:pPr>
        <w:ind w:left="160" w:right="239"/>
        <w:spacing w:after="0" w:line="227" w:lineRule="auto"/>
        <w:rPr>
          <w:sz w:val="20"/>
          <w:szCs w:val="20"/>
          <w:color w:val="auto"/>
        </w:rPr>
      </w:pPr>
      <w:r>
        <w:rPr>
          <w:rFonts w:ascii="Arial" w:cs="Arial" w:eastAsia="Arial" w:hAnsi="Arial"/>
          <w:sz w:val="18"/>
          <w:szCs w:val="18"/>
          <w:color w:val="auto"/>
        </w:rPr>
        <w:t>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w:t>
      </w:r>
    </w:p>
    <w:p>
      <w:pPr>
        <w:spacing w:after="0" w:line="200" w:lineRule="exact"/>
        <w:rPr>
          <w:sz w:val="20"/>
          <w:szCs w:val="20"/>
          <w:color w:val="auto"/>
        </w:rPr>
      </w:pPr>
    </w:p>
    <w:p>
      <w:pPr>
        <w:sectPr>
          <w:pgSz w:w="11900" w:h="16838" w:orient="portrait"/>
          <w:cols w:equalWidth="0" w:num="2">
            <w:col w:w="3260" w:space="60"/>
            <w:col w:w="6559"/>
          </w:cols>
          <w:pgMar w:left="580" w:top="90" w:right="1440" w:bottom="1440" w:gutter="0" w:footer="0" w:header="0"/>
          <w:type w:val="continuous"/>
        </w:sectPr>
      </w:pP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12     </w:t>
      </w:r>
      <w:r>
        <w:rPr>
          <w:sz w:val="1"/>
          <w:szCs w:val="1"/>
          <w:color w:val="auto"/>
        </w:rPr>
        <w:drawing>
          <wp:inline distT="0" distB="0" distL="0" distR="0">
            <wp:extent cx="1242695"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700" w:type="dxa"/>
            <w:vAlign w:val="bottom"/>
            <w:vMerge w:val="restart"/>
          </w:tcPr>
          <w:p>
            <w:pPr>
              <w:ind w:left="2660"/>
              <w:spacing w:after="0"/>
              <w:rPr>
                <w:sz w:val="20"/>
                <w:szCs w:val="20"/>
                <w:color w:val="auto"/>
              </w:rPr>
            </w:pPr>
            <w:r>
              <w:rPr>
                <w:rFonts w:ascii="Arial" w:cs="Arial" w:eastAsia="Arial" w:hAnsi="Arial"/>
                <w:sz w:val="14"/>
                <w:szCs w:val="14"/>
                <w:color w:val="auto"/>
              </w:rPr>
              <w:t>Proposal 1: Election of Directors</w:t>
            </w:r>
          </w:p>
        </w:tc>
        <w:tc>
          <w:tcPr>
            <w:tcW w:w="0" w:type="dxa"/>
            <w:vAlign w:val="bottom"/>
          </w:tcPr>
          <w:p>
            <w:pPr>
              <w:spacing w:after="0"/>
              <w:rPr>
                <w:sz w:val="1"/>
                <w:szCs w:val="1"/>
                <w:color w:val="auto"/>
              </w:rPr>
            </w:pPr>
          </w:p>
        </w:tc>
      </w:tr>
      <w:tr>
        <w:trPr>
          <w:trHeight w:val="84"/>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514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54980" cy="351472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19" w:lineRule="exact"/>
        <w:rPr>
          <w:sz w:val="20"/>
          <w:szCs w:val="20"/>
          <w:color w:val="auto"/>
        </w:rPr>
      </w:pPr>
    </w:p>
    <w:p>
      <w:pPr>
        <w:ind w:left="1340" w:hanging="269"/>
        <w:spacing w:after="0"/>
        <w:tabs>
          <w:tab w:leader="none" w:pos="1340" w:val="left"/>
        </w:tabs>
        <w:numPr>
          <w:ilvl w:val="0"/>
          <w:numId w:val="25"/>
        </w:numPr>
        <w:rPr>
          <w:rFonts w:ascii="Arial" w:cs="Arial" w:eastAsia="Arial" w:hAnsi="Arial"/>
          <w:sz w:val="18"/>
          <w:szCs w:val="18"/>
          <w:color w:val="53C072"/>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3C072"/>
        </w:rPr>
      </w:pPr>
    </w:p>
    <w:p>
      <w:pPr>
        <w:ind w:left="1340" w:hanging="269"/>
        <w:spacing w:after="0" w:line="220" w:lineRule="auto"/>
        <w:tabs>
          <w:tab w:leader="none" w:pos="1340" w:val="left"/>
        </w:tabs>
        <w:numPr>
          <w:ilvl w:val="0"/>
          <w:numId w:val="25"/>
        </w:numPr>
        <w:rPr>
          <w:rFonts w:ascii="Arial" w:cs="Arial" w:eastAsia="Arial" w:hAnsi="Arial"/>
          <w:sz w:val="18"/>
          <w:szCs w:val="18"/>
          <w:color w:val="53C072"/>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ERNEST E. MADDOCK</w:t>
      </w:r>
      <w:r>
        <w:rPr>
          <w:sz w:val="20"/>
          <w:szCs w:val="20"/>
          <w:color w:val="auto"/>
        </w:rPr>
        <w:tab/>
      </w:r>
      <w:r>
        <w:rPr>
          <w:rFonts w:ascii="Arial" w:cs="Arial" w:eastAsia="Arial" w:hAnsi="Arial"/>
          <w:sz w:val="29"/>
          <w:szCs w:val="29"/>
          <w:color w:val="auto"/>
          <w:vertAlign w:val="superscript"/>
        </w:rPr>
        <w:t>​</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80" w:right="259"/>
        <w:spacing w:after="0" w:line="269" w:lineRule="auto"/>
        <w:rPr>
          <w:sz w:val="20"/>
          <w:szCs w:val="20"/>
          <w:color w:val="auto"/>
        </w:rPr>
      </w:pPr>
      <w:r>
        <w:rPr>
          <w:rFonts w:ascii="Arial" w:cs="Arial" w:eastAsia="Arial" w:hAnsi="Arial"/>
          <w:sz w:val="17"/>
          <w:szCs w:val="17"/>
          <w:color w:val="auto"/>
        </w:rPr>
        <w:t>Mr. Maddock served as Chief Financial Officer and Senior Vice President of Micron Technology, Inc. (Nasdaq: MU) from 2015 until his retirement in 2018. Prior to that, he served as Chief Financial Officer of Riverbed Technology, Inc. from 2013 to 2015. From 1997 to 2013, Mr. Maddock served in various roles at Lam Research Corporation (Nasdaq: LRCX), last as Chief Financial Officer from 2008 to 2013. He has served on the board of directors of Ultra Clean Holdings Inc. (Nasdaq: UCTT) since June 2018; Velodyne Lidar (NASDAQ: VLDR), now Ouster, Inc. (NYSE: OUST), since January 2022; and Teradyne, Inc. (NASDAQ: TER) since November 2022. Mr. Maddock previously served on the board of Intersil Corporation (Nasdaq: ISIL) from 2015 to 2017.</w:t>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International Business</w:t>
      </w:r>
      <w:r>
        <w:rPr>
          <w:sz w:val="20"/>
          <w:szCs w:val="20"/>
          <w:color w:val="auto"/>
        </w:rPr>
        <w:tab/>
      </w:r>
      <w:r>
        <w:rPr>
          <w:rFonts w:ascii="Arial" w:cs="Arial" w:eastAsia="Arial" w:hAnsi="Arial"/>
          <w:sz w:val="18"/>
          <w:szCs w:val="18"/>
          <w:color w:val="53C072"/>
        </w:rPr>
        <w:t>•</w:t>
      </w:r>
      <w:r>
        <w:rPr>
          <w:rFonts w:ascii="Arial" w:cs="Arial" w:eastAsia="Arial" w:hAnsi="Arial"/>
          <w:sz w:val="18"/>
          <w:szCs w:val="18"/>
          <w:color w:val="auto"/>
        </w:rPr>
        <w:tab/>
        <w:t>Risk Management</w:t>
      </w:r>
    </w:p>
    <w:p>
      <w:pPr>
        <w:spacing w:after="0" w:line="63"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Finance</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77" w:lineRule="exact"/>
        <w:rPr>
          <w:sz w:val="20"/>
          <w:szCs w:val="20"/>
          <w:color w:val="auto"/>
        </w:rPr>
      </w:pPr>
    </w:p>
    <w:p>
      <w:pPr>
        <w:ind w:left="180" w:right="259"/>
        <w:spacing w:after="0" w:line="256" w:lineRule="auto"/>
        <w:rPr>
          <w:sz w:val="20"/>
          <w:szCs w:val="20"/>
          <w:color w:val="auto"/>
        </w:rPr>
      </w:pPr>
      <w:r>
        <w:rPr>
          <w:rFonts w:ascii="Arial" w:cs="Arial" w:eastAsia="Arial" w:hAnsi="Arial"/>
          <w:sz w:val="18"/>
          <w:szCs w:val="18"/>
          <w:color w:val="auto"/>
        </w:rPr>
        <w:t>The Board benefits from Mr. Maddock’s breadth of global business experience, including risk management and operations, and experience in the semiconductor industry. Additionally, as a former Chief Financial Officer for multiple public companies, Mr. Maddock has extensive experience in finance and accounting, particularly as it applies to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233045</wp:posOffset>
            </wp:positionV>
            <wp:extent cx="5554980" cy="3711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54980" cy="3711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6" w:lineRule="exact"/>
        <w:rPr>
          <w:sz w:val="20"/>
          <w:szCs w:val="20"/>
          <w:color w:val="auto"/>
        </w:rPr>
      </w:pPr>
    </w:p>
    <w:p>
      <w:pPr>
        <w:ind w:left="1340" w:hanging="269"/>
        <w:spacing w:after="0" w:line="180" w:lineRule="auto"/>
        <w:tabs>
          <w:tab w:leader="none" w:pos="1340" w:val="left"/>
        </w:tabs>
        <w:numPr>
          <w:ilvl w:val="0"/>
          <w:numId w:val="26"/>
        </w:numPr>
        <w:rPr>
          <w:rFonts w:ascii="Arial" w:cs="Arial" w:eastAsia="Arial" w:hAnsi="Arial"/>
          <w:sz w:val="31"/>
          <w:szCs w:val="31"/>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ind w:left="1340" w:hanging="269"/>
        <w:spacing w:after="0" w:line="181" w:lineRule="auto"/>
        <w:tabs>
          <w:tab w:leader="none" w:pos="1340" w:val="left"/>
        </w:tabs>
        <w:numPr>
          <w:ilvl w:val="0"/>
          <w:numId w:val="26"/>
        </w:numPr>
        <w:rPr>
          <w:rFonts w:ascii="Arial" w:cs="Arial" w:eastAsia="Arial" w:hAnsi="Arial"/>
          <w:sz w:val="25"/>
          <w:szCs w:val="25"/>
          <w:color w:val="53C072"/>
          <w:vertAlign w:val="subscript"/>
        </w:rPr>
      </w:pPr>
      <w:r>
        <w:rPr>
          <w:rFonts w:ascii="Arial" w:cs="Arial" w:eastAsia="Arial" w:hAnsi="Arial"/>
          <w:sz w:val="12"/>
          <w:szCs w:val="12"/>
          <w:color w:val="auto"/>
        </w:rPr>
        <w:t>Corporate Governance</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(Chair)</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4"/>
          <w:szCs w:val="14"/>
          <w:color w:val="53C072"/>
        </w:rPr>
        <w:t>•</w:t>
      </w:r>
    </w:p>
    <w:p>
      <w:pPr>
        <w:spacing w:after="0" w:line="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AVID MODJTABAI</w:t>
      </w:r>
      <w:r>
        <w:rPr>
          <w:sz w:val="20"/>
          <w:szCs w:val="20"/>
          <w:color w:val="auto"/>
        </w:rPr>
        <w:tab/>
      </w:r>
      <w:r>
        <w:rPr>
          <w:rFonts w:ascii="Arial" w:cs="Arial" w:eastAsia="Arial" w:hAnsi="Arial"/>
          <w:sz w:val="29"/>
          <w:szCs w:val="29"/>
          <w:color w:val="auto"/>
          <w:vertAlign w:val="superscript"/>
        </w:rPr>
        <w: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60" w:right="259"/>
        <w:spacing w:after="0" w:line="268" w:lineRule="auto"/>
        <w:rPr>
          <w:sz w:val="20"/>
          <w:szCs w:val="20"/>
          <w:color w:val="auto"/>
        </w:rPr>
      </w:pPr>
      <w:r>
        <w:rPr>
          <w:rFonts w:ascii="Arial" w:cs="Arial" w:eastAsia="Arial" w:hAnsi="Arial"/>
          <w:sz w:val="17"/>
          <w:szCs w:val="17"/>
          <w:color w:val="auto"/>
        </w:rPr>
        <w:t>Ms. Modjtabai served as the Senior Executive Vice President and head of the Payments, Virtual Solutions and Innovation Group at Wells Fargo (NYSE: WFC) until March 2020, when she retired from Wells Fargo after 27 years. Prior to that, she served in various leadership roles at Wells Fargo, including Group head for Wells Fargo Consumer Lending from 2011 to 2016; Chief Information Officer and head of Technology and Operations Group from 2008 to 2011; Chief Information Officer and head of technology from 2007 to 2008; Director of Human Resources from 2005 to 2007; Executive Vice President, Head, of the Internet Services Group from 2001 to 2005; Senior Vice President of Consumer Internet Services from 1999 to 2001; and held leadership roles in the enterprise internet services group, consumer deposits, and corporate strategy from 1993 to 2001. Ms. Modjtabai has served on the board of directors of Prologis, Inc. (NYSE: PLD) since February 2020.</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Finance</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 Digital Media</w:t>
      </w:r>
    </w:p>
    <w:p>
      <w:pPr>
        <w:spacing w:after="0" w:line="63"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Marketing</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63" w:lineRule="exact"/>
        <w:rPr>
          <w:sz w:val="20"/>
          <w:szCs w:val="20"/>
          <w:color w:val="auto"/>
        </w:rPr>
      </w:pPr>
    </w:p>
    <w:p>
      <w:pPr>
        <w:ind w:left="500" w:hanging="333"/>
        <w:spacing w:after="0"/>
        <w:tabs>
          <w:tab w:leader="none" w:pos="500" w:val="left"/>
        </w:tabs>
        <w:numPr>
          <w:ilvl w:val="0"/>
          <w:numId w:val="27"/>
        </w:numPr>
        <w:rPr>
          <w:rFonts w:ascii="Arial" w:cs="Arial" w:eastAsia="Arial" w:hAnsi="Arial"/>
          <w:sz w:val="18"/>
          <w:szCs w:val="18"/>
          <w:color w:val="53C072"/>
        </w:rPr>
      </w:pPr>
      <w:r>
        <w:rPr>
          <w:rFonts w:ascii="Arial" w:cs="Arial" w:eastAsia="Arial" w:hAnsi="Arial"/>
          <w:sz w:val="18"/>
          <w:szCs w:val="18"/>
          <w:color w:val="auto"/>
        </w:rPr>
        <w:t>International Business</w:t>
      </w:r>
    </w:p>
    <w:p>
      <w:pPr>
        <w:spacing w:after="0" w:line="77" w:lineRule="exact"/>
        <w:rPr>
          <w:sz w:val="20"/>
          <w:szCs w:val="20"/>
          <w:color w:val="auto"/>
        </w:rPr>
      </w:pPr>
    </w:p>
    <w:p>
      <w:pPr>
        <w:ind w:left="160" w:right="379"/>
        <w:spacing w:after="0" w:line="263" w:lineRule="auto"/>
        <w:rPr>
          <w:sz w:val="20"/>
          <w:szCs w:val="20"/>
          <w:color w:val="auto"/>
        </w:rPr>
      </w:pPr>
      <w:r>
        <w:rPr>
          <w:rFonts w:ascii="Arial" w:cs="Arial" w:eastAsia="Arial" w:hAnsi="Arial"/>
          <w:sz w:val="18"/>
          <w:szCs w:val="18"/>
          <w:color w:val="auto"/>
        </w:rPr>
        <w:t>The Board benefits from Ms. Modjtabai’s extensive experience in operations and strategy development. The Board also benefits from her experience in the areas of financial services and change management.</w:t>
      </w:r>
    </w:p>
    <w:p>
      <w:pPr>
        <w:spacing w:after="0" w:line="200" w:lineRule="exact"/>
        <w:rPr>
          <w:sz w:val="20"/>
          <w:szCs w:val="20"/>
          <w:color w:val="auto"/>
        </w:rPr>
      </w:pPr>
    </w:p>
    <w:p>
      <w:pPr>
        <w:sectPr>
          <w:pgSz w:w="11900" w:h="16838" w:orient="portrait"/>
          <w:cols w:equalWidth="0" w:num="2">
            <w:col w:w="2980" w:space="340"/>
            <w:col w:w="6559"/>
          </w:cols>
          <w:pgMar w:left="580" w:top="90" w:right="1440" w:bottom="1440" w:gutter="0" w:footer="0" w:header="0"/>
          <w:type w:val="continuous"/>
        </w:sectPr>
      </w:pPr>
    </w:p>
    <w:p>
      <w:pPr>
        <w:spacing w:after="0" w:line="34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0"/>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700" w:type="dxa"/>
            <w:vAlign w:val="bottom"/>
            <w:vMerge w:val="restart"/>
          </w:tcPr>
          <w:p>
            <w:pPr>
              <w:ind w:left="2660"/>
              <w:spacing w:after="0"/>
              <w:rPr>
                <w:sz w:val="20"/>
                <w:szCs w:val="20"/>
                <w:color w:val="auto"/>
              </w:rPr>
            </w:pPr>
            <w:r>
              <w:rPr>
                <w:rFonts w:ascii="Arial" w:cs="Arial" w:eastAsia="Arial" w:hAnsi="Arial"/>
                <w:sz w:val="14"/>
                <w:szCs w:val="14"/>
                <w:color w:val="auto"/>
              </w:rPr>
              <w:t>Proposal 1: Election of Directors</w:t>
            </w:r>
          </w:p>
        </w:tc>
        <w:tc>
          <w:tcPr>
            <w:tcW w:w="0" w:type="dxa"/>
            <w:vAlign w:val="bottom"/>
          </w:tcPr>
          <w:p>
            <w:pPr>
              <w:spacing w:after="0"/>
              <w:rPr>
                <w:sz w:val="1"/>
                <w:szCs w:val="1"/>
                <w:color w:val="auto"/>
              </w:rPr>
            </w:pPr>
          </w:p>
        </w:tc>
      </w:tr>
      <w:tr>
        <w:trPr>
          <w:trHeight w:val="84"/>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4877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487743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38" w:lineRule="exact"/>
        <w:rPr>
          <w:sz w:val="20"/>
          <w:szCs w:val="20"/>
          <w:color w:val="auto"/>
        </w:rPr>
      </w:pPr>
    </w:p>
    <w:p>
      <w:pPr>
        <w:ind w:left="1340" w:hanging="269"/>
        <w:spacing w:after="0" w:line="180" w:lineRule="auto"/>
        <w:tabs>
          <w:tab w:leader="none" w:pos="1340" w:val="left"/>
        </w:tabs>
        <w:numPr>
          <w:ilvl w:val="0"/>
          <w:numId w:val="28"/>
        </w:numPr>
        <w:rPr>
          <w:rFonts w:ascii="Arial" w:cs="Arial" w:eastAsia="Arial" w:hAnsi="Arial"/>
          <w:sz w:val="31"/>
          <w:szCs w:val="31"/>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4" w:lineRule="exact"/>
        <w:rPr>
          <w:rFonts w:ascii="Arial" w:cs="Arial" w:eastAsia="Arial" w:hAnsi="Arial"/>
          <w:sz w:val="31"/>
          <w:szCs w:val="31"/>
          <w:color w:val="53C072"/>
          <w:vertAlign w:val="subscript"/>
        </w:rPr>
      </w:pPr>
    </w:p>
    <w:p>
      <w:pPr>
        <w:ind w:left="1340" w:hanging="269"/>
        <w:spacing w:after="0"/>
        <w:tabs>
          <w:tab w:leader="none" w:pos="1340" w:val="left"/>
        </w:tabs>
        <w:numPr>
          <w:ilvl w:val="0"/>
          <w:numId w:val="28"/>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ADALIO T. SANCHEZ</w:t>
      </w:r>
      <w:r>
        <w:rPr>
          <w:sz w:val="20"/>
          <w:szCs w:val="20"/>
          <w:color w:val="auto"/>
        </w:rPr>
        <w:tab/>
      </w:r>
      <w:r>
        <w:rPr>
          <w:rFonts w:ascii="Arial" w:cs="Arial" w:eastAsia="Arial" w:hAnsi="Arial"/>
          <w:sz w:val="29"/>
          <w:szCs w:val="29"/>
          <w:color w:val="auto"/>
          <w:vertAlign w:val="superscript"/>
        </w:rPr>
        <w: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27" w:lineRule="exact"/>
        <w:rPr>
          <w:sz w:val="20"/>
          <w:szCs w:val="20"/>
          <w:color w:val="auto"/>
        </w:rPr>
      </w:pPr>
    </w:p>
    <w:p>
      <w:pPr>
        <w:ind w:left="160" w:right="259"/>
        <w:spacing w:after="0" w:line="251" w:lineRule="auto"/>
        <w:rPr>
          <w:sz w:val="20"/>
          <w:szCs w:val="20"/>
          <w:color w:val="auto"/>
        </w:rPr>
      </w:pPr>
      <w:r>
        <w:rPr>
          <w:rFonts w:ascii="Arial" w:cs="Arial" w:eastAsia="Arial" w:hAnsi="Arial"/>
          <w:sz w:val="18"/>
          <w:szCs w:val="18"/>
          <w:color w:val="auto"/>
        </w:rPr>
        <w:t>Mr. Sanchez is President of S Group Advisory LLC, a management consulting firm providing advisory services on business strategy, technology, and operational excellence. He also serves as Board Chair of ACI Worldwide Inc. (NASDAQ: ACIW), a software company serving the electronics payments market, since 2022 and on its board of directors since 2015; on the board of directors of Snap One Holdings Corp (Nasdaq: SNPO), a smart home technology solutions and distribution company, since 2021; and on the supervisory board of ASM International NV (OTCMKTS: ASMIY), a Netherlands-based semiconductor wafer fabrication equipment company, since September 2021. Mr. Sanchez also serves on the Board of Trustees of the MITRE Corporation, a not-for-profit firm that manages federally funded research and development centers supporting several U.S. government agencies, since 2018. Mr. Sanchez previously served on the board of Quantum Corporation (Nasdaq: QMCO), a computer storage solutions company, from May 2017 to April 2019, and served as interim CEO from November 2017 to January 2018. From 2014 to 2015, Mr. Sanchez served as Senior Vice President of the Lenovo Group Limited (HK: 0992), an international technology company. Prior to that, he spent 32 years at IBM Corporation (NYSE: IBM), a global technology and innovation company, from 1982 to 2014, where he served in various capacities including sixteen years in senior executive and global general management roles.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1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 Digital Media</w:t>
      </w:r>
    </w:p>
    <w:p>
      <w:pPr>
        <w:spacing w:after="0" w:line="77" w:lineRule="exact"/>
        <w:rPr>
          <w:sz w:val="20"/>
          <w:szCs w:val="20"/>
          <w:color w:val="auto"/>
        </w:rPr>
      </w:pPr>
    </w:p>
    <w:p>
      <w:pPr>
        <w:ind w:left="500" w:hanging="333"/>
        <w:spacing w:after="0"/>
        <w:tabs>
          <w:tab w:leader="none" w:pos="500" w:val="left"/>
        </w:tabs>
        <w:numPr>
          <w:ilvl w:val="0"/>
          <w:numId w:val="29"/>
        </w:numPr>
        <w:rPr>
          <w:rFonts w:ascii="Arial" w:cs="Arial" w:eastAsia="Arial" w:hAnsi="Arial"/>
          <w:sz w:val="18"/>
          <w:szCs w:val="18"/>
          <w:color w:val="53C072"/>
        </w:rPr>
      </w:pPr>
      <w:r>
        <w:rPr>
          <w:rFonts w:ascii="Arial" w:cs="Arial" w:eastAsia="Arial" w:hAnsi="Arial"/>
          <w:sz w:val="18"/>
          <w:szCs w:val="18"/>
          <w:color w:val="auto"/>
        </w:rPr>
        <w:t>ESG</w:t>
      </w:r>
    </w:p>
    <w:p>
      <w:pPr>
        <w:spacing w:after="0" w:line="158" w:lineRule="exact"/>
        <w:rPr>
          <w:sz w:val="20"/>
          <w:szCs w:val="20"/>
          <w:color w:val="auto"/>
        </w:rPr>
      </w:pPr>
    </w:p>
    <w:p>
      <w:pPr>
        <w:ind w:left="160" w:right="539"/>
        <w:spacing w:after="0" w:line="263" w:lineRule="auto"/>
        <w:rPr>
          <w:sz w:val="20"/>
          <w:szCs w:val="20"/>
          <w:color w:val="auto"/>
        </w:rPr>
      </w:pPr>
      <w:r>
        <w:rPr>
          <w:rFonts w:ascii="Arial" w:cs="Arial" w:eastAsia="Arial" w:hAnsi="Arial"/>
          <w:sz w:val="18"/>
          <w:szCs w:val="18"/>
          <w:color w:val="auto"/>
        </w:rPr>
        <w:t>The Board benefits from Mr. Sanchez’s significant experience in corporate leadership and management, international business, technology and innovation, and his extensive semiconductor expertise.</w:t>
      </w:r>
    </w:p>
    <w:p>
      <w:pPr>
        <w:spacing w:after="0" w:line="200" w:lineRule="exact"/>
        <w:rPr>
          <w:sz w:val="20"/>
          <w:szCs w:val="20"/>
          <w:color w:val="auto"/>
        </w:rPr>
      </w:pPr>
    </w:p>
    <w:p>
      <w:pPr>
        <w:sectPr>
          <w:pgSz w:w="11900" w:h="16838" w:orient="portrait"/>
          <w:cols w:equalWidth="0" w:num="2">
            <w:col w:w="2980" w:space="340"/>
            <w:col w:w="6559"/>
          </w:cols>
          <w:pgMar w:left="580" w:top="90" w:right="1440" w:bottom="1440" w:gutter="0" w:footer="0" w:header="0"/>
          <w:type w:val="continuous"/>
        </w:sectPr>
      </w:pP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September 18, 2023, the Company’s Director nominees had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115570</wp:posOffset>
            </wp:positionV>
            <wp:extent cx="3257550" cy="19888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75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14     </w:t>
      </w:r>
      <w:r>
        <w:rPr>
          <w:sz w:val="1"/>
          <w:szCs w:val="1"/>
          <w:color w:val="auto"/>
        </w:rPr>
        <w:drawing>
          <wp:inline distT="0" distB="0" distL="0" distR="0">
            <wp:extent cx="1242695" cy="24003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80"/>
        <w:spacing w:after="0"/>
        <w:rPr>
          <w:sz w:val="20"/>
          <w:szCs w:val="20"/>
          <w:color w:val="auto"/>
        </w:rPr>
      </w:pPr>
      <w:r>
        <w:rPr>
          <w:rFonts w:ascii="Arial" w:cs="Arial" w:eastAsia="Arial" w:hAnsi="Arial"/>
          <w:sz w:val="40"/>
          <w:szCs w:val="40"/>
          <w:b w:val="1"/>
          <w:bCs w:val="1"/>
          <w:color w:val="FEFEFE"/>
        </w:rPr>
        <w:t>CORPORATE GOVERNANCE</w:t>
      </w:r>
      <w:r>
        <w:rPr>
          <w:rFonts w:ascii="Arial" w:cs="Arial" w:eastAsia="Arial" w:hAnsi="Arial"/>
          <w:sz w:val="17"/>
          <w:szCs w:val="17"/>
          <w:color w:val="FEFEFE"/>
        </w:rPr>
        <w:t>​</w:t>
      </w:r>
    </w:p>
    <w:p>
      <w:pPr>
        <w:spacing w:after="0" w:line="354" w:lineRule="exact"/>
        <w:rPr>
          <w:sz w:val="20"/>
          <w:szCs w:val="20"/>
          <w:color w:val="auto"/>
        </w:rPr>
      </w:pPr>
    </w:p>
    <w:p>
      <w:pPr>
        <w:ind w:left="1000" w:right="239"/>
        <w:spacing w:after="0" w:line="263"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99060</wp:posOffset>
            </wp:positionV>
            <wp:extent cx="5212080" cy="1945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GUIDELINES</w:t>
      </w:r>
    </w:p>
    <w:p>
      <w:pPr>
        <w:spacing w:after="0" w:line="158"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Company’s corporate governance practices and procedures.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27"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As a general policy, as set forth in the Guidelines, the Board recommends the following limits as to the service of Directors on other boards of public companies: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INDEPENDENCE</w:t>
      </w:r>
    </w:p>
    <w:p>
      <w:pPr>
        <w:spacing w:after="0" w:line="158" w:lineRule="exact"/>
        <w:rPr>
          <w:sz w:val="20"/>
          <w:szCs w:val="20"/>
          <w:color w:val="auto"/>
        </w:rPr>
      </w:pPr>
    </w:p>
    <w:p>
      <w:pPr>
        <w:ind w:left="1000" w:right="239"/>
        <w:spacing w:after="0" w:line="255"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nine out of the ten current Directors are independent under the independence standards adopted by the Board (provided in Appendix A to the Guidelines), and under the independence requirements of the Nasdaq listing standards: Rodney C. Adkins, Carlo Bozotti, Brenda L. Freeman, Jo Ann Jenkins, Oleg Khaykin, James A. Lawrence, Ernest E. Maddock, Avid Modjtabai, and Adalio T. Sanchez (collectively, the “Independent Directors”).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DIVERSITY MATRIX</w:t>
      </w:r>
    </w:p>
    <w:p>
      <w:pPr>
        <w:spacing w:after="0" w:line="172" w:lineRule="exact"/>
        <w:rPr>
          <w:sz w:val="20"/>
          <w:szCs w:val="20"/>
          <w:color w:val="auto"/>
        </w:rPr>
      </w:pPr>
    </w:p>
    <w:p>
      <w:pPr>
        <w:ind w:left="1000" w:right="219"/>
        <w:spacing w:after="0" w:line="263" w:lineRule="auto"/>
        <w:rPr>
          <w:sz w:val="20"/>
          <w:szCs w:val="20"/>
          <w:color w:val="auto"/>
        </w:rPr>
      </w:pPr>
      <w:r>
        <w:rPr>
          <w:rFonts w:ascii="Arial" w:cs="Arial" w:eastAsia="Arial" w:hAnsi="Arial"/>
          <w:sz w:val="18"/>
          <w:szCs w:val="18"/>
          <w:color w:val="auto"/>
        </w:rPr>
        <w:t>The matrix below provides certain demographic information regarding the Company’s Board of Directors as of September 18, 2023. The information is based on Directors’ self-identification and the definitions under Nasdaq Rule 5605(f).</w:t>
      </w:r>
    </w:p>
    <w:p>
      <w:pPr>
        <w:spacing w:after="0" w:line="136" w:lineRule="exact"/>
        <w:rPr>
          <w:sz w:val="20"/>
          <w:szCs w:val="20"/>
          <w:color w:val="auto"/>
        </w:rPr>
      </w:pPr>
    </w:p>
    <w:tbl>
      <w:tblPr>
        <w:tblLayout w:type="fixed"/>
        <w:tblInd w:w="2990" w:type="dxa"/>
        <w:tblCellMar>
          <w:top w:w="0" w:type="dxa"/>
          <w:left w:w="0" w:type="dxa"/>
          <w:bottom w:w="0" w:type="dxa"/>
          <w:right w:w="0" w:type="dxa"/>
        </w:tblCellMar>
      </w:tblPr>
      <w:tr>
        <w:trPr>
          <w:trHeight w:val="330"/>
        </w:trPr>
        <w:tc>
          <w:tcPr>
            <w:tcW w:w="180" w:type="dxa"/>
            <w:vAlign w:val="bottom"/>
            <w:tcBorders>
              <w:top w:val="single" w:sz="8" w:color="auto"/>
              <w:left w:val="single" w:sz="8" w:color="auto"/>
            </w:tcBorders>
            <w:shd w:val="clear" w:color="auto" w:fill="53C072"/>
          </w:tcPr>
          <w:p>
            <w:pPr>
              <w:ind w:left="100"/>
              <w:spacing w:after="0"/>
              <w:rPr>
                <w:sz w:val="20"/>
                <w:szCs w:val="20"/>
                <w:color w:val="auto"/>
              </w:rPr>
            </w:pPr>
            <w:r>
              <w:rPr>
                <w:rFonts w:ascii="Arial" w:cs="Arial" w:eastAsia="Arial" w:hAnsi="Arial"/>
                <w:sz w:val="16"/>
                <w:szCs w:val="16"/>
                <w:b w:val="1"/>
                <w:bCs w:val="1"/>
                <w:color w:val="FEFEFE"/>
              </w:rPr>
              <w:t>​</w:t>
            </w:r>
          </w:p>
        </w:tc>
        <w:tc>
          <w:tcPr>
            <w:tcW w:w="4340" w:type="dxa"/>
            <w:vAlign w:val="bottom"/>
            <w:tcBorders>
              <w:top w:val="single" w:sz="8" w:color="auto"/>
            </w:tcBorders>
            <w:gridSpan w:val="8"/>
            <w:shd w:val="clear" w:color="auto" w:fill="53C072"/>
          </w:tcPr>
          <w:p>
            <w:pPr>
              <w:jc w:val="right"/>
              <w:ind w:right="159"/>
              <w:spacing w:after="0"/>
              <w:rPr>
                <w:sz w:val="20"/>
                <w:szCs w:val="20"/>
                <w:color w:val="auto"/>
              </w:rPr>
            </w:pPr>
            <w:r>
              <w:rPr>
                <w:rFonts w:ascii="Arial" w:cs="Arial" w:eastAsia="Arial" w:hAnsi="Arial"/>
                <w:sz w:val="16"/>
                <w:szCs w:val="16"/>
                <w:b w:val="1"/>
                <w:bCs w:val="1"/>
                <w:color w:val="FEFEFE"/>
              </w:rPr>
              <w:t>Board Diversity Matrix (As of September 18, 2023)</w:t>
            </w:r>
          </w:p>
        </w:tc>
        <w:tc>
          <w:tcPr>
            <w:tcW w:w="260" w:type="dxa"/>
            <w:vAlign w:val="bottom"/>
            <w:tcBorders>
              <w:top w:val="single" w:sz="8" w:color="auto"/>
              <w:right w:val="single" w:sz="8" w:color="auto"/>
            </w:tcBorders>
            <w:shd w:val="clear" w:color="auto" w:fill="53C072"/>
          </w:tcPr>
          <w:p>
            <w:pPr>
              <w:ind w:left="120"/>
              <w:spacing w:after="0"/>
              <w:rPr>
                <w:sz w:val="20"/>
                <w:szCs w:val="20"/>
                <w:color w:val="auto"/>
              </w:rPr>
            </w:pPr>
            <w:r>
              <w:rPr>
                <w:rFonts w:ascii="Arial" w:cs="Arial" w:eastAsia="Arial" w:hAnsi="Arial"/>
                <w:sz w:val="16"/>
                <w:szCs w:val="16"/>
                <w:b w:val="1"/>
                <w:bCs w:val="1"/>
                <w:color w:val="FEFEFE"/>
              </w:rPr>
              <w:t>​</w:t>
            </w:r>
          </w:p>
        </w:tc>
      </w:tr>
      <w:tr>
        <w:trPr>
          <w:trHeight w:val="102"/>
        </w:trPr>
        <w:tc>
          <w:tcPr>
            <w:tcW w:w="180" w:type="dxa"/>
            <w:vAlign w:val="bottom"/>
            <w:tcBorders>
              <w:left w:val="single" w:sz="8" w:color="auto"/>
              <w:bottom w:val="single" w:sz="8" w:color="auto"/>
            </w:tcBorders>
            <w:shd w:val="clear" w:color="auto" w:fill="53C072"/>
          </w:tcPr>
          <w:p>
            <w:pPr>
              <w:spacing w:after="0"/>
              <w:rPr>
                <w:sz w:val="8"/>
                <w:szCs w:val="8"/>
                <w:color w:val="auto"/>
              </w:rPr>
            </w:pPr>
          </w:p>
        </w:tc>
        <w:tc>
          <w:tcPr>
            <w:tcW w:w="2420" w:type="dxa"/>
            <w:vAlign w:val="bottom"/>
            <w:tcBorders>
              <w:bottom w:val="single" w:sz="8" w:color="auto"/>
            </w:tcBorders>
            <w:shd w:val="clear" w:color="auto" w:fill="53C072"/>
          </w:tcPr>
          <w:p>
            <w:pPr>
              <w:spacing w:after="0"/>
              <w:rPr>
                <w:sz w:val="8"/>
                <w:szCs w:val="8"/>
                <w:color w:val="auto"/>
              </w:rPr>
            </w:pPr>
          </w:p>
        </w:tc>
        <w:tc>
          <w:tcPr>
            <w:tcW w:w="480" w:type="dxa"/>
            <w:vAlign w:val="bottom"/>
            <w:tcBorders>
              <w:bottom w:val="single" w:sz="8" w:color="auto"/>
              <w:right w:val="single" w:sz="8" w:color="53C072"/>
            </w:tcBorders>
            <w:shd w:val="clear" w:color="auto" w:fill="53C072"/>
          </w:tcPr>
          <w:p>
            <w:pPr>
              <w:spacing w:after="0"/>
              <w:rPr>
                <w:sz w:val="8"/>
                <w:szCs w:val="8"/>
                <w:color w:val="auto"/>
              </w:rPr>
            </w:pPr>
          </w:p>
        </w:tc>
        <w:tc>
          <w:tcPr>
            <w:tcW w:w="200" w:type="dxa"/>
            <w:vAlign w:val="bottom"/>
            <w:tcBorders>
              <w:bottom w:val="single" w:sz="8" w:color="auto"/>
            </w:tcBorders>
            <w:shd w:val="clear" w:color="auto" w:fill="53C072"/>
          </w:tcPr>
          <w:p>
            <w:pPr>
              <w:spacing w:after="0"/>
              <w:rPr>
                <w:sz w:val="8"/>
                <w:szCs w:val="8"/>
                <w:color w:val="auto"/>
              </w:rPr>
            </w:pPr>
          </w:p>
        </w:tc>
        <w:tc>
          <w:tcPr>
            <w:tcW w:w="38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53C072"/>
            </w:tcBorders>
            <w:shd w:val="clear" w:color="auto" w:fill="53C072"/>
          </w:tcPr>
          <w:p>
            <w:pPr>
              <w:spacing w:after="0"/>
              <w:rPr>
                <w:sz w:val="8"/>
                <w:szCs w:val="8"/>
                <w:color w:val="auto"/>
              </w:rPr>
            </w:pPr>
          </w:p>
        </w:tc>
        <w:tc>
          <w:tcPr>
            <w:tcW w:w="40" w:type="dxa"/>
            <w:vAlign w:val="bottom"/>
            <w:tcBorders>
              <w:bottom w:val="single" w:sz="8" w:color="auto"/>
            </w:tcBorders>
            <w:shd w:val="clear" w:color="auto" w:fill="53C072"/>
          </w:tcPr>
          <w:p>
            <w:pPr>
              <w:spacing w:after="0"/>
              <w:rPr>
                <w:sz w:val="8"/>
                <w:szCs w:val="8"/>
                <w:color w:val="auto"/>
              </w:rPr>
            </w:pPr>
          </w:p>
        </w:tc>
        <w:tc>
          <w:tcPr>
            <w:tcW w:w="160" w:type="dxa"/>
            <w:vAlign w:val="bottom"/>
            <w:tcBorders>
              <w:bottom w:val="single" w:sz="8" w:color="auto"/>
            </w:tcBorders>
            <w:shd w:val="clear" w:color="auto" w:fill="53C072"/>
          </w:tcPr>
          <w:p>
            <w:pPr>
              <w:spacing w:after="0"/>
              <w:rPr>
                <w:sz w:val="8"/>
                <w:szCs w:val="8"/>
                <w:color w:val="auto"/>
              </w:rPr>
            </w:pPr>
          </w:p>
        </w:tc>
        <w:tc>
          <w:tcPr>
            <w:tcW w:w="40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auto"/>
            </w:tcBorders>
            <w:shd w:val="clear" w:color="auto" w:fill="53C072"/>
          </w:tcPr>
          <w:p>
            <w:pPr>
              <w:spacing w:after="0"/>
              <w:rPr>
                <w:sz w:val="8"/>
                <w:szCs w:val="8"/>
                <w:color w:val="auto"/>
              </w:rPr>
            </w:pPr>
          </w:p>
        </w:tc>
      </w:tr>
      <w:tr>
        <w:trPr>
          <w:trHeight w:val="283"/>
        </w:trPr>
        <w:tc>
          <w:tcPr>
            <w:tcW w:w="180" w:type="dxa"/>
            <w:vAlign w:val="bottom"/>
            <w:tcBorders>
              <w:left w:val="single" w:sz="8" w:color="auto"/>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shd w:val="clear" w:color="auto" w:fill="B2B2B2"/>
          </w:tcPr>
          <w:p>
            <w:pPr>
              <w:ind w:left="40"/>
              <w:spacing w:after="0"/>
              <w:rPr>
                <w:sz w:val="20"/>
                <w:szCs w:val="20"/>
                <w:color w:val="auto"/>
              </w:rPr>
            </w:pPr>
            <w:r>
              <w:rPr>
                <w:rFonts w:ascii="Arial" w:cs="Arial" w:eastAsia="Arial" w:hAnsi="Arial"/>
                <w:sz w:val="16"/>
                <w:szCs w:val="16"/>
                <w:b w:val="1"/>
                <w:bCs w:val="1"/>
                <w:color w:val="auto"/>
              </w:rPr>
              <w:t>Board Size:</w:t>
            </w:r>
          </w:p>
        </w:tc>
        <w:tc>
          <w:tcPr>
            <w:tcW w:w="480" w:type="dxa"/>
            <w:vAlign w:val="bottom"/>
            <w:tcBorders>
              <w:right w:val="single" w:sz="8" w:color="B2B2B2"/>
            </w:tcBorders>
            <w:shd w:val="clear" w:color="auto" w:fill="B2B2B2"/>
          </w:tcPr>
          <w:p>
            <w:pPr>
              <w:spacing w:after="0"/>
              <w:rPr>
                <w:sz w:val="24"/>
                <w:szCs w:val="24"/>
                <w:color w:val="auto"/>
              </w:rPr>
            </w:pPr>
          </w:p>
        </w:tc>
        <w:tc>
          <w:tcPr>
            <w:tcW w:w="200" w:type="dxa"/>
            <w:vAlign w:val="bottom"/>
            <w:shd w:val="clear" w:color="auto" w:fill="B2B2B2"/>
          </w:tcPr>
          <w:p>
            <w:pPr>
              <w:spacing w:after="0"/>
              <w:rPr>
                <w:sz w:val="24"/>
                <w:szCs w:val="24"/>
                <w:color w:val="auto"/>
              </w:rPr>
            </w:pPr>
          </w:p>
        </w:tc>
        <w:tc>
          <w:tcPr>
            <w:tcW w:w="380" w:type="dxa"/>
            <w:vAlign w:val="bottom"/>
            <w:shd w:val="clear" w:color="auto" w:fill="B2B2B2"/>
          </w:tcPr>
          <w:p>
            <w:pPr>
              <w:spacing w:after="0"/>
              <w:rPr>
                <w:sz w:val="24"/>
                <w:szCs w:val="24"/>
                <w:color w:val="auto"/>
              </w:rPr>
            </w:pPr>
          </w:p>
        </w:tc>
        <w:tc>
          <w:tcPr>
            <w:tcW w:w="260" w:type="dxa"/>
            <w:vAlign w:val="bottom"/>
            <w:tcBorders>
              <w:right w:val="single" w:sz="8" w:color="B2B2B2"/>
            </w:tcBorders>
            <w:shd w:val="clear" w:color="auto" w:fill="B2B2B2"/>
          </w:tcPr>
          <w:p>
            <w:pPr>
              <w:spacing w:after="0"/>
              <w:rPr>
                <w:sz w:val="24"/>
                <w:szCs w:val="24"/>
                <w:color w:val="auto"/>
              </w:rPr>
            </w:pPr>
          </w:p>
        </w:tc>
        <w:tc>
          <w:tcPr>
            <w:tcW w:w="4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400" w:type="dxa"/>
            <w:vAlign w:val="bottom"/>
            <w:shd w:val="clear" w:color="auto" w:fill="B2B2B2"/>
          </w:tcPr>
          <w:p>
            <w:pPr>
              <w:spacing w:after="0"/>
              <w:rPr>
                <w:sz w:val="24"/>
                <w:szCs w:val="24"/>
                <w:color w:val="auto"/>
              </w:rPr>
            </w:pPr>
          </w:p>
        </w:tc>
        <w:tc>
          <w:tcPr>
            <w:tcW w:w="2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75"/>
        </w:trPr>
        <w:tc>
          <w:tcPr>
            <w:tcW w:w="2600" w:type="dxa"/>
            <w:vAlign w:val="bottom"/>
            <w:tcBorders>
              <w:left w:val="single" w:sz="8" w:color="auto"/>
              <w:bottom w:val="single" w:sz="8" w:color="auto"/>
            </w:tcBorders>
            <w:gridSpan w:val="2"/>
            <w:shd w:val="clear" w:color="auto" w:fill="B2B2B2"/>
          </w:tcPr>
          <w:p>
            <w:pPr>
              <w:spacing w:after="0"/>
              <w:rPr>
                <w:sz w:val="6"/>
                <w:szCs w:val="6"/>
                <w:color w:val="auto"/>
              </w:rPr>
            </w:pPr>
          </w:p>
        </w:tc>
        <w:tc>
          <w:tcPr>
            <w:tcW w:w="480" w:type="dxa"/>
            <w:vAlign w:val="bottom"/>
            <w:tcBorders>
              <w:bottom w:val="single" w:sz="8" w:color="auto"/>
              <w:right w:val="single" w:sz="8" w:color="B2B2B2"/>
            </w:tcBorders>
            <w:shd w:val="clear" w:color="auto" w:fill="B2B2B2"/>
          </w:tcPr>
          <w:p>
            <w:pPr>
              <w:spacing w:after="0"/>
              <w:rPr>
                <w:sz w:val="6"/>
                <w:szCs w:val="6"/>
                <w:color w:val="auto"/>
              </w:rPr>
            </w:pPr>
          </w:p>
        </w:tc>
        <w:tc>
          <w:tcPr>
            <w:tcW w:w="200" w:type="dxa"/>
            <w:vAlign w:val="bottom"/>
            <w:tcBorders>
              <w:bottom w:val="single" w:sz="8" w:color="auto"/>
            </w:tcBorders>
            <w:shd w:val="clear" w:color="auto" w:fill="B2B2B2"/>
          </w:tcPr>
          <w:p>
            <w:pPr>
              <w:spacing w:after="0"/>
              <w:rPr>
                <w:sz w:val="6"/>
                <w:szCs w:val="6"/>
                <w:color w:val="auto"/>
              </w:rPr>
            </w:pPr>
          </w:p>
        </w:tc>
        <w:tc>
          <w:tcPr>
            <w:tcW w:w="38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B2B2B2"/>
            </w:tcBorders>
            <w:shd w:val="clear" w:color="auto" w:fill="B2B2B2"/>
          </w:tcPr>
          <w:p>
            <w:pPr>
              <w:spacing w:after="0"/>
              <w:rPr>
                <w:sz w:val="6"/>
                <w:szCs w:val="6"/>
                <w:color w:val="auto"/>
              </w:rPr>
            </w:pPr>
          </w:p>
        </w:tc>
        <w:tc>
          <w:tcPr>
            <w:tcW w:w="40" w:type="dxa"/>
            <w:vAlign w:val="bottom"/>
            <w:tcBorders>
              <w:bottom w:val="single" w:sz="8" w:color="auto"/>
            </w:tcBorders>
            <w:shd w:val="clear" w:color="auto" w:fill="B2B2B2"/>
          </w:tcPr>
          <w:p>
            <w:pPr>
              <w:spacing w:after="0"/>
              <w:rPr>
                <w:sz w:val="6"/>
                <w:szCs w:val="6"/>
                <w:color w:val="auto"/>
              </w:rPr>
            </w:pPr>
          </w:p>
        </w:tc>
        <w:tc>
          <w:tcPr>
            <w:tcW w:w="160" w:type="dxa"/>
            <w:vAlign w:val="bottom"/>
            <w:tcBorders>
              <w:bottom w:val="single" w:sz="8" w:color="auto"/>
            </w:tcBorders>
            <w:shd w:val="clear" w:color="auto" w:fill="B2B2B2"/>
          </w:tcPr>
          <w:p>
            <w:pPr>
              <w:spacing w:after="0"/>
              <w:rPr>
                <w:sz w:val="6"/>
                <w:szCs w:val="6"/>
                <w:color w:val="auto"/>
              </w:rPr>
            </w:pPr>
          </w:p>
        </w:tc>
        <w:tc>
          <w:tcPr>
            <w:tcW w:w="40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auto"/>
            </w:tcBorders>
            <w:shd w:val="clear" w:color="auto" w:fill="B2B2B2"/>
          </w:tcPr>
          <w:p>
            <w:pPr>
              <w:spacing w:after="0"/>
              <w:rPr>
                <w:sz w:val="6"/>
                <w:szCs w:val="6"/>
                <w:color w:val="auto"/>
              </w:rPr>
            </w:pPr>
          </w:p>
        </w:tc>
      </w:tr>
      <w:tr>
        <w:trPr>
          <w:trHeight w:val="283"/>
        </w:trPr>
        <w:tc>
          <w:tcPr>
            <w:tcW w:w="2600" w:type="dxa"/>
            <w:vAlign w:val="bottom"/>
            <w:tcBorders>
              <w:left w:val="single" w:sz="8" w:color="auto"/>
            </w:tcBorders>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Total Number of Directors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 10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2600" w:type="dxa"/>
            <w:vAlign w:val="bottom"/>
            <w:tcBorders>
              <w:left w:val="single" w:sz="8" w:color="auto"/>
              <w:bottom w:val="single" w:sz="8" w:color="B2B2B2"/>
            </w:tcBorders>
            <w:gridSpan w:val="2"/>
            <w:shd w:val="clear" w:color="auto" w:fill="B2B2B2"/>
          </w:tcPr>
          <w:p>
            <w:pPr>
              <w:ind w:left="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Gender Identity:</w:t>
            </w:r>
          </w:p>
        </w:tc>
        <w:tc>
          <w:tcPr>
            <w:tcW w:w="480" w:type="dxa"/>
            <w:vAlign w:val="bottom"/>
            <w:tcBorders>
              <w:bottom w:val="single" w:sz="8" w:color="B2B2B2"/>
              <w:right w:val="single" w:sz="8" w:color="auto"/>
            </w:tcBorders>
            <w:shd w:val="clear" w:color="auto" w:fill="B2B2B2"/>
          </w:tcPr>
          <w:p>
            <w:pPr>
              <w:ind w:left="4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right w:val="single" w:sz="8" w:color="auto"/>
            </w:tcBorders>
            <w:gridSpan w:val="3"/>
            <w:shd w:val="clear" w:color="auto" w:fill="B2B2B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Female</w:t>
            </w:r>
            <w:r>
              <w:rPr>
                <w:rFonts w:ascii="Arial" w:cs="Arial" w:eastAsia="Arial" w:hAnsi="Arial"/>
                <w:sz w:val="16"/>
                <w:szCs w:val="16"/>
                <w:color w:val="auto"/>
              </w:rPr>
              <w:t xml:space="preserve"> ​</w:t>
            </w:r>
          </w:p>
        </w:tc>
        <w:tc>
          <w:tcPr>
            <w:tcW w:w="40" w:type="dxa"/>
            <w:vAlign w:val="bottom"/>
            <w:tcBorders>
              <w:bottom w:val="single" w:sz="8" w:color="B2B2B2"/>
            </w:tcBorders>
            <w:shd w:val="clear" w:color="auto" w:fill="B2B2B2"/>
          </w:tcPr>
          <w:p>
            <w:pPr>
              <w:spacing w:after="0"/>
              <w:rPr>
                <w:sz w:val="24"/>
                <w:szCs w:val="24"/>
                <w:color w:val="auto"/>
              </w:rPr>
            </w:pPr>
          </w:p>
        </w:tc>
        <w:tc>
          <w:tcPr>
            <w:tcW w:w="56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Male</w:t>
            </w:r>
          </w:p>
        </w:tc>
        <w:tc>
          <w:tcPr>
            <w:tcW w:w="260" w:type="dxa"/>
            <w:vAlign w:val="bottom"/>
            <w:tcBorders>
              <w:bottom w:val="single" w:sz="8" w:color="B2B2B2"/>
              <w:right w:val="single" w:sz="8" w:color="auto"/>
            </w:tcBorders>
            <w:shd w:val="clear" w:color="auto" w:fill="B2B2B2"/>
          </w:tcPr>
          <w:p>
            <w:pPr>
              <w:ind w:left="120"/>
              <w:spacing w:after="0"/>
              <w:rPr>
                <w:sz w:val="20"/>
                <w:szCs w:val="20"/>
                <w:color w:val="auto"/>
              </w:rPr>
            </w:pPr>
            <w:r>
              <w:rPr>
                <w:rFonts w:ascii="Arial" w:cs="Arial" w:eastAsia="Arial" w:hAnsi="Arial"/>
                <w:sz w:val="16"/>
                <w:szCs w:val="16"/>
                <w:color w:val="auto"/>
              </w:rPr>
              <w:t>​</w:t>
            </w:r>
          </w:p>
        </w:tc>
      </w:tr>
      <w:tr>
        <w:trPr>
          <w:trHeight w:val="283"/>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Directors</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3</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5"/>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180" w:type="dxa"/>
            <w:vAlign w:val="bottom"/>
            <w:tcBorders>
              <w:left w:val="single" w:sz="8" w:color="auto"/>
              <w:bottom w:val="single" w:sz="8" w:color="B2B2B2"/>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Demographic Background</w:t>
            </w:r>
          </w:p>
        </w:tc>
        <w:tc>
          <w:tcPr>
            <w:tcW w:w="480" w:type="dxa"/>
            <w:vAlign w:val="bottom"/>
            <w:tcBorders>
              <w:bottom w:val="single" w:sz="8" w:color="B2B2B2"/>
              <w:right w:val="single" w:sz="8" w:color="B2B2B2"/>
            </w:tcBorders>
            <w:shd w:val="clear" w:color="auto" w:fill="B2B2B2"/>
          </w:tcPr>
          <w:p>
            <w:pPr>
              <w:spacing w:after="0"/>
              <w:rPr>
                <w:sz w:val="24"/>
                <w:szCs w:val="24"/>
                <w:color w:val="auto"/>
              </w:rPr>
            </w:pPr>
          </w:p>
        </w:tc>
        <w:tc>
          <w:tcPr>
            <w:tcW w:w="200" w:type="dxa"/>
            <w:vAlign w:val="bottom"/>
            <w:tcBorders>
              <w:bottom w:val="single" w:sz="8" w:color="B2B2B2"/>
            </w:tcBorders>
            <w:shd w:val="clear" w:color="auto" w:fill="B2B2B2"/>
          </w:tcPr>
          <w:p>
            <w:pPr>
              <w:spacing w:after="0"/>
              <w:rPr>
                <w:sz w:val="24"/>
                <w:szCs w:val="24"/>
                <w:color w:val="auto"/>
              </w:rPr>
            </w:pPr>
          </w:p>
        </w:tc>
        <w:tc>
          <w:tcPr>
            <w:tcW w:w="38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B2B2B2"/>
            </w:tcBorders>
            <w:shd w:val="clear" w:color="auto" w:fill="B2B2B2"/>
          </w:tcPr>
          <w:p>
            <w:pPr>
              <w:spacing w:after="0"/>
              <w:rPr>
                <w:sz w:val="24"/>
                <w:szCs w:val="24"/>
                <w:color w:val="auto"/>
              </w:rPr>
            </w:pPr>
          </w:p>
        </w:tc>
        <w:tc>
          <w:tcPr>
            <w:tcW w:w="40" w:type="dxa"/>
            <w:vAlign w:val="bottom"/>
            <w:tcBorders>
              <w:bottom w:val="single" w:sz="8" w:color="B2B2B2"/>
            </w:tcBorders>
            <w:shd w:val="clear" w:color="auto" w:fill="B2B2B2"/>
          </w:tcPr>
          <w:p>
            <w:pPr>
              <w:spacing w:after="0"/>
              <w:rPr>
                <w:sz w:val="24"/>
                <w:szCs w:val="24"/>
                <w:color w:val="auto"/>
              </w:rPr>
            </w:pPr>
          </w:p>
        </w:tc>
        <w:tc>
          <w:tcPr>
            <w:tcW w:w="160" w:type="dxa"/>
            <w:vAlign w:val="bottom"/>
            <w:tcBorders>
              <w:bottom w:val="single" w:sz="8" w:color="B2B2B2"/>
            </w:tcBorders>
            <w:shd w:val="clear" w:color="auto" w:fill="B2B2B2"/>
          </w:tcPr>
          <w:p>
            <w:pPr>
              <w:spacing w:after="0"/>
              <w:rPr>
                <w:sz w:val="24"/>
                <w:szCs w:val="24"/>
                <w:color w:val="auto"/>
              </w:rPr>
            </w:pPr>
          </w:p>
        </w:tc>
        <w:tc>
          <w:tcPr>
            <w:tcW w:w="40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283"/>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 African American or Black</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 Hispanic or Latinx</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 White</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w w:val="92"/>
              </w:rPr>
              <w:t>1*</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10"/>
        </w:trPr>
        <w:tc>
          <w:tcPr>
            <w:tcW w:w="180" w:type="dxa"/>
            <w:vAlign w:val="bottom"/>
            <w:tcBorders>
              <w:left w:val="single" w:sz="8" w:color="auto"/>
            </w:tcBorders>
          </w:tcPr>
          <w:p>
            <w:pPr>
              <w:spacing w:after="0"/>
              <w:rPr>
                <w:sz w:val="20"/>
                <w:szCs w:val="20"/>
                <w:color w:val="auto"/>
              </w:rPr>
            </w:pPr>
            <w:r>
              <w:rPr>
                <w:rFonts w:ascii="Arial" w:cs="Arial" w:eastAsia="Arial" w:hAnsi="Arial"/>
                <w:sz w:val="16"/>
                <w:szCs w:val="16"/>
                <w:color w:val="auto"/>
              </w:rPr>
              <w:t>​</w:t>
            </w:r>
          </w:p>
        </w:tc>
        <w:tc>
          <w:tcPr>
            <w:tcW w:w="2420" w:type="dxa"/>
            <w:vAlign w:val="bottom"/>
          </w:tcPr>
          <w:p>
            <w:pPr>
              <w:ind w:left="40"/>
              <w:spacing w:after="0"/>
              <w:rPr>
                <w:sz w:val="20"/>
                <w:szCs w:val="20"/>
                <w:color w:val="auto"/>
              </w:rPr>
            </w:pPr>
            <w:r>
              <w:rPr>
                <w:rFonts w:ascii="Arial" w:cs="Arial" w:eastAsia="Arial" w:hAnsi="Arial"/>
                <w:sz w:val="16"/>
                <w:szCs w:val="16"/>
                <w:color w:val="auto"/>
              </w:rPr>
              <w:t> LGBTQ+</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 1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02"/>
        </w:trPr>
        <w:tc>
          <w:tcPr>
            <w:tcW w:w="180" w:type="dxa"/>
            <w:vAlign w:val="bottom"/>
            <w:tcBorders>
              <w:left w:val="single" w:sz="8" w:color="auto"/>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r>
    </w:tbl>
    <w:p>
      <w:pPr>
        <w:spacing w:after="0" w:line="1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Identifies as Middle Eastern</w:t>
      </w:r>
    </w:p>
    <w:p>
      <w:pPr>
        <w:spacing w:after="0" w:line="20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LEADERSHIP STRUCTURE</w:t>
      </w:r>
    </w:p>
    <w:p>
      <w:pPr>
        <w:spacing w:after="0" w:line="158"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Pursuant to the Guidelines, the Board has the flexibility to decide whether it is best for the Company at a given point in time for the roles of the Chief Executive Officer (“CEO”) and Chair of the Board (the “Chair”) to be separated or combined and, if separated, whether the Chair should be selected from the Independent Directors or be an employee of the Company. The Board believes that the Company and its shareholders are best served by maintaining this flexibility rather than mandating a particular leadership structure, and the Board has experience functioning effectively either way. The Board also believes its programs for overseeing risk would be effective under a variety of leadership frameworks and therefore do not materially affect how it structures its leadership. If the Chair is an employee of the Company, the Guidelines provide that the independent Directors will elect an active lead independent director.</w:t>
      </w:r>
    </w:p>
    <w:p>
      <w:pPr>
        <w:spacing w:after="0" w:line="129" w:lineRule="exact"/>
        <w:rPr>
          <w:sz w:val="20"/>
          <w:szCs w:val="20"/>
          <w:color w:val="auto"/>
        </w:rPr>
      </w:pPr>
    </w:p>
    <w:p>
      <w:pPr>
        <w:ind w:left="1000" w:right="159"/>
        <w:spacing w:after="0" w:line="253" w:lineRule="auto"/>
        <w:rPr>
          <w:sz w:val="20"/>
          <w:szCs w:val="20"/>
          <w:color w:val="auto"/>
        </w:rPr>
      </w:pPr>
      <w:r>
        <w:rPr>
          <w:rFonts w:ascii="Arial" w:cs="Arial" w:eastAsia="Arial" w:hAnsi="Arial"/>
          <w:sz w:val="18"/>
          <w:szCs w:val="18"/>
          <w:color w:val="auto"/>
        </w:rPr>
        <w:t>Currently the roles are separated, whereby Mr. Adkins, an Independent Director of the Company, currently serves as the Chair and Philip R. Gallagher currently serves as the Chief Executive Officer. The Board has concluded that the current leadership structure is the appropriate framework at this time because it allows Directors to provide independent, objective, and effective oversight of management. Under this structure, the independent Chair can focus on Board performance and facilitating information flow between the Board and CEO. The independent Chair works closely with the CEO and Chief Legal Officer to set Board meeting agendas and meeting schedules, and chairs executive sessions at Board meetings. In addition, the Board believes that Mr. Adkin’s global business experience in the technology industry, international markets, and supply chain management, as well as his strong public board experience with outside companies, enables him to provide effective leadership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1242695"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SESSIONS</w:t>
      </w:r>
    </w:p>
    <w:p>
      <w:pPr>
        <w:spacing w:after="0" w:line="172" w:lineRule="exact"/>
        <w:rPr>
          <w:sz w:val="20"/>
          <w:szCs w:val="20"/>
          <w:color w:val="auto"/>
        </w:rPr>
      </w:pPr>
    </w:p>
    <w:p>
      <w:pPr>
        <w:ind w:left="1000" w:right="199"/>
        <w:spacing w:after="0" w:line="260"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at regularly scheduled Board meetings with neither non-Independent Directors nor management present.</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NOMINATIONS</w:t>
      </w:r>
    </w:p>
    <w:p>
      <w:pPr>
        <w:spacing w:after="0" w:line="172" w:lineRule="exact"/>
        <w:rPr>
          <w:sz w:val="20"/>
          <w:szCs w:val="20"/>
          <w:color w:val="auto"/>
        </w:rPr>
      </w:pPr>
    </w:p>
    <w:p>
      <w:pPr>
        <w:ind w:left="1000" w:right="199"/>
        <w:spacing w:after="0" w:line="257" w:lineRule="auto"/>
        <w:rPr>
          <w:sz w:val="20"/>
          <w:szCs w:val="20"/>
          <w:color w:val="auto"/>
        </w:rPr>
      </w:pPr>
      <w:r>
        <w:rPr>
          <w:rFonts w:ascii="Arial" w:cs="Arial" w:eastAsia="Arial" w:hAnsi="Arial"/>
          <w:sz w:val="17"/>
          <w:szCs w:val="17"/>
          <w:color w:val="auto"/>
        </w:rPr>
        <w:t>The Corporate Governance Committee is responsible for identifying, screening, and recommending candidates for election to the Company’s Board of Directors. Pursuant to the Guidelines, the committee reviews a potential candidate’s business experience; education; skill set; personal character and judgment; and diversity in factors such as age, gender, race, nationality, and culture. In addition, the Committee’s charter provides that the committee will consider criteria including the possession of such knowledge, experience, skills, expertise, and diversity to enhance the Board’s ability to oversee the Company’s affairs and business.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114" w:lineRule="exact"/>
        <w:rPr>
          <w:sz w:val="20"/>
          <w:szCs w:val="20"/>
          <w:color w:val="auto"/>
        </w:rPr>
      </w:pPr>
    </w:p>
    <w:p>
      <w:pPr>
        <w:ind w:left="1000" w:right="159"/>
        <w:spacing w:after="0" w:line="244" w:lineRule="auto"/>
        <w:rPr>
          <w:sz w:val="20"/>
          <w:szCs w:val="20"/>
          <w:color w:val="auto"/>
        </w:rPr>
      </w:pPr>
      <w:r>
        <w:rPr>
          <w:rFonts w:ascii="Arial" w:cs="Arial" w:eastAsia="Arial" w:hAnsi="Arial"/>
          <w:sz w:val="18"/>
          <w:szCs w:val="18"/>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120" w:lineRule="exact"/>
        <w:rPr>
          <w:sz w:val="20"/>
          <w:szCs w:val="20"/>
          <w:color w:val="auto"/>
        </w:rPr>
      </w:pPr>
    </w:p>
    <w:p>
      <w:pPr>
        <w:ind w:left="1000" w:right="579"/>
        <w:spacing w:after="0" w:line="255"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10" w:lineRule="exact"/>
        <w:rPr>
          <w:sz w:val="20"/>
          <w:szCs w:val="20"/>
          <w:color w:val="auto"/>
        </w:rPr>
      </w:pPr>
    </w:p>
    <w:p>
      <w:pPr>
        <w:ind w:left="1000" w:right="159"/>
        <w:spacing w:after="0" w:line="244"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committee may retain a search firm to assist in identifying and evaluating Director candidates. When a search firm is used, the committee provides criteria for Director candidates, tailored to the needs of the Board at that time, and pays the firm a fee for these services.</w:t>
      </w:r>
    </w:p>
    <w:p>
      <w:pPr>
        <w:spacing w:after="0" w:line="120" w:lineRule="exact"/>
        <w:rPr>
          <w:sz w:val="20"/>
          <w:szCs w:val="20"/>
          <w:color w:val="auto"/>
        </w:rPr>
      </w:pPr>
    </w:p>
    <w:p>
      <w:pPr>
        <w:ind w:left="1000" w:right="539"/>
        <w:spacing w:after="0" w:line="260" w:lineRule="auto"/>
        <w:rPr>
          <w:sz w:val="20"/>
          <w:szCs w:val="20"/>
          <w:color w:val="auto"/>
        </w:rPr>
      </w:pPr>
      <w:r>
        <w:rPr>
          <w:rFonts w:ascii="Arial" w:cs="Arial" w:eastAsia="Arial" w:hAnsi="Arial"/>
          <w:sz w:val="18"/>
          <w:szCs w:val="18"/>
          <w:color w:val="auto"/>
        </w:rPr>
        <w:t>Recommendations for Director candidates may also be received from Board members, management, and shareholders, and may be solicited from professional associations as well.</w:t>
      </w:r>
    </w:p>
    <w:p>
      <w:pPr>
        <w:spacing w:after="0" w:line="105"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is used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2211 South 47th Street, Phoenix, Arizona 85034. Shareholder recommendations must contain the following information:</w:t>
      </w:r>
    </w:p>
    <w:p>
      <w:pPr>
        <w:spacing w:after="0" w:line="87" w:lineRule="exact"/>
        <w:rPr>
          <w:sz w:val="20"/>
          <w:szCs w:val="20"/>
          <w:color w:val="auto"/>
        </w:rPr>
      </w:pPr>
    </w:p>
    <w:p>
      <w:pPr>
        <w:ind w:left="1620" w:right="459" w:hanging="270"/>
        <w:spacing w:after="0" w:line="306" w:lineRule="auto"/>
        <w:tabs>
          <w:tab w:leader="none" w:pos="1620" w:val="left"/>
        </w:tabs>
        <w:numPr>
          <w:ilvl w:val="0"/>
          <w:numId w:val="30"/>
        </w:numPr>
        <w:rPr>
          <w:rFonts w:ascii="Arial" w:cs="Arial" w:eastAsia="Arial" w:hAnsi="Arial"/>
          <w:sz w:val="17"/>
          <w:szCs w:val="17"/>
          <w:color w:val="53C072"/>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41" w:lineRule="exact"/>
        <w:rPr>
          <w:rFonts w:ascii="Arial" w:cs="Arial" w:eastAsia="Arial" w:hAnsi="Arial"/>
          <w:sz w:val="17"/>
          <w:szCs w:val="17"/>
          <w:color w:val="53C072"/>
        </w:rPr>
      </w:pPr>
    </w:p>
    <w:p>
      <w:pPr>
        <w:ind w:left="1620" w:hanging="270"/>
        <w:spacing w:after="0"/>
        <w:tabs>
          <w:tab w:leader="none" w:pos="1620" w:val="left"/>
        </w:tabs>
        <w:numPr>
          <w:ilvl w:val="0"/>
          <w:numId w:val="30"/>
        </w:numPr>
        <w:rPr>
          <w:rFonts w:ascii="Arial" w:cs="Arial" w:eastAsia="Arial" w:hAnsi="Arial"/>
          <w:sz w:val="18"/>
          <w:szCs w:val="18"/>
          <w:color w:val="53C072"/>
        </w:rPr>
      </w:pPr>
      <w:r>
        <w:rPr>
          <w:rFonts w:ascii="Arial" w:cs="Arial" w:eastAsia="Arial" w:hAnsi="Arial"/>
          <w:sz w:val="18"/>
          <w:szCs w:val="18"/>
          <w:color w:val="auto"/>
        </w:rPr>
        <w:t>A statement in support of the candidate’s recommendation;</w:t>
      </w:r>
    </w:p>
    <w:p>
      <w:pPr>
        <w:spacing w:after="0" w:line="117" w:lineRule="exact"/>
        <w:rPr>
          <w:rFonts w:ascii="Arial" w:cs="Arial" w:eastAsia="Arial" w:hAnsi="Arial"/>
          <w:sz w:val="18"/>
          <w:szCs w:val="18"/>
          <w:color w:val="53C072"/>
        </w:rPr>
      </w:pPr>
    </w:p>
    <w:p>
      <w:pPr>
        <w:ind w:left="1620" w:right="339" w:hanging="270"/>
        <w:spacing w:after="0" w:line="306" w:lineRule="auto"/>
        <w:tabs>
          <w:tab w:leader="none" w:pos="1620" w:val="left"/>
        </w:tabs>
        <w:numPr>
          <w:ilvl w:val="0"/>
          <w:numId w:val="30"/>
        </w:numPr>
        <w:rPr>
          <w:rFonts w:ascii="Arial" w:cs="Arial" w:eastAsia="Arial" w:hAnsi="Arial"/>
          <w:sz w:val="17"/>
          <w:szCs w:val="17"/>
          <w:color w:val="53C072"/>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41" w:lineRule="exact"/>
        <w:rPr>
          <w:rFonts w:ascii="Arial" w:cs="Arial" w:eastAsia="Arial" w:hAnsi="Arial"/>
          <w:sz w:val="17"/>
          <w:szCs w:val="17"/>
          <w:color w:val="53C072"/>
        </w:rPr>
      </w:pPr>
    </w:p>
    <w:p>
      <w:pPr>
        <w:ind w:left="1620" w:right="399" w:hanging="270"/>
        <w:spacing w:after="0" w:line="275" w:lineRule="auto"/>
        <w:tabs>
          <w:tab w:leader="none" w:pos="1620" w:val="left"/>
        </w:tabs>
        <w:numPr>
          <w:ilvl w:val="0"/>
          <w:numId w:val="30"/>
        </w:numPr>
        <w:rPr>
          <w:rFonts w:ascii="Arial" w:cs="Arial" w:eastAsia="Arial" w:hAnsi="Arial"/>
          <w:sz w:val="18"/>
          <w:szCs w:val="18"/>
          <w:color w:val="53C072"/>
        </w:rPr>
      </w:pPr>
      <w:r>
        <w:rPr>
          <w:rFonts w:ascii="Arial" w:cs="Arial" w:eastAsia="Arial" w:hAnsi="Arial"/>
          <w:sz w:val="18"/>
          <w:szCs w:val="18"/>
          <w:color w:val="auto"/>
        </w:rPr>
        <w:t>A description of all agreements, arrangements, or understandings between the shareholder and the Director candidate;</w:t>
      </w:r>
    </w:p>
    <w:p>
      <w:pPr>
        <w:spacing w:after="0" w:line="12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620" w:right="199" w:hanging="270"/>
        <w:spacing w:after="0" w:line="275" w:lineRule="auto"/>
        <w:tabs>
          <w:tab w:leader="none" w:pos="1620" w:val="left"/>
        </w:tabs>
        <w:numPr>
          <w:ilvl w:val="0"/>
          <w:numId w:val="31"/>
        </w:numPr>
        <w:rPr>
          <w:rFonts w:ascii="Arial" w:cs="Arial" w:eastAsia="Arial" w:hAnsi="Arial"/>
          <w:sz w:val="18"/>
          <w:szCs w:val="18"/>
          <w:color w:val="53C072"/>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92" w:lineRule="exact"/>
        <w:rPr>
          <w:rFonts w:ascii="Arial" w:cs="Arial" w:eastAsia="Arial" w:hAnsi="Arial"/>
          <w:sz w:val="18"/>
          <w:szCs w:val="18"/>
          <w:color w:val="53C072"/>
        </w:rPr>
      </w:pPr>
    </w:p>
    <w:p>
      <w:pPr>
        <w:ind w:left="1620" w:hanging="270"/>
        <w:spacing w:after="0"/>
        <w:tabs>
          <w:tab w:leader="none" w:pos="1620" w:val="left"/>
        </w:tabs>
        <w:numPr>
          <w:ilvl w:val="0"/>
          <w:numId w:val="31"/>
        </w:numPr>
        <w:rPr>
          <w:rFonts w:ascii="Arial" w:cs="Arial" w:eastAsia="Arial" w:hAnsi="Arial"/>
          <w:sz w:val="18"/>
          <w:szCs w:val="18"/>
          <w:color w:val="53C072"/>
        </w:rPr>
      </w:pPr>
      <w:r>
        <w:rPr>
          <w:rFonts w:ascii="Arial" w:cs="Arial" w:eastAsia="Arial" w:hAnsi="Arial"/>
          <w:sz w:val="18"/>
          <w:szCs w:val="18"/>
          <w:color w:val="auto"/>
        </w:rPr>
        <w:t>The candidate’s consent for a background check; and</w:t>
      </w:r>
    </w:p>
    <w:p>
      <w:pPr>
        <w:spacing w:after="0" w:line="130" w:lineRule="exact"/>
        <w:rPr>
          <w:rFonts w:ascii="Arial" w:cs="Arial" w:eastAsia="Arial" w:hAnsi="Arial"/>
          <w:sz w:val="18"/>
          <w:szCs w:val="18"/>
          <w:color w:val="53C072"/>
        </w:rPr>
      </w:pPr>
    </w:p>
    <w:p>
      <w:pPr>
        <w:ind w:left="1620" w:hanging="270"/>
        <w:spacing w:after="0"/>
        <w:tabs>
          <w:tab w:leader="none" w:pos="1620" w:val="left"/>
        </w:tabs>
        <w:numPr>
          <w:ilvl w:val="0"/>
          <w:numId w:val="31"/>
        </w:numPr>
        <w:rPr>
          <w:rFonts w:ascii="Arial" w:cs="Arial" w:eastAsia="Arial" w:hAnsi="Arial"/>
          <w:sz w:val="18"/>
          <w:szCs w:val="18"/>
          <w:color w:val="53C072"/>
        </w:rPr>
      </w:pPr>
      <w:r>
        <w:rPr>
          <w:rFonts w:ascii="Arial" w:cs="Arial" w:eastAsia="Arial" w:hAnsi="Arial"/>
          <w:sz w:val="18"/>
          <w:szCs w:val="18"/>
          <w:color w:val="auto"/>
        </w:rPr>
        <w:t>The candidate’s consent to serve as a Director, if nominated and elected.</w:t>
      </w:r>
    </w:p>
    <w:p>
      <w:pPr>
        <w:spacing w:after="0" w:line="144"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Shareholders may also nominate a candidate for election at an annual meeting of shareholders and may have the candidate included on the Company’s proxy card if additional requirements under the By-laws and</w:t>
      </w:r>
    </w:p>
    <w:p>
      <w:pPr>
        <w:spacing w:after="0" w:line="1"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Rule 14a-19 of the Securities Exchange Act of 1934, as amended (the “Exchange Act”) are met. Details regarding these nomination procedures and the required notice and information are set forth elsewhere in this Proxy Statement under the heading “Shareholder Proposals and Nominations.”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AND COMMITTEE EVALUATION</w:t>
      </w:r>
    </w:p>
    <w:p>
      <w:pPr>
        <w:spacing w:after="0" w:line="172"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The Board recognizes that a thorough, constructive evaluation process enhances the Board’s effectiveness and is an important element of good corporate governance. The evaluations are conducted through individual interviews with each Director, assessing both the Board and each standing committee on which that Director serves, utilizing a prepared questionnaire as a guide. On alternating years, the interviews are conducted either by the Board Chair or outside counsel engaged by the Board. Interviews solicit feedback on a range of topics, including:</w:t>
      </w:r>
    </w:p>
    <w:p>
      <w:pPr>
        <w:spacing w:after="0" w:line="84" w:lineRule="exact"/>
        <w:rPr>
          <w:sz w:val="20"/>
          <w:szCs w:val="20"/>
          <w:color w:val="auto"/>
        </w:rPr>
      </w:pPr>
    </w:p>
    <w:p>
      <w:pPr>
        <w:ind w:left="1620" w:hanging="270"/>
        <w:spacing w:after="0"/>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Board and committee structure, effectiveness, composition, leadership, and skillsets;</w:t>
      </w:r>
    </w:p>
    <w:p>
      <w:pPr>
        <w:spacing w:after="0" w:line="130" w:lineRule="exact"/>
        <w:rPr>
          <w:rFonts w:ascii="Arial" w:cs="Arial" w:eastAsia="Arial" w:hAnsi="Arial"/>
          <w:sz w:val="18"/>
          <w:szCs w:val="18"/>
          <w:color w:val="53C072"/>
        </w:rPr>
      </w:pPr>
    </w:p>
    <w:p>
      <w:pPr>
        <w:ind w:left="1620" w:hanging="270"/>
        <w:spacing w:after="0"/>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meeting structure, dynamics, and materials;</w:t>
      </w:r>
    </w:p>
    <w:p>
      <w:pPr>
        <w:spacing w:after="0" w:line="130" w:lineRule="exact"/>
        <w:rPr>
          <w:rFonts w:ascii="Arial" w:cs="Arial" w:eastAsia="Arial" w:hAnsi="Arial"/>
          <w:sz w:val="18"/>
          <w:szCs w:val="18"/>
          <w:color w:val="53C072"/>
        </w:rPr>
      </w:pPr>
    </w:p>
    <w:p>
      <w:pPr>
        <w:ind w:left="1620" w:right="239" w:hanging="270"/>
        <w:spacing w:after="0" w:line="263" w:lineRule="auto"/>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execution of key responsibilities, including oversight of corporate strategy, CEO and senior leadership succession, enterprise risk management, cybersecurity, and environmental, social and governance matters;</w:t>
      </w:r>
    </w:p>
    <w:p>
      <w:pPr>
        <w:spacing w:after="0" w:line="89" w:lineRule="exact"/>
        <w:rPr>
          <w:rFonts w:ascii="Arial" w:cs="Arial" w:eastAsia="Arial" w:hAnsi="Arial"/>
          <w:sz w:val="18"/>
          <w:szCs w:val="18"/>
          <w:color w:val="53C072"/>
        </w:rPr>
      </w:pPr>
    </w:p>
    <w:p>
      <w:pPr>
        <w:ind w:left="1620" w:hanging="270"/>
        <w:spacing w:after="0"/>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interaction with management;</w:t>
      </w:r>
    </w:p>
    <w:p>
      <w:pPr>
        <w:spacing w:after="0" w:line="144" w:lineRule="exact"/>
        <w:rPr>
          <w:rFonts w:ascii="Arial" w:cs="Arial" w:eastAsia="Arial" w:hAnsi="Arial"/>
          <w:sz w:val="18"/>
          <w:szCs w:val="18"/>
          <w:color w:val="53C072"/>
        </w:rPr>
      </w:pPr>
    </w:p>
    <w:p>
      <w:pPr>
        <w:ind w:left="1620" w:hanging="270"/>
        <w:spacing w:after="0"/>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information and resources made available; and</w:t>
      </w:r>
    </w:p>
    <w:p>
      <w:pPr>
        <w:spacing w:after="0" w:line="130" w:lineRule="exact"/>
        <w:rPr>
          <w:rFonts w:ascii="Arial" w:cs="Arial" w:eastAsia="Arial" w:hAnsi="Arial"/>
          <w:sz w:val="18"/>
          <w:szCs w:val="18"/>
          <w:color w:val="53C072"/>
        </w:rPr>
      </w:pPr>
    </w:p>
    <w:p>
      <w:pPr>
        <w:ind w:left="1620" w:hanging="270"/>
        <w:spacing w:after="0"/>
        <w:tabs>
          <w:tab w:leader="none" w:pos="1620" w:val="left"/>
        </w:tabs>
        <w:numPr>
          <w:ilvl w:val="0"/>
          <w:numId w:val="32"/>
        </w:numPr>
        <w:rPr>
          <w:rFonts w:ascii="Arial" w:cs="Arial" w:eastAsia="Arial" w:hAnsi="Arial"/>
          <w:sz w:val="18"/>
          <w:szCs w:val="18"/>
          <w:color w:val="53C072"/>
        </w:rPr>
      </w:pPr>
      <w:r>
        <w:rPr>
          <w:rFonts w:ascii="Arial" w:cs="Arial" w:eastAsia="Arial" w:hAnsi="Arial"/>
          <w:sz w:val="18"/>
          <w:szCs w:val="18"/>
          <w:color w:val="auto"/>
        </w:rPr>
        <w:t>for newer Directors, onboarding practices.</w:t>
      </w:r>
    </w:p>
    <w:p>
      <w:pPr>
        <w:spacing w:after="0" w:line="205"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2023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134620</wp:posOffset>
            </wp:positionV>
            <wp:extent cx="5391785" cy="2614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91785" cy="26142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18     </w:t>
      </w:r>
      <w:r>
        <w:rPr>
          <w:sz w:val="1"/>
          <w:szCs w:val="1"/>
          <w:color w:val="auto"/>
        </w:rPr>
        <w:drawing>
          <wp:inline distT="0" distB="0" distL="0" distR="0">
            <wp:extent cx="1242695"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MANAGEMENT SUCCESSION</w:t>
      </w:r>
    </w:p>
    <w:p>
      <w:pPr>
        <w:spacing w:after="0" w:line="172" w:lineRule="exact"/>
        <w:rPr>
          <w:sz w:val="20"/>
          <w:szCs w:val="20"/>
          <w:color w:val="auto"/>
        </w:rPr>
      </w:pPr>
    </w:p>
    <w:p>
      <w:pPr>
        <w:ind w:left="1000" w:right="179"/>
        <w:spacing w:after="0" w:line="243" w:lineRule="auto"/>
        <w:rPr>
          <w:sz w:val="20"/>
          <w:szCs w:val="20"/>
          <w:color w:val="auto"/>
        </w:rPr>
      </w:pPr>
      <w:r>
        <w:rPr>
          <w:rFonts w:ascii="Arial" w:cs="Arial" w:eastAsia="Arial" w:hAnsi="Arial"/>
          <w:sz w:val="18"/>
          <w:szCs w:val="18"/>
          <w:color w:val="auto"/>
        </w:rPr>
        <w:t>The Board of Directors is actively engaged in talent management, under the leadership of the Corporate Governance Committee. The committee regularly reviews and discusses a management succession plan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RISK OVERSIGHT</w:t>
      </w:r>
    </w:p>
    <w:p>
      <w:pPr>
        <w:spacing w:after="0" w:line="158"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The Board oversees the Company’s risk management program. The Company’s management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discusses the identified risks and risk mitigation efforts with the Board. The Board allocates responsibility to examine a particular risk in detail to the committee that is in the best position to review and assess the risk. For example, the Audit Committee oversees risks related to accounting/financial reporting, cybersecurity and ethics and compliance programs and the Compensation and Leadership Development Committee oversees risks related to compensation programs.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ENVIRONMENTAL, SOCIAL AND GOVERNANCE</w:t>
      </w:r>
    </w:p>
    <w:p>
      <w:pPr>
        <w:spacing w:after="0" w:line="158" w:lineRule="exact"/>
        <w:rPr>
          <w:sz w:val="20"/>
          <w:szCs w:val="20"/>
          <w:color w:val="auto"/>
        </w:rPr>
      </w:pPr>
    </w:p>
    <w:p>
      <w:pPr>
        <w:ind w:left="1000" w:right="299"/>
        <w:spacing w:after="0" w:line="255" w:lineRule="auto"/>
        <w:rPr>
          <w:sz w:val="20"/>
          <w:szCs w:val="20"/>
          <w:color w:val="auto"/>
        </w:rPr>
      </w:pPr>
      <w:r>
        <w:rPr>
          <w:rFonts w:ascii="Arial" w:cs="Arial" w:eastAsia="Arial" w:hAnsi="Arial"/>
          <w:sz w:val="18"/>
          <w:szCs w:val="18"/>
          <w:color w:val="auto"/>
        </w:rPr>
        <w:t>The Company is committed to sustainability through its Environmental, Social, and Governance (“ESG”) strategy, and to positively impact its global communities by creating sustainable operations and enabling technology solutions that improve lives. The Company strives to do the right thing and remain accountable to its key stakeholders by protecting the environment, embracing social responsibility and inclusiveness, and ensuring good corporate governance. Based on the Company’s ESG Materiality study, the ESG strategy currently focuses on one ESG topic within each pillar: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113030</wp:posOffset>
            </wp:positionV>
            <wp:extent cx="4903470" cy="1500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0347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0" w:right="219"/>
        <w:spacing w:after="0" w:line="258" w:lineRule="auto"/>
        <w:rPr>
          <w:sz w:val="20"/>
          <w:szCs w:val="20"/>
          <w:color w:val="auto"/>
        </w:rPr>
      </w:pPr>
      <w:r>
        <w:rPr>
          <w:rFonts w:ascii="Arial" w:cs="Arial" w:eastAsia="Arial" w:hAnsi="Arial"/>
          <w:sz w:val="18"/>
          <w:szCs w:val="18"/>
          <w:color w:val="auto"/>
        </w:rPr>
        <w:t>The Company utilizes the Sustainability Accounting Standards Board (SASB) standards, the Global Reporting Initiative (GRI) standards, and the United Nation’s Sustainable Development Goals to assist in forming the basis for its ESG reporting. The Company annually discloses to the Carbon Disclosure Project (CDP) Climate change questionnaire.</w:t>
      </w:r>
    </w:p>
    <w:p>
      <w:pPr>
        <w:spacing w:after="0" w:line="122"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The Company’s annual sustainability reports and additional information about the Company’s ESG strategy, initiatives, and goals (including its commitment to human rights, philanthropy and community engagement, talent management, supply chain management, and data security and privacy as well as progress on initiatives and goals) and ESG-relevant policies, are located at: https://www.avnet.com/wps/portal/us/about-avnet/​corporate-social-responsibility/. The content of the sustainability reports and the Company’s website are not and should not be deemed to be incorporated by reference in this Proxy Statement or otherwise filed with the U.S. Securities and Exchange Commission (the “SEC”).</w:t>
      </w:r>
    </w:p>
    <w:p>
      <w:pPr>
        <w:sectPr>
          <w:pgSz w:w="11900" w:h="16838" w:orient="portrait"/>
          <w:cols w:equalWidth="0" w:num="1">
            <w:col w:w="9879"/>
          </w:cols>
          <w:pgMar w:left="580" w:top="90" w:right="1440" w:bottom="1440" w:gutter="0" w:footer="0" w:header="0"/>
        </w:sectPr>
      </w:pPr>
    </w:p>
    <w:p>
      <w:pPr>
        <w:spacing w:after="0" w:line="14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ESG GOVERNANCE AND BOARD OVERSIGHT</w:t>
      </w:r>
    </w:p>
    <w:p>
      <w:pPr>
        <w:spacing w:after="0" w:line="172" w:lineRule="exact"/>
        <w:rPr>
          <w:sz w:val="20"/>
          <w:szCs w:val="20"/>
          <w:color w:val="auto"/>
        </w:rPr>
      </w:pPr>
    </w:p>
    <w:p>
      <w:pPr>
        <w:ind w:left="1000" w:right="879"/>
        <w:spacing w:after="0" w:line="247" w:lineRule="auto"/>
        <w:rPr>
          <w:sz w:val="20"/>
          <w:szCs w:val="20"/>
          <w:color w:val="auto"/>
        </w:rPr>
      </w:pPr>
      <w:r>
        <w:rPr>
          <w:rFonts w:ascii="Arial" w:cs="Arial" w:eastAsia="Arial" w:hAnsi="Arial"/>
          <w:sz w:val="18"/>
          <w:szCs w:val="18"/>
          <w:color w:val="auto"/>
        </w:rPr>
        <w:t>The Board of Directors oversees the Company’s ESG program and conducts a review of the program annually. The Board further allocates oversight of certain ESG-related issues to appropriate Board committees.</w:t>
      </w:r>
    </w:p>
    <w:p>
      <w:pPr>
        <w:spacing w:after="0" w:line="117" w:lineRule="exact"/>
        <w:rPr>
          <w:sz w:val="20"/>
          <w:szCs w:val="20"/>
          <w:color w:val="auto"/>
        </w:rPr>
      </w:pPr>
    </w:p>
    <w:p>
      <w:pPr>
        <w:ind w:left="1000" w:right="139"/>
        <w:spacing w:after="0" w:line="243" w:lineRule="auto"/>
        <w:rPr>
          <w:sz w:val="20"/>
          <w:szCs w:val="20"/>
          <w:color w:val="auto"/>
        </w:rPr>
      </w:pPr>
      <w:r>
        <w:rPr>
          <w:rFonts w:ascii="Arial" w:cs="Arial" w:eastAsia="Arial" w:hAnsi="Arial"/>
          <w:sz w:val="18"/>
          <w:szCs w:val="18"/>
          <w:color w:val="auto"/>
        </w:rPr>
        <w:t>The Board’s Corporate Governance Committee provides primary oversight of the Company’s ESG initiatives and reporting. At least bi-annually, management reports on the ESG program during committee meetings. With guidance from the Board and the Corporate Governance Committee, the Avnet Leadership Team (“ALT”), which is made up of Avnet’s executive officers, provides resources to support the Company’s ESG strategies and goals. The ESG Governance Council, which is made up of Avnet executive leaders, recommends ESG and sustainability strategies and policies to the ALT and oversees the implementation of approved measures. The council meets quarterly and oversees and supports the ESG Working Team. The ESG Working Team, which is made up of global representatives from different levels of management, sets ESG and sustainability related strategy and goals that promote long-term shareholder value, integrates sustainability into the business strategy across the Company, and oversees the implementation of such strategy. The team generally meets monthly.</w:t>
      </w:r>
    </w:p>
    <w:p>
      <w:pPr>
        <w:spacing w:after="0" w:line="125" w:lineRule="exact"/>
        <w:rPr>
          <w:sz w:val="20"/>
          <w:szCs w:val="20"/>
          <w:color w:val="auto"/>
        </w:rPr>
      </w:pPr>
    </w:p>
    <w:p>
      <w:pPr>
        <w:ind w:left="1000" w:right="239"/>
        <w:spacing w:after="0" w:line="244" w:lineRule="auto"/>
        <w:rPr>
          <w:sz w:val="20"/>
          <w:szCs w:val="20"/>
          <w:color w:val="auto"/>
        </w:rPr>
      </w:pPr>
      <w:r>
        <w:rPr>
          <w:rFonts w:ascii="Arial" w:cs="Arial" w:eastAsia="Arial" w:hAnsi="Arial"/>
          <w:sz w:val="18"/>
          <w:szCs w:val="18"/>
          <w:color w:val="auto"/>
        </w:rPr>
        <w:t>The Board’s Audit Committee provides oversight of the Company’s ethics and compliance program. Management reports on the program and Ethics Alertline case reporting during each quarterly committee meeting. The Corporate Ethics and Compliance Committee, which is made up of Avnet executive officers and leaders, provides oversight and guidance to the program at the corporate level. Regional Ethics and Compliance Committees provide oversight at regional levels. The Ethics and Compliance Office (“ECO”) led by the Chief Ethics and Compliance Officer manages the day-to-day program with support from representations in each region.</w:t>
      </w:r>
    </w:p>
    <w:p>
      <w:pPr>
        <w:spacing w:after="0" w:line="120" w:lineRule="exact"/>
        <w:rPr>
          <w:sz w:val="20"/>
          <w:szCs w:val="20"/>
          <w:color w:val="auto"/>
        </w:rPr>
      </w:pPr>
    </w:p>
    <w:p>
      <w:pPr>
        <w:ind w:left="1000" w:right="219"/>
        <w:spacing w:after="0" w:line="260" w:lineRule="auto"/>
        <w:rPr>
          <w:sz w:val="20"/>
          <w:szCs w:val="20"/>
          <w:color w:val="auto"/>
        </w:rPr>
      </w:pPr>
      <w:r>
        <w:rPr>
          <w:rFonts w:ascii="Arial" w:cs="Arial" w:eastAsia="Arial" w:hAnsi="Arial"/>
          <w:sz w:val="17"/>
          <w:szCs w:val="17"/>
          <w:color w:val="auto"/>
        </w:rPr>
        <w:t>The Board’s Audit Committee also provides oversight of the Company’s data security and privacy program. Management reports on the program and cybersecurity incidents during each quarterly committee meeting. The program is managed by the Chief Information Officer and the Vice President of Global Cybersecurity and Compliance. Measures taken to protect and secure the Company’s systems and information include implementing and enhancing information security controls such as enterprise-wide firewalls, intrusion detection, endpoint protection, email security, disaster recovery, vulnerability management, and cyber security training for employees to enhance awareness of general security best practices, financial fraud, and phishing.</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COMMITTEE INTERLOCKS AND INSIDER PARTICIPATION</w:t>
      </w:r>
    </w:p>
    <w:p>
      <w:pPr>
        <w:spacing w:after="0" w:line="158" w:lineRule="exact"/>
        <w:rPr>
          <w:sz w:val="20"/>
          <w:szCs w:val="20"/>
          <w:color w:val="auto"/>
        </w:rPr>
      </w:pPr>
    </w:p>
    <w:p>
      <w:pPr>
        <w:ind w:left="1000" w:right="219"/>
        <w:spacing w:after="0" w:line="248" w:lineRule="auto"/>
        <w:rPr>
          <w:sz w:val="20"/>
          <w:szCs w:val="20"/>
          <w:color w:val="auto"/>
        </w:rPr>
      </w:pPr>
      <w:r>
        <w:rPr>
          <w:rFonts w:ascii="Arial" w:cs="Arial" w:eastAsia="Arial" w:hAnsi="Arial"/>
          <w:sz w:val="18"/>
          <w:szCs w:val="18"/>
          <w:color w:val="auto"/>
        </w:rPr>
        <w:t>No member of the Compensation and Leadership Development Committee is a present or former officer or employee of the Company. In addition, during fiscal year 2023, no executive officer of the Company had served on the compensation committee or any similar committee of any other entity or served as a director for any other entity whose executive officers served on the Company’s Compensation and Leadership Development Committee.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CODE OF CONDUCT</w:t>
      </w:r>
    </w:p>
    <w:p>
      <w:pPr>
        <w:spacing w:after="0" w:line="158" w:lineRule="exact"/>
        <w:rPr>
          <w:sz w:val="20"/>
          <w:szCs w:val="20"/>
          <w:color w:val="auto"/>
        </w:rPr>
      </w:pPr>
    </w:p>
    <w:p>
      <w:pPr>
        <w:ind w:left="1000" w:right="239"/>
        <w:spacing w:after="0" w:line="248" w:lineRule="auto"/>
        <w:rPr>
          <w:sz w:val="20"/>
          <w:szCs w:val="20"/>
          <w:color w:val="auto"/>
        </w:rPr>
      </w:pPr>
      <w:r>
        <w:rPr>
          <w:rFonts w:ascii="Arial" w:cs="Arial" w:eastAsia="Arial" w:hAnsi="Arial"/>
          <w:sz w:val="18"/>
          <w:szCs w:val="18"/>
          <w:color w:val="auto"/>
        </w:rPr>
        <w:t xml:space="preserve">The Company’s Code of Conduct applies to Directors, officers, and employees, including the CEO and all financial and accounting personnel. The Code of Conduct can be reviewed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78" w:lineRule="exact"/>
        <w:rPr>
          <w:sz w:val="20"/>
          <w:szCs w:val="20"/>
          <w:color w:val="auto"/>
        </w:rPr>
      </w:pPr>
    </w:p>
    <w:p>
      <w:pPr>
        <w:ind w:left="1000" w:right="779"/>
        <w:spacing w:after="0" w:line="276" w:lineRule="auto"/>
        <w:rPr>
          <w:sz w:val="20"/>
          <w:szCs w:val="20"/>
          <w:color w:val="auto"/>
        </w:rPr>
      </w:pPr>
      <w:r>
        <w:rPr>
          <w:rFonts w:ascii="Arial" w:cs="Arial" w:eastAsia="Arial" w:hAnsi="Arial"/>
          <w:sz w:val="22"/>
          <w:szCs w:val="22"/>
          <w:b w:val="1"/>
          <w:bCs w:val="1"/>
          <w:color w:val="53C072"/>
        </w:rPr>
        <w:t>POLICY AGAINST PLEDGING AND HEDGING ECONOMIC RISK OF OWNING THE COMPANY’S SECURITIES</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Insider Trading Policy expressly prohibits Directors, executive officers, and other employees</w:t>
      </w:r>
    </w:p>
    <w:p>
      <w:pPr>
        <w:spacing w:after="0" w:line="8" w:lineRule="exact"/>
        <w:rPr>
          <w:sz w:val="20"/>
          <w:szCs w:val="20"/>
          <w:color w:val="auto"/>
        </w:rPr>
      </w:pPr>
    </w:p>
    <w:p>
      <w:pPr>
        <w:ind w:left="1000" w:right="159"/>
        <w:spacing w:after="0" w:line="262" w:lineRule="auto"/>
        <w:rPr>
          <w:sz w:val="20"/>
          <w:szCs w:val="20"/>
          <w:color w:val="auto"/>
        </w:rPr>
      </w:pPr>
      <w:r>
        <w:rPr>
          <w:rFonts w:ascii="Arial" w:cs="Arial" w:eastAsia="Arial" w:hAnsi="Arial"/>
          <w:sz w:val="17"/>
          <w:szCs w:val="17"/>
          <w:color w:val="auto"/>
        </w:rPr>
        <w:t>determined by the Company as “Insiders” (including​ their family members, persons living in their household, and entities over which they exercise control) from entering into hedging or monetization transactions to hedge the economic risk of owning the Company’s securities (or any other financial transactions that are designed to hedge or offset any decrease in market value of the Company’s equity securities). The policy similarly</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1242695" cy="2400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339"/>
        <w:spacing w:after="0" w:line="248" w:lineRule="auto"/>
        <w:rPr>
          <w:sz w:val="20"/>
          <w:szCs w:val="20"/>
          <w:color w:val="auto"/>
        </w:rPr>
      </w:pPr>
      <w:r>
        <w:rPr>
          <w:rFonts w:ascii="Arial" w:cs="Arial" w:eastAsia="Arial" w:hAnsi="Arial"/>
          <w:sz w:val="18"/>
          <w:szCs w:val="18"/>
          <w:color w:val="auto"/>
        </w:rPr>
        <w:t>prohibits such individuals from holding the Company’s securities in a margin account and pledging the Company’s securities as collateral for loans without advance approval. The policy applies to all of the Company’s securities held, including options and any other derivative securities, regardless if granted by the Company as compensation. There were no exceptions approved during the last fiscal year.</w:t>
      </w:r>
    </w:p>
    <w:p>
      <w:pPr>
        <w:spacing w:after="0" w:line="116" w:lineRule="exact"/>
        <w:rPr>
          <w:sz w:val="20"/>
          <w:szCs w:val="20"/>
          <w:color w:val="auto"/>
        </w:rPr>
      </w:pPr>
    </w:p>
    <w:p>
      <w:pPr>
        <w:ind w:left="1000" w:right="279"/>
        <w:spacing w:after="0" w:line="248" w:lineRule="auto"/>
        <w:rPr>
          <w:sz w:val="20"/>
          <w:szCs w:val="20"/>
          <w:color w:val="auto"/>
        </w:rPr>
      </w:pPr>
      <w:r>
        <w:rPr>
          <w:rFonts w:ascii="Arial" w:cs="Arial" w:eastAsia="Arial" w:hAnsi="Arial"/>
          <w:sz w:val="18"/>
          <w:szCs w:val="18"/>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anti-hedging policy helps to ensure this alignment.</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REPORTING ETHICAL CONCERNS</w:t>
      </w:r>
    </w:p>
    <w:p>
      <w:pPr>
        <w:spacing w:after="0" w:line="158" w:lineRule="exact"/>
        <w:rPr>
          <w:sz w:val="20"/>
          <w:szCs w:val="20"/>
          <w:color w:val="auto"/>
        </w:rPr>
      </w:pPr>
    </w:p>
    <w:p>
      <w:pPr>
        <w:ind w:left="1000" w:right="339"/>
        <w:spacing w:after="0" w:line="24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16" w:lineRule="exact"/>
        <w:rPr>
          <w:sz w:val="20"/>
          <w:szCs w:val="20"/>
          <w:color w:val="auto"/>
        </w:rPr>
      </w:pPr>
    </w:p>
    <w:p>
      <w:pPr>
        <w:ind w:left="1340" w:right="1319"/>
        <w:spacing w:after="0" w:line="275"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All persons, including employees, may contact:</w:t>
      </w:r>
    </w:p>
    <w:p>
      <w:pPr>
        <w:spacing w:after="0" w:line="104" w:lineRule="exact"/>
        <w:rPr>
          <w:sz w:val="20"/>
          <w:szCs w:val="20"/>
          <w:color w:val="auto"/>
        </w:rPr>
      </w:pPr>
    </w:p>
    <w:p>
      <w:pPr>
        <w:ind w:left="1980" w:right="519" w:hanging="270"/>
        <w:spacing w:after="0" w:line="275" w:lineRule="auto"/>
        <w:tabs>
          <w:tab w:leader="none" w:pos="1980" w:val="left"/>
        </w:tabs>
        <w:numPr>
          <w:ilvl w:val="0"/>
          <w:numId w:val="33"/>
        </w:numPr>
        <w:rPr>
          <w:rFonts w:ascii="Arial" w:cs="Arial" w:eastAsia="Arial" w:hAnsi="Arial"/>
          <w:sz w:val="18"/>
          <w:szCs w:val="18"/>
          <w:color w:val="53C072"/>
        </w:rPr>
      </w:pPr>
      <w:r>
        <w:rPr>
          <w:rFonts w:ascii="Arial" w:cs="Arial" w:eastAsia="Arial" w:hAnsi="Arial"/>
          <w:sz w:val="18"/>
          <w:szCs w:val="18"/>
          <w:color w:val="auto"/>
        </w:rPr>
        <w:t>The Legal Department, by telephone at (480) 643-7267, or by mail at 2211 South 47th Street, Phoenix, Arizona 85034; or</w:t>
      </w:r>
    </w:p>
    <w:p>
      <w:pPr>
        <w:spacing w:after="0" w:line="52" w:lineRule="exact"/>
        <w:rPr>
          <w:rFonts w:ascii="Arial" w:cs="Arial" w:eastAsia="Arial" w:hAnsi="Arial"/>
          <w:sz w:val="18"/>
          <w:szCs w:val="18"/>
          <w:color w:val="53C072"/>
        </w:rPr>
      </w:pPr>
    </w:p>
    <w:p>
      <w:pPr>
        <w:ind w:left="1980" w:right="319" w:hanging="270"/>
        <w:spacing w:after="0" w:line="263" w:lineRule="auto"/>
        <w:tabs>
          <w:tab w:leader="none" w:pos="1980" w:val="left"/>
        </w:tabs>
        <w:numPr>
          <w:ilvl w:val="0"/>
          <w:numId w:val="33"/>
        </w:numPr>
        <w:rPr>
          <w:rFonts w:ascii="Arial" w:cs="Arial" w:eastAsia="Arial" w:hAnsi="Arial"/>
          <w:sz w:val="18"/>
          <w:szCs w:val="18"/>
          <w:color w:val="53C072"/>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STOCK OWNERSHIP GUIDELINES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has adopted the following stock ownership guidelines for both the Directors and executive officers.</w:t>
      </w:r>
    </w:p>
    <w:p>
      <w:pPr>
        <w:spacing w:after="0" w:line="144" w:lineRule="exact"/>
        <w:rPr>
          <w:sz w:val="20"/>
          <w:szCs w:val="20"/>
          <w:color w:val="auto"/>
        </w:rPr>
      </w:pPr>
    </w:p>
    <w:p>
      <w:pPr>
        <w:ind w:left="1000" w:right="219"/>
        <w:spacing w:after="0" w:line="246" w:lineRule="auto"/>
        <w:rPr>
          <w:sz w:val="20"/>
          <w:szCs w:val="20"/>
          <w:color w:val="auto"/>
        </w:rPr>
      </w:pPr>
      <w:r>
        <w:rPr>
          <w:rFonts w:ascii="Arial" w:cs="Arial" w:eastAsia="Arial" w:hAnsi="Arial"/>
          <w:sz w:val="18"/>
          <w:szCs w:val="18"/>
          <w:color w:val="auto"/>
        </w:rPr>
        <w:t>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1, 2023, each Director was in compliance with these guidelines.</w:t>
      </w:r>
    </w:p>
    <w:p>
      <w:pPr>
        <w:spacing w:after="0" w:line="118" w:lineRule="exact"/>
        <w:rPr>
          <w:sz w:val="20"/>
          <w:szCs w:val="20"/>
          <w:color w:val="auto"/>
        </w:rPr>
      </w:pPr>
    </w:p>
    <w:p>
      <w:pPr>
        <w:ind w:left="1000" w:right="139"/>
        <w:spacing w:after="0" w:line="260" w:lineRule="auto"/>
        <w:rPr>
          <w:sz w:val="20"/>
          <w:szCs w:val="20"/>
          <w:color w:val="auto"/>
        </w:rPr>
      </w:pPr>
      <w:r>
        <w:rPr>
          <w:rFonts w:ascii="Arial" w:cs="Arial" w:eastAsia="Arial" w:hAnsi="Arial"/>
          <w:sz w:val="18"/>
          <w:szCs w:val="18"/>
          <w:color w:val="auto"/>
        </w:rPr>
        <w:t>Executive officers should own shares of the Company’s Common Stock with a market value equal to a multiple of their base salary:</w:t>
      </w:r>
    </w:p>
    <w:p>
      <w:pPr>
        <w:spacing w:after="0" w:line="55" w:lineRule="exact"/>
        <w:rPr>
          <w:sz w:val="20"/>
          <w:szCs w:val="20"/>
          <w:color w:val="auto"/>
        </w:rPr>
      </w:pPr>
    </w:p>
    <w:p>
      <w:pPr>
        <w:ind w:left="1620" w:hanging="270"/>
        <w:spacing w:after="0"/>
        <w:tabs>
          <w:tab w:leader="none" w:pos="1620" w:val="left"/>
        </w:tabs>
        <w:numPr>
          <w:ilvl w:val="0"/>
          <w:numId w:val="34"/>
        </w:numPr>
        <w:rPr>
          <w:rFonts w:ascii="Arial" w:cs="Arial" w:eastAsia="Arial" w:hAnsi="Arial"/>
          <w:sz w:val="18"/>
          <w:szCs w:val="18"/>
          <w:color w:val="53C072"/>
        </w:rPr>
      </w:pPr>
      <w:r>
        <w:rPr>
          <w:rFonts w:ascii="Arial" w:cs="Arial" w:eastAsia="Arial" w:hAnsi="Arial"/>
          <w:sz w:val="18"/>
          <w:szCs w:val="18"/>
          <w:b w:val="1"/>
          <w:bCs w:val="1"/>
          <w:color w:val="53C072"/>
        </w:rPr>
        <w:t xml:space="preserve">5x </w:t>
      </w:r>
      <w:r>
        <w:rPr>
          <w:rFonts w:ascii="Arial" w:cs="Arial" w:eastAsia="Arial" w:hAnsi="Arial"/>
          <w:sz w:val="18"/>
          <w:szCs w:val="18"/>
          <w:color w:val="000000"/>
        </w:rPr>
        <w:t>for the Chief Executive Officer;</w:t>
      </w:r>
    </w:p>
    <w:p>
      <w:pPr>
        <w:spacing w:after="0" w:line="103" w:lineRule="exact"/>
        <w:rPr>
          <w:rFonts w:ascii="Arial" w:cs="Arial" w:eastAsia="Arial" w:hAnsi="Arial"/>
          <w:sz w:val="18"/>
          <w:szCs w:val="18"/>
          <w:color w:val="53C072"/>
        </w:rPr>
      </w:pPr>
    </w:p>
    <w:p>
      <w:pPr>
        <w:ind w:left="1620" w:hanging="270"/>
        <w:spacing w:after="0"/>
        <w:tabs>
          <w:tab w:leader="none" w:pos="1620" w:val="left"/>
        </w:tabs>
        <w:numPr>
          <w:ilvl w:val="0"/>
          <w:numId w:val="34"/>
        </w:numPr>
        <w:rPr>
          <w:rFonts w:ascii="Arial" w:cs="Arial" w:eastAsia="Arial" w:hAnsi="Arial"/>
          <w:sz w:val="18"/>
          <w:szCs w:val="18"/>
          <w:color w:val="53C072"/>
        </w:rPr>
      </w:pPr>
      <w:r>
        <w:rPr>
          <w:rFonts w:ascii="Arial" w:cs="Arial" w:eastAsia="Arial" w:hAnsi="Arial"/>
          <w:sz w:val="18"/>
          <w:szCs w:val="18"/>
          <w:b w:val="1"/>
          <w:bCs w:val="1"/>
          <w:color w:val="53C072"/>
        </w:rPr>
        <w:t xml:space="preserve">3x </w:t>
      </w:r>
      <w:r>
        <w:rPr>
          <w:rFonts w:ascii="Arial" w:cs="Arial" w:eastAsia="Arial" w:hAnsi="Arial"/>
          <w:sz w:val="18"/>
          <w:szCs w:val="18"/>
          <w:color w:val="000000"/>
        </w:rPr>
        <w:t>for the Chief Financial Officer and General Counsel; and</w:t>
      </w:r>
    </w:p>
    <w:p>
      <w:pPr>
        <w:spacing w:after="0" w:line="90" w:lineRule="exact"/>
        <w:rPr>
          <w:rFonts w:ascii="Arial" w:cs="Arial" w:eastAsia="Arial" w:hAnsi="Arial"/>
          <w:sz w:val="18"/>
          <w:szCs w:val="18"/>
          <w:color w:val="53C072"/>
        </w:rPr>
      </w:pPr>
    </w:p>
    <w:p>
      <w:pPr>
        <w:ind w:left="1620" w:hanging="270"/>
        <w:spacing w:after="0"/>
        <w:tabs>
          <w:tab w:leader="none" w:pos="1620" w:val="left"/>
        </w:tabs>
        <w:numPr>
          <w:ilvl w:val="0"/>
          <w:numId w:val="34"/>
        </w:numPr>
        <w:rPr>
          <w:rFonts w:ascii="Arial" w:cs="Arial" w:eastAsia="Arial" w:hAnsi="Arial"/>
          <w:sz w:val="18"/>
          <w:szCs w:val="18"/>
          <w:color w:val="53C072"/>
        </w:rPr>
      </w:pPr>
      <w:r>
        <w:rPr>
          <w:rFonts w:ascii="Arial" w:cs="Arial" w:eastAsia="Arial" w:hAnsi="Arial"/>
          <w:sz w:val="18"/>
          <w:szCs w:val="18"/>
          <w:b w:val="1"/>
          <w:bCs w:val="1"/>
          <w:color w:val="53C072"/>
        </w:rPr>
        <w:t xml:space="preserve">1x </w:t>
      </w:r>
      <w:r>
        <w:rPr>
          <w:rFonts w:ascii="Arial" w:cs="Arial" w:eastAsia="Arial" w:hAnsi="Arial"/>
          <w:sz w:val="18"/>
          <w:szCs w:val="18"/>
          <w:color w:val="000000"/>
        </w:rPr>
        <w:t>for other Executive Officers.</w:t>
      </w:r>
    </w:p>
    <w:p>
      <w:pPr>
        <w:spacing w:after="0" w:line="168" w:lineRule="exact"/>
        <w:rPr>
          <w:sz w:val="20"/>
          <w:szCs w:val="20"/>
          <w:color w:val="auto"/>
        </w:rPr>
      </w:pPr>
    </w:p>
    <w:p>
      <w:pPr>
        <w:ind w:left="1000" w:right="139"/>
        <w:spacing w:after="0" w:line="245" w:lineRule="auto"/>
        <w:rPr>
          <w:sz w:val="20"/>
          <w:szCs w:val="20"/>
          <w:color w:val="auto"/>
        </w:rPr>
      </w:pPr>
      <w:r>
        <w:rPr>
          <w:rFonts w:ascii="Arial" w:cs="Arial" w:eastAsia="Arial" w:hAnsi="Arial"/>
          <w:sz w:val="18"/>
          <w:szCs w:val="18"/>
          <w:color w:val="auto"/>
        </w:rPr>
        <w:t>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July 1, 2023, executive officers subject to these guidelines satisfy these requirements.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COMPANY’S WEBSITE</w:t>
      </w:r>
    </w:p>
    <w:p>
      <w:pPr>
        <w:spacing w:after="0" w:line="172" w:lineRule="exact"/>
        <w:rPr>
          <w:sz w:val="20"/>
          <w:szCs w:val="20"/>
          <w:color w:val="auto"/>
        </w:rPr>
      </w:pPr>
    </w:p>
    <w:p>
      <w:pPr>
        <w:ind w:left="1000" w:right="439"/>
        <w:spacing w:after="0" w:line="289" w:lineRule="auto"/>
        <w:rPr>
          <w:sz w:val="20"/>
          <w:szCs w:val="20"/>
          <w:color w:val="auto"/>
        </w:rPr>
      </w:pPr>
      <w:r>
        <w:rPr>
          <w:rFonts w:ascii="Arial" w:cs="Arial" w:eastAsia="Arial" w:hAnsi="Arial"/>
          <w:sz w:val="17"/>
          <w:szCs w:val="17"/>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including</w:t>
      </w:r>
    </w:p>
    <w:p>
      <w:pPr>
        <w:sectPr>
          <w:pgSz w:w="11900" w:h="16838" w:orient="portrait"/>
          <w:cols w:equalWidth="0" w:num="1">
            <w:col w:w="9879"/>
          </w:cols>
          <w:pgMar w:left="580" w:top="90" w:right="1440" w:bottom="1440" w:gutter="0" w:footer="0" w:header="0"/>
        </w:sectPr>
      </w:pPr>
    </w:p>
    <w:p>
      <w:pPr>
        <w:spacing w:after="0" w:line="9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84"/>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 xml:space="preserve">information about the Company’s management team, products and services, and its corporate governance practices. The corporate governance information on the Company’s website, located at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2211 South 47th Street, Phoenix, AZ 85034.</w:t>
      </w:r>
    </w:p>
    <w:p>
      <w:pPr>
        <w:spacing w:after="0" w:line="129"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In addition, the Company’s filings with the SEC under the Exchange Act or the Securities Act of 1933, as amended, are available on the Company’s website located at www.ir.avnet.com/financial-information/sec-filings as soon as reasonably practicable after the report or form is electronically filed with, or furnished to, the SEC. Such filings include Annual Reports on Form 10-K, Quarterly Reports on Form 10-Q, Current Reports on Form 8-K, Proxy Statements and other filings, including registration statements and Section 16 filings made by the Company’s executive officers and Directors with respect to the Company’s securities.</w:t>
      </w:r>
    </w:p>
    <w:p>
      <w:pPr>
        <w:spacing w:after="0" w:line="125" w:lineRule="exact"/>
        <w:rPr>
          <w:sz w:val="20"/>
          <w:szCs w:val="20"/>
          <w:color w:val="auto"/>
        </w:rPr>
      </w:pPr>
    </w:p>
    <w:p>
      <w:pPr>
        <w:ind w:left="1000" w:right="599"/>
        <w:spacing w:after="0" w:line="275" w:lineRule="auto"/>
        <w:rPr>
          <w:sz w:val="20"/>
          <w:szCs w:val="20"/>
          <w:color w:val="auto"/>
        </w:rPr>
      </w:pPr>
      <w:r>
        <w:rPr>
          <w:rFonts w:ascii="Arial" w:cs="Arial" w:eastAsia="Arial" w:hAnsi="Arial"/>
          <w:sz w:val="18"/>
          <w:szCs w:val="18"/>
          <w:color w:val="auto"/>
        </w:rPr>
        <w:t>Further, information about the Company’s Environmental, Social and Governance programs, policies and reports can be found on its website.</w:t>
      </w:r>
    </w:p>
    <w:p>
      <w:pPr>
        <w:spacing w:after="0" w:line="93" w:lineRule="exact"/>
        <w:rPr>
          <w:sz w:val="20"/>
          <w:szCs w:val="20"/>
          <w:color w:val="auto"/>
        </w:rPr>
      </w:pPr>
    </w:p>
    <w:p>
      <w:pPr>
        <w:ind w:left="1000" w:right="219"/>
        <w:spacing w:after="0" w:line="285" w:lineRule="auto"/>
        <w:rPr>
          <w:sz w:val="20"/>
          <w:szCs w:val="20"/>
          <w:color w:val="auto"/>
        </w:rPr>
      </w:pPr>
      <w:r>
        <w:rPr>
          <w:rFonts w:ascii="Arial" w:cs="Arial" w:eastAsia="Arial" w:hAnsi="Arial"/>
          <w:sz w:val="17"/>
          <w:szCs w:val="17"/>
          <w:color w:val="auto"/>
        </w:rPr>
        <w:t>This information about the Company’s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COMMUNICATIONS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Shareholders and other interested parties may contact the Company’s Board of Directors by writing to the</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Board of Directors, Attention: Corporate Secretary, Avnet, Inc., 2211 South 47th Street, Phoenix,</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Arizona 85034. They may also submit an email to the Board by filling out the email form on the Company’s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105"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     </w:t>
      </w:r>
      <w:r>
        <w:rPr>
          <w:sz w:val="1"/>
          <w:szCs w:val="1"/>
          <w:color w:val="auto"/>
        </w:rPr>
        <w:drawing>
          <wp:inline distT="0" distB="0" distL="0" distR="0">
            <wp:extent cx="1242695"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FEFEFE"/>
        </w:rPr>
        <w:t>THE BOARD OF DIRECTORS AND ITS</w:t>
      </w:r>
    </w:p>
    <w:p>
      <w:pPr>
        <w:spacing w:after="0" w:line="63" w:lineRule="exact"/>
        <w:rPr>
          <w:sz w:val="20"/>
          <w:szCs w:val="20"/>
          <w:color w:val="auto"/>
        </w:rPr>
      </w:pPr>
    </w:p>
    <w:p>
      <w:pPr>
        <w:jc w:val="center"/>
        <w:ind w:right="-880"/>
        <w:spacing w:after="0"/>
        <w:rPr>
          <w:sz w:val="20"/>
          <w:szCs w:val="20"/>
          <w:color w:val="auto"/>
        </w:rPr>
      </w:pPr>
      <w:r>
        <w:rPr>
          <w:rFonts w:ascii="Arial" w:cs="Arial" w:eastAsia="Arial" w:hAnsi="Arial"/>
          <w:sz w:val="40"/>
          <w:szCs w:val="40"/>
          <w:b w:val="1"/>
          <w:bCs w:val="1"/>
          <w:color w:val="FEFEFE"/>
        </w:rPr>
        <w:t>COMMITTEES</w:t>
      </w:r>
      <w:r>
        <w:rPr>
          <w:rFonts w:ascii="Arial" w:cs="Arial" w:eastAsia="Arial" w:hAnsi="Arial"/>
          <w:sz w:val="17"/>
          <w:szCs w:val="17"/>
          <w:color w:val="FEFEFE"/>
        </w:rPr>
        <w:t>​</w:t>
      </w:r>
    </w:p>
    <w:p>
      <w:pPr>
        <w:spacing w:after="0" w:line="385" w:lineRule="exact"/>
        <w:rPr>
          <w:sz w:val="20"/>
          <w:szCs w:val="20"/>
          <w:color w:val="auto"/>
        </w:rPr>
      </w:pPr>
    </w:p>
    <w:p>
      <w:pPr>
        <w:ind w:left="1000" w:right="339"/>
        <w:spacing w:after="0" w:line="263" w:lineRule="auto"/>
        <w:rPr>
          <w:sz w:val="20"/>
          <w:szCs w:val="20"/>
          <w:color w:val="auto"/>
        </w:rPr>
      </w:pPr>
      <w:r>
        <w:rPr>
          <w:rFonts w:ascii="Arial" w:cs="Arial" w:eastAsia="Arial" w:hAnsi="Arial"/>
          <w:sz w:val="18"/>
          <w:szCs w:val="18"/>
          <w:color w:val="auto"/>
        </w:rPr>
        <w:t>The Board of Directors held four regular quarterly meetings during the fiscal year ended July 1, 2023 (“fiscal 2023”). During each of these regular quarterly meetings, the Independent Directors met separately in executive session, presided over by the Chair of the Board.</w:t>
      </w:r>
    </w:p>
    <w:p>
      <w:pPr>
        <w:spacing w:after="0" w:line="116" w:lineRule="exact"/>
        <w:rPr>
          <w:sz w:val="20"/>
          <w:szCs w:val="20"/>
          <w:color w:val="auto"/>
        </w:rPr>
      </w:pPr>
    </w:p>
    <w:p>
      <w:pPr>
        <w:ind w:left="1000" w:right="299"/>
        <w:spacing w:after="0" w:line="275" w:lineRule="auto"/>
        <w:rPr>
          <w:sz w:val="20"/>
          <w:szCs w:val="20"/>
          <w:color w:val="auto"/>
        </w:rPr>
      </w:pPr>
      <w:r>
        <w:rPr>
          <w:rFonts w:ascii="Arial" w:cs="Arial" w:eastAsia="Arial" w:hAnsi="Arial"/>
          <w:sz w:val="18"/>
          <w:szCs w:val="18"/>
          <w:color w:val="auto"/>
        </w:rPr>
        <w:t>During fiscal 2023, each Director standing for reelection attended more than 75% of the combined number of Board meetings and applicable committee meetings.</w:t>
      </w:r>
    </w:p>
    <w:p>
      <w:pPr>
        <w:spacing w:after="0" w:line="93" w:lineRule="exact"/>
        <w:rPr>
          <w:sz w:val="20"/>
          <w:szCs w:val="20"/>
          <w:color w:val="auto"/>
        </w:rPr>
      </w:pPr>
    </w:p>
    <w:p>
      <w:pPr>
        <w:ind w:left="1000" w:right="379"/>
        <w:spacing w:after="0" w:line="285" w:lineRule="auto"/>
        <w:rPr>
          <w:sz w:val="20"/>
          <w:szCs w:val="20"/>
          <w:color w:val="auto"/>
        </w:rPr>
      </w:pPr>
      <w:r>
        <w:rPr>
          <w:rFonts w:ascii="Arial" w:cs="Arial" w:eastAsia="Arial" w:hAnsi="Arial"/>
          <w:sz w:val="17"/>
          <w:szCs w:val="17"/>
          <w:color w:val="auto"/>
        </w:rPr>
        <w:t>Directors are expected to attend the annual meeting of shareholders unless unusual circumstances prevent such attendance. Board and committee meetings are scheduled in conjunction with the annual meeting of shareholders. All Directors attended the 2022 Annual Meeting of Shareholders held on November 17, 2022.</w:t>
      </w:r>
    </w:p>
    <w:p>
      <w:pPr>
        <w:spacing w:after="0" w:line="100" w:lineRule="exact"/>
        <w:rPr>
          <w:sz w:val="20"/>
          <w:szCs w:val="20"/>
          <w:color w:val="auto"/>
        </w:rPr>
      </w:pPr>
    </w:p>
    <w:p>
      <w:pPr>
        <w:ind w:left="1000" w:right="499"/>
        <w:spacing w:after="0" w:line="254" w:lineRule="auto"/>
        <w:rPr>
          <w:sz w:val="20"/>
          <w:szCs w:val="20"/>
          <w:color w:val="auto"/>
        </w:rPr>
      </w:pPr>
      <w:r>
        <w:rPr>
          <w:rFonts w:ascii="Arial" w:cs="Arial" w:eastAsia="Arial" w:hAnsi="Arial"/>
          <w:sz w:val="18"/>
          <w:szCs w:val="18"/>
          <w:color w:val="auto"/>
        </w:rPr>
        <w:t>The Board currently has, and appoints the members of, a standing Audit Committee, Compensation and Leadership Development Committee, Corporate Governance Committee and Finance Committee. Each of these committees is comprised solely of non-employee Directors, reports regularly to the full Board, and annually evaluates its performance. In addition, the Board has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1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members of the committees as of the date of this Proxy Statement are identified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125095</wp:posOffset>
            </wp:positionV>
            <wp:extent cx="463740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37405" cy="146050"/>
                    </a:xfrm>
                    <a:prstGeom prst="rect">
                      <a:avLst/>
                    </a:prstGeom>
                    <a:noFill/>
                  </pic:spPr>
                </pic:pic>
              </a:graphicData>
            </a:graphic>
          </wp:anchor>
        </w:drawing>
      </w:r>
    </w:p>
    <w:p>
      <w:pPr>
        <w:spacing w:after="0" w:line="177" w:lineRule="exact"/>
        <w:rPr>
          <w:sz w:val="20"/>
          <w:szCs w:val="20"/>
          <w:color w:val="auto"/>
        </w:rPr>
      </w:pPr>
    </w:p>
    <w:tbl>
      <w:tblPr>
        <w:tblLayout w:type="fixed"/>
        <w:tblInd w:w="1710" w:type="dxa"/>
        <w:tblCellMar>
          <w:top w:w="0" w:type="dxa"/>
          <w:left w:w="0" w:type="dxa"/>
          <w:bottom w:w="0" w:type="dxa"/>
          <w:right w:w="0" w:type="dxa"/>
        </w:tblCellMar>
      </w:tblPr>
      <w:tr>
        <w:trPr>
          <w:trHeight w:val="230"/>
        </w:trPr>
        <w:tc>
          <w:tcPr>
            <w:tcW w:w="2780" w:type="dxa"/>
            <w:vAlign w:val="bottom"/>
            <w:tcBorders>
              <w:left w:val="single" w:sz="8" w:color="53C072"/>
            </w:tcBorders>
          </w:tcPr>
          <w:p>
            <w:pPr>
              <w:jc w:val="right"/>
              <w:ind w:right="2607"/>
              <w:spacing w:after="0"/>
              <w:rPr>
                <w:sz w:val="20"/>
                <w:szCs w:val="20"/>
                <w:color w:val="auto"/>
              </w:rPr>
            </w:pPr>
            <w:r>
              <w:rPr>
                <w:rFonts w:ascii="Arial" w:cs="Arial" w:eastAsia="Arial" w:hAnsi="Arial"/>
                <w:sz w:val="16"/>
                <w:szCs w:val="16"/>
                <w:b w:val="1"/>
                <w:bCs w:val="1"/>
                <w:color w:val="FEFEFE"/>
              </w:rPr>
              <w:t>​​</w:t>
            </w:r>
          </w:p>
        </w:tc>
        <w:tc>
          <w:tcPr>
            <w:tcW w:w="34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FEFEFE"/>
              </w:rPr>
              <w:t>Committees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760" w:type="dxa"/>
            <w:vAlign w:val="bottom"/>
          </w:tcPr>
          <w:p>
            <w:pPr>
              <w:ind w:left="220"/>
              <w:spacing w:after="0"/>
              <w:rPr>
                <w:sz w:val="20"/>
                <w:szCs w:val="20"/>
                <w:color w:val="auto"/>
              </w:rPr>
            </w:pPr>
            <w:r>
              <w:rPr>
                <w:rFonts w:ascii="Arial" w:cs="Arial" w:eastAsia="Arial" w:hAnsi="Arial"/>
                <w:sz w:val="16"/>
                <w:szCs w:val="16"/>
                <w:b w:val="1"/>
                <w:bCs w:val="1"/>
                <w:color w:val="FEFEFE"/>
              </w:rPr>
              <w:t>​</w:t>
            </w:r>
          </w:p>
        </w:tc>
        <w:tc>
          <w:tcPr>
            <w:tcW w:w="5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2780" w:type="dxa"/>
            <w:vAlign w:val="bottom"/>
            <w:tcBorders>
              <w:left w:val="single" w:sz="8" w:color="53C072"/>
            </w:tcBorders>
            <w:vMerge w:val="restart"/>
          </w:tcPr>
          <w:p>
            <w:pPr>
              <w:jc w:val="right"/>
              <w:ind w:right="2607"/>
              <w:spacing w:after="0"/>
              <w:rPr>
                <w:sz w:val="20"/>
                <w:szCs w:val="20"/>
                <w:color w:val="auto"/>
              </w:rPr>
            </w:pPr>
            <w:r>
              <w:rPr>
                <w:rFonts w:ascii="Arial" w:cs="Arial" w:eastAsia="Arial" w:hAnsi="Arial"/>
                <w:sz w:val="16"/>
                <w:szCs w:val="16"/>
                <w:b w:val="1"/>
                <w:bCs w:val="1"/>
                <w:color w:val="FEFEFE"/>
              </w:rPr>
              <w:t>​​</w:t>
            </w:r>
          </w:p>
        </w:tc>
        <w:tc>
          <w:tcPr>
            <w:tcW w:w="80" w:type="dxa"/>
            <w:vAlign w:val="bottom"/>
            <w:shd w:val="clear" w:color="auto" w:fill="53C07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20" w:type="dxa"/>
            <w:vAlign w:val="bottom"/>
            <w:tcBorders>
              <w:right w:val="single" w:sz="8" w:color="53C072"/>
            </w:tcBorders>
            <w:gridSpan w:val="2"/>
            <w:shd w:val="clear" w:color="auto" w:fill="53C07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left w:val="single" w:sz="8" w:color="53C072"/>
            </w:tcBorders>
            <w:vMerge w:val="continue"/>
          </w:tcPr>
          <w:p>
            <w:pPr>
              <w:spacing w:after="0"/>
              <w:rPr>
                <w:sz w:val="18"/>
                <w:szCs w:val="18"/>
                <w:color w:val="auto"/>
              </w:rPr>
            </w:pPr>
          </w:p>
        </w:tc>
        <w:tc>
          <w:tcPr>
            <w:tcW w:w="34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jc w:val="center"/>
              <w:ind w:right="81"/>
              <w:spacing w:after="0"/>
              <w:rPr>
                <w:sz w:val="20"/>
                <w:szCs w:val="20"/>
                <w:color w:val="auto"/>
              </w:rPr>
            </w:pPr>
            <w:r>
              <w:rPr>
                <w:rFonts w:ascii="Arial" w:cs="Arial" w:eastAsia="Arial" w:hAnsi="Arial"/>
                <w:sz w:val="16"/>
                <w:szCs w:val="16"/>
                <w:b w:val="1"/>
                <w:bCs w:val="1"/>
                <w:color w:val="FEFEFE"/>
              </w:rPr>
              <w:t>A</w:t>
            </w:r>
          </w:p>
        </w:tc>
        <w:tc>
          <w:tcPr>
            <w:tcW w:w="30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ind w:left="80"/>
              <w:spacing w:after="0"/>
              <w:rPr>
                <w:sz w:val="20"/>
                <w:szCs w:val="20"/>
                <w:color w:val="auto"/>
              </w:rPr>
            </w:pPr>
            <w:r>
              <w:rPr>
                <w:rFonts w:ascii="Arial" w:cs="Arial" w:eastAsia="Arial" w:hAnsi="Arial"/>
                <w:sz w:val="16"/>
                <w:szCs w:val="16"/>
                <w:b w:val="1"/>
                <w:bCs w:val="1"/>
                <w:color w:val="FEFEFE"/>
              </w:rPr>
              <w:t>C</w:t>
            </w:r>
          </w:p>
        </w:tc>
        <w:tc>
          <w:tcPr>
            <w:tcW w:w="360" w:type="dxa"/>
            <w:vAlign w:val="bottom"/>
            <w:gridSpan w:val="3"/>
          </w:tcPr>
          <w:p>
            <w:pPr>
              <w:ind w:left="140"/>
              <w:spacing w:after="0"/>
              <w:rPr>
                <w:sz w:val="20"/>
                <w:szCs w:val="20"/>
                <w:color w:val="auto"/>
              </w:rPr>
            </w:pPr>
            <w:r>
              <w:rPr>
                <w:rFonts w:ascii="Arial" w:cs="Arial" w:eastAsia="Arial" w:hAnsi="Arial"/>
                <w:sz w:val="16"/>
                <w:szCs w:val="16"/>
                <w:b w:val="1"/>
                <w:bCs w:val="1"/>
                <w:color w:val="FEFEFE"/>
              </w:rPr>
              <w:t>​ ​</w:t>
            </w:r>
          </w:p>
        </w:tc>
        <w:tc>
          <w:tcPr>
            <w:tcW w:w="400" w:type="dxa"/>
            <w:vAlign w:val="bottom"/>
          </w:tcPr>
          <w:p>
            <w:pPr>
              <w:jc w:val="center"/>
              <w:ind w:right="2"/>
              <w:spacing w:after="0"/>
              <w:rPr>
                <w:sz w:val="20"/>
                <w:szCs w:val="20"/>
                <w:color w:val="auto"/>
              </w:rPr>
            </w:pPr>
            <w:r>
              <w:rPr>
                <w:rFonts w:ascii="Arial" w:cs="Arial" w:eastAsia="Arial" w:hAnsi="Arial"/>
                <w:sz w:val="16"/>
                <w:szCs w:val="16"/>
                <w:b w:val="1"/>
                <w:bCs w:val="1"/>
                <w:color w:val="FEFEFE"/>
                <w:w w:val="99"/>
              </w:rPr>
              <w:t>CG</w:t>
            </w:r>
          </w:p>
        </w:tc>
        <w:tc>
          <w:tcPr>
            <w:tcW w:w="30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240" w:type="dxa"/>
            <w:vAlign w:val="bottom"/>
          </w:tcPr>
          <w:p>
            <w:pPr>
              <w:ind w:left="80"/>
              <w:spacing w:after="0"/>
              <w:rPr>
                <w:sz w:val="20"/>
                <w:szCs w:val="20"/>
                <w:color w:val="auto"/>
              </w:rPr>
            </w:pPr>
            <w:r>
              <w:rPr>
                <w:rFonts w:ascii="Arial" w:cs="Arial" w:eastAsia="Arial" w:hAnsi="Arial"/>
                <w:sz w:val="16"/>
                <w:szCs w:val="16"/>
                <w:b w:val="1"/>
                <w:bCs w:val="1"/>
                <w:color w:val="FEFEFE"/>
              </w:rPr>
              <w:t>F</w:t>
            </w:r>
          </w:p>
        </w:tc>
        <w:tc>
          <w:tcPr>
            <w:tcW w:w="420" w:type="dxa"/>
            <w:vAlign w:val="bottom"/>
            <w:gridSpan w:val="3"/>
          </w:tcPr>
          <w:p>
            <w:pPr>
              <w:ind w:left="160"/>
              <w:spacing w:after="0"/>
              <w:rPr>
                <w:sz w:val="20"/>
                <w:szCs w:val="20"/>
                <w:color w:val="auto"/>
              </w:rPr>
            </w:pPr>
            <w:r>
              <w:rPr>
                <w:rFonts w:ascii="Arial" w:cs="Arial" w:eastAsia="Arial" w:hAnsi="Arial"/>
                <w:sz w:val="16"/>
                <w:szCs w:val="16"/>
                <w:b w:val="1"/>
                <w:bCs w:val="1"/>
                <w:color w:val="FEFEFE"/>
              </w:rPr>
              <w:t>​ ​</w:t>
            </w:r>
          </w:p>
        </w:tc>
        <w:tc>
          <w:tcPr>
            <w:tcW w:w="360" w:type="dxa"/>
            <w:vAlign w:val="bottom"/>
          </w:tcPr>
          <w:p>
            <w:pPr>
              <w:ind w:left="60"/>
              <w:spacing w:after="0"/>
              <w:rPr>
                <w:sz w:val="20"/>
                <w:szCs w:val="20"/>
                <w:color w:val="auto"/>
              </w:rPr>
            </w:pPr>
            <w:r>
              <w:rPr>
                <w:rFonts w:ascii="Arial" w:cs="Arial" w:eastAsia="Arial" w:hAnsi="Arial"/>
                <w:sz w:val="16"/>
                <w:szCs w:val="16"/>
                <w:b w:val="1"/>
                <w:bCs w:val="1"/>
                <w:color w:val="FEFEFE"/>
              </w:rPr>
              <w:t>E</w:t>
            </w:r>
          </w:p>
        </w:tc>
        <w:tc>
          <w:tcPr>
            <w:tcW w:w="120" w:type="dxa"/>
            <w:vAlign w:val="bottom"/>
            <w:gridSpan w:val="2"/>
          </w:tcPr>
          <w:p>
            <w:pPr>
              <w:ind w:left="40"/>
              <w:spacing w:after="0"/>
              <w:rPr>
                <w:sz w:val="20"/>
                <w:szCs w:val="20"/>
                <w:color w:val="auto"/>
              </w:rPr>
            </w:pPr>
            <w:r>
              <w:rPr>
                <w:rFonts w:ascii="Arial" w:cs="Arial" w:eastAsia="Arial" w:hAnsi="Arial"/>
                <w:sz w:val="16"/>
                <w:szCs w:val="16"/>
                <w:b w:val="1"/>
                <w:bCs w:val="1"/>
                <w:color w:val="FEFEFE"/>
              </w:rPr>
              <w:t>​</w:t>
            </w: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FEFEFE"/>
              </w:rPr>
              <w:t>​Independent ​</w:t>
            </w:r>
          </w:p>
        </w:tc>
        <w:tc>
          <w:tcPr>
            <w:tcW w:w="0" w:type="dxa"/>
            <w:vAlign w:val="bottom"/>
          </w:tcPr>
          <w:p>
            <w:pPr>
              <w:spacing w:after="0"/>
              <w:rPr>
                <w:sz w:val="1"/>
                <w:szCs w:val="1"/>
                <w:color w:val="auto"/>
              </w:rPr>
            </w:pPr>
          </w:p>
        </w:tc>
      </w:tr>
      <w:tr>
        <w:trPr>
          <w:trHeight w:val="324"/>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Rodney C. Adkins (Board Chair)</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25"/>
                <w:szCs w:val="25"/>
                <w:color w:val="auto"/>
                <w:highlight w:val="darkGray"/>
              </w:rPr>
              <w:t>​</w:t>
            </w:r>
          </w:p>
        </w:tc>
        <w:tc>
          <w:tcPr>
            <w:tcW w:w="120" w:type="dxa"/>
            <w:vAlign w:val="bottom"/>
            <w:gridSpan w:val="2"/>
          </w:tcPr>
          <w:p>
            <w:pPr>
              <w:jc w:val="right"/>
              <w:spacing w:after="0"/>
              <w:rPr>
                <w:sz w:val="20"/>
                <w:szCs w:val="20"/>
                <w:color w:val="auto"/>
              </w:rPr>
            </w:pPr>
            <w:r>
              <w:rPr>
                <w:rFonts w:ascii="Arial" w:cs="Arial" w:eastAsia="Arial" w:hAnsi="Arial"/>
                <w:sz w:val="25"/>
                <w:szCs w:val="25"/>
                <w:color w:val="auto"/>
                <w:highlight w:val="darkGray"/>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jc w:val="center"/>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ind w:right="2"/>
              <w:spacing w:after="0"/>
              <w:rPr>
                <w:sz w:val="20"/>
                <w:szCs w:val="20"/>
                <w:color w:val="auto"/>
              </w:rPr>
            </w:pPr>
            <w:r>
              <w:rPr>
                <w:rFonts w:ascii="Arial" w:cs="Arial" w:eastAsia="Arial" w:hAnsi="Arial"/>
                <w:sz w:val="25"/>
                <w:szCs w:val="25"/>
                <w:color w:val="53C072"/>
                <w:w w:val="90"/>
              </w:rPr>
              <w:t>•</w:t>
            </w:r>
          </w:p>
        </w:tc>
        <w:tc>
          <w:tcPr>
            <w:tcW w:w="1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240" w:type="dxa"/>
            <w:vAlign w:val="bottom"/>
          </w:tcPr>
          <w:p>
            <w:pPr>
              <w:jc w:val="center"/>
              <w:ind w:left="2"/>
              <w:spacing w:after="0"/>
              <w:rPr>
                <w:sz w:val="20"/>
                <w:szCs w:val="20"/>
                <w:color w:val="auto"/>
              </w:rPr>
            </w:pPr>
            <w:r>
              <w:rPr>
                <w:rFonts w:ascii="Arial" w:cs="Arial" w:eastAsia="Arial" w:hAnsi="Arial"/>
                <w:sz w:val="25"/>
                <w:szCs w:val="25"/>
                <w:color w:val="auto"/>
              </w:rPr>
              <w:t>​</w:t>
            </w:r>
          </w:p>
        </w:tc>
        <w:tc>
          <w:tcPr>
            <w:tcW w:w="220" w:type="dxa"/>
            <w:vAlign w:val="bottom"/>
            <w:gridSpan w:val="2"/>
          </w:tcPr>
          <w:p>
            <w:pPr>
              <w:ind w:left="160"/>
              <w:spacing w:after="0"/>
              <w:rPr>
                <w:sz w:val="20"/>
                <w:szCs w:val="20"/>
                <w:color w:val="auto"/>
              </w:rPr>
            </w:pPr>
            <w:r>
              <w:rPr>
                <w:rFonts w:ascii="Arial" w:cs="Arial" w:eastAsia="Arial" w:hAnsi="Arial"/>
                <w:sz w:val="25"/>
                <w:szCs w:val="25"/>
                <w:color w:val="auto"/>
              </w:rPr>
              <w:t>​</w:t>
            </w:r>
          </w:p>
        </w:tc>
        <w:tc>
          <w:tcPr>
            <w:tcW w:w="680" w:type="dxa"/>
            <w:vAlign w:val="bottom"/>
            <w:gridSpan w:val="4"/>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7"/>
                <w:szCs w:val="17"/>
                <w:color w:val="auto"/>
              </w:rPr>
              <w:t>Chair</w:t>
            </w: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780" w:type="dxa"/>
            <w:vAlign w:val="bottom"/>
          </w:tcPr>
          <w:p>
            <w:pPr>
              <w:jc w:val="right"/>
              <w:ind w:right="2607"/>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jc w:val="center"/>
              <w:spacing w:after="0" w:line="77" w:lineRule="exact"/>
              <w:rPr>
                <w:sz w:val="20"/>
                <w:szCs w:val="20"/>
                <w:color w:val="auto"/>
              </w:rPr>
            </w:pPr>
            <w:r>
              <w:rPr>
                <w:rFonts w:ascii="Arial" w:cs="Arial" w:eastAsia="Arial" w:hAnsi="Arial"/>
                <w:sz w:val="8"/>
                <w:szCs w:val="8"/>
                <w:color w:val="auto"/>
                <w:highlight w:val="darkGray"/>
              </w:rPr>
              <w:t>Chair</w:t>
            </w:r>
          </w:p>
        </w:tc>
        <w:tc>
          <w:tcPr>
            <w:tcW w:w="120" w:type="dxa"/>
            <w:vAlign w:val="bottom"/>
            <w:gridSpan w:val="2"/>
          </w:tcPr>
          <w:p>
            <w:pPr>
              <w:jc w:val="right"/>
              <w:spacing w:after="0" w:line="77" w:lineRule="exact"/>
              <w:rPr>
                <w:sz w:val="20"/>
                <w:szCs w:val="20"/>
                <w:color w:val="auto"/>
              </w:rPr>
            </w:pPr>
            <w:r>
              <w:rPr>
                <w:rFonts w:ascii="Arial" w:cs="Arial" w:eastAsia="Arial" w:hAnsi="Arial"/>
                <w:sz w:val="8"/>
                <w:szCs w:val="8"/>
                <w:color w:val="auto"/>
                <w:highlight w:val="darkGray"/>
              </w:rPr>
              <w:t>​​</w:t>
            </w:r>
          </w:p>
        </w:tc>
        <w:tc>
          <w:tcPr>
            <w:tcW w:w="18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8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1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40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40" w:type="dxa"/>
            <w:vAlign w:val="bottom"/>
          </w:tcPr>
          <w:p>
            <w:pPr>
              <w:ind w:left="80"/>
              <w:spacing w:after="0" w:line="77" w:lineRule="exact"/>
              <w:rPr>
                <w:sz w:val="20"/>
                <w:szCs w:val="20"/>
                <w:color w:val="auto"/>
              </w:rPr>
            </w:pPr>
            <w:r>
              <w:rPr>
                <w:rFonts w:ascii="Arial" w:cs="Arial" w:eastAsia="Arial" w:hAnsi="Arial"/>
                <w:sz w:val="8"/>
                <w:szCs w:val="8"/>
                <w:color w:val="53C072"/>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80"/>
              <w:spacing w:after="0" w:line="77" w:lineRule="exact"/>
              <w:rPr>
                <w:sz w:val="20"/>
                <w:szCs w:val="20"/>
                <w:color w:val="auto"/>
              </w:rPr>
            </w:pPr>
            <w:r>
              <w:rPr>
                <w:rFonts w:ascii="Arial" w:cs="Arial" w:eastAsia="Arial" w:hAnsi="Arial"/>
                <w:sz w:val="8"/>
                <w:szCs w:val="8"/>
                <w:color w:val="53C072"/>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Carlo Bozotti</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20" w:type="dxa"/>
            <w:vAlign w:val="bottom"/>
            <w:gridSpan w:val="2"/>
          </w:tcPr>
          <w:p>
            <w:pPr>
              <w:ind w:left="16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Brenda L. Freeman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ind w:left="24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220" w:type="dxa"/>
            <w:vAlign w:val="bottom"/>
            <w:gridSpan w:val="2"/>
          </w:tcPr>
          <w:p>
            <w:pPr>
              <w:ind w:left="16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Jo Ann Jenkins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shd w:val="clear" w:color="auto" w:fill="B2B2B2"/>
          </w:tcPr>
          <w:p>
            <w:pPr>
              <w:spacing w:after="0"/>
              <w:rPr>
                <w:sz w:val="7"/>
                <w:szCs w:val="7"/>
                <w:color w:val="auto"/>
              </w:rPr>
            </w:pPr>
          </w:p>
        </w:tc>
        <w:tc>
          <w:tcPr>
            <w:tcW w:w="280" w:type="dxa"/>
            <w:vAlign w:val="bottom"/>
            <w:shd w:val="clear" w:color="auto" w:fill="B2B2B2"/>
          </w:tcPr>
          <w:p>
            <w:pPr>
              <w:jc w:val="center"/>
              <w:ind w:right="81"/>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Oleg Khaykin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shd w:val="clear" w:color="auto" w:fill="B2B2B2"/>
          </w:tcPr>
          <w:p>
            <w:pPr>
              <w:spacing w:after="0"/>
              <w:rPr>
                <w:sz w:val="7"/>
                <w:szCs w:val="7"/>
                <w:color w:val="auto"/>
              </w:rPr>
            </w:pPr>
          </w:p>
        </w:tc>
        <w:tc>
          <w:tcPr>
            <w:tcW w:w="280" w:type="dxa"/>
            <w:vAlign w:val="bottom"/>
            <w:shd w:val="clear" w:color="auto" w:fill="B2B2B2"/>
          </w:tcPr>
          <w:p>
            <w:pPr>
              <w:ind w:left="6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jc w:val="center"/>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40" w:type="dxa"/>
            <w:vAlign w:val="bottom"/>
          </w:tcPr>
          <w:p>
            <w:pPr>
              <w:ind w:left="80"/>
              <w:spacing w:after="0" w:line="83" w:lineRule="exact"/>
              <w:rPr>
                <w:sz w:val="20"/>
                <w:szCs w:val="20"/>
                <w:color w:val="auto"/>
              </w:rPr>
            </w:pPr>
            <w:r>
              <w:rPr>
                <w:rFonts w:ascii="Arial" w:cs="Arial" w:eastAsia="Arial" w:hAnsi="Arial"/>
                <w:sz w:val="9"/>
                <w:szCs w:val="9"/>
                <w:color w:val="53C072"/>
              </w:rPr>
              <w:t>•</w:t>
            </w:r>
          </w:p>
        </w:tc>
        <w:tc>
          <w:tcPr>
            <w:tcW w:w="220" w:type="dxa"/>
            <w:vAlign w:val="bottom"/>
            <w:gridSpan w:val="2"/>
          </w:tcPr>
          <w:p>
            <w:pPr>
              <w:ind w:left="16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James A. Lawrence</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220" w:type="dxa"/>
            <w:vAlign w:val="bottom"/>
            <w:gridSpan w:val="2"/>
          </w:tcPr>
          <w:p>
            <w:pPr>
              <w:ind w:left="16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Ernest E. Maddock</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7"/>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shd w:val="clear" w:color="auto" w:fill="B2B2B2"/>
          </w:tcPr>
          <w:p>
            <w:pPr>
              <w:spacing w:after="0"/>
              <w:rPr>
                <w:sz w:val="7"/>
                <w:szCs w:val="7"/>
                <w:color w:val="auto"/>
              </w:rPr>
            </w:pPr>
          </w:p>
        </w:tc>
        <w:tc>
          <w:tcPr>
            <w:tcW w:w="280" w:type="dxa"/>
            <w:vAlign w:val="bottom"/>
            <w:shd w:val="clear" w:color="auto" w:fill="B2B2B2"/>
          </w:tcPr>
          <w:p>
            <w:pPr>
              <w:ind w:left="6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jc w:val="right"/>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ind w:left="100"/>
              <w:spacing w:after="0" w:line="83" w:lineRule="exact"/>
              <w:rPr>
                <w:sz w:val="20"/>
                <w:szCs w:val="20"/>
                <w:color w:val="auto"/>
              </w:rPr>
            </w:pPr>
            <w:r>
              <w:rPr>
                <w:rFonts w:ascii="Arial" w:cs="Arial" w:eastAsia="Arial" w:hAnsi="Arial"/>
                <w:sz w:val="9"/>
                <w:szCs w:val="9"/>
                <w:color w:val="53C072"/>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40" w:type="dxa"/>
            <w:vAlign w:val="bottom"/>
          </w:tcPr>
          <w:p>
            <w:pPr>
              <w:jc w:val="center"/>
              <w:ind w:left="2"/>
              <w:spacing w:after="0" w:line="83"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6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80"/>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52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Avid Modjtabai</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80" w:type="dxa"/>
            <w:vAlign w:val="bottom"/>
            <w:tcBorders>
              <w:bottom w:val="single" w:sz="8" w:color="auto"/>
            </w:tcBorders>
            <w:shd w:val="clear" w:color="auto" w:fill="B2B2B2"/>
          </w:tcPr>
          <w:p>
            <w:pPr>
              <w:spacing w:after="0"/>
              <w:rPr>
                <w:sz w:val="20"/>
                <w:szCs w:val="20"/>
                <w:color w:val="auto"/>
              </w:rPr>
            </w:pPr>
          </w:p>
        </w:tc>
        <w:tc>
          <w:tcPr>
            <w:tcW w:w="28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Adalio T. Sanchez</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80" w:type="dxa"/>
            <w:vAlign w:val="bottom"/>
            <w:shd w:val="clear" w:color="auto" w:fill="B2B2B2"/>
          </w:tcPr>
          <w:p>
            <w:pPr>
              <w:spacing w:after="0"/>
              <w:rPr>
                <w:sz w:val="24"/>
                <w:szCs w:val="24"/>
                <w:color w:val="auto"/>
              </w:rPr>
            </w:pPr>
          </w:p>
        </w:tc>
        <w:tc>
          <w:tcPr>
            <w:tcW w:w="280" w:type="dxa"/>
            <w:vAlign w:val="bottom"/>
            <w:shd w:val="clear" w:color="auto" w:fill="B2B2B2"/>
          </w:tcPr>
          <w:p>
            <w:pPr>
              <w:ind w:left="60"/>
              <w:spacing w:after="0"/>
              <w:rPr>
                <w:sz w:val="20"/>
                <w:szCs w:val="20"/>
                <w:color w:val="auto"/>
              </w:rPr>
            </w:pPr>
            <w:r>
              <w:rPr>
                <w:rFonts w:ascii="Arial" w:cs="Arial" w:eastAsia="Arial" w:hAnsi="Arial"/>
                <w:sz w:val="25"/>
                <w:szCs w:val="25"/>
                <w:color w:val="auto"/>
              </w:rPr>
              <w:t>​</w:t>
            </w:r>
          </w:p>
        </w:tc>
        <w:tc>
          <w:tcPr>
            <w:tcW w:w="120" w:type="dxa"/>
            <w:vAlign w:val="bottom"/>
            <w:gridSpan w:val="2"/>
          </w:tcPr>
          <w:p>
            <w:pPr>
              <w:jc w:val="right"/>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ind w:left="100"/>
              <w:spacing w:after="0"/>
              <w:rPr>
                <w:sz w:val="20"/>
                <w:szCs w:val="20"/>
                <w:color w:val="auto"/>
              </w:rPr>
            </w:pPr>
            <w:r>
              <w:rPr>
                <w:rFonts w:ascii="Arial" w:cs="Arial" w:eastAsia="Arial" w:hAnsi="Arial"/>
                <w:sz w:val="25"/>
                <w:szCs w:val="25"/>
                <w:color w:val="53C072"/>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ind w:right="2"/>
              <w:spacing w:after="0"/>
              <w:rPr>
                <w:sz w:val="20"/>
                <w:szCs w:val="20"/>
                <w:color w:val="auto"/>
              </w:rPr>
            </w:pPr>
            <w:r>
              <w:rPr>
                <w:rFonts w:ascii="Arial" w:cs="Arial" w:eastAsia="Arial" w:hAnsi="Arial"/>
                <w:sz w:val="25"/>
                <w:szCs w:val="25"/>
                <w:color w:val="53C072"/>
                <w:w w:val="90"/>
              </w:rPr>
              <w:t>•</w:t>
            </w:r>
          </w:p>
        </w:tc>
        <w:tc>
          <w:tcPr>
            <w:tcW w:w="1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240" w:type="dxa"/>
            <w:vAlign w:val="bottom"/>
          </w:tcPr>
          <w:p>
            <w:pPr>
              <w:jc w:val="center"/>
              <w:ind w:left="2"/>
              <w:spacing w:after="0"/>
              <w:rPr>
                <w:sz w:val="20"/>
                <w:szCs w:val="20"/>
                <w:color w:val="auto"/>
              </w:rPr>
            </w:pPr>
            <w:r>
              <w:rPr>
                <w:rFonts w:ascii="Arial" w:cs="Arial" w:eastAsia="Arial" w:hAnsi="Arial"/>
                <w:sz w:val="25"/>
                <w:szCs w:val="25"/>
                <w:color w:val="auto"/>
              </w:rPr>
              <w:t>​</w:t>
            </w:r>
          </w:p>
        </w:tc>
        <w:tc>
          <w:tcPr>
            <w:tcW w:w="220" w:type="dxa"/>
            <w:vAlign w:val="bottom"/>
            <w:gridSpan w:val="2"/>
          </w:tcPr>
          <w:p>
            <w:pPr>
              <w:ind w:left="16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120"/>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36"/>
        </w:trPr>
        <w:tc>
          <w:tcPr>
            <w:tcW w:w="5280" w:type="dxa"/>
            <w:vAlign w:val="bottom"/>
            <w:tcBorders>
              <w:left w:val="single" w:sz="8" w:color="53C072"/>
            </w:tcBorders>
            <w:gridSpan w:val="17"/>
            <w:shd w:val="clear" w:color="auto" w:fill="53C072"/>
          </w:tcPr>
          <w:p>
            <w:pPr>
              <w:spacing w:after="0"/>
              <w:rPr>
                <w:sz w:val="3"/>
                <w:szCs w:val="3"/>
                <w:color w:val="auto"/>
              </w:rPr>
            </w:pPr>
          </w:p>
        </w:tc>
        <w:tc>
          <w:tcPr>
            <w:tcW w:w="2020" w:type="dxa"/>
            <w:vAlign w:val="bottom"/>
            <w:tcBorders>
              <w:right w:val="single" w:sz="8" w:color="53C072"/>
            </w:tcBorders>
            <w:gridSpan w:val="8"/>
            <w:shd w:val="clear" w:color="auto" w:fill="53C072"/>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17"/>
          </w:tcPr>
          <w:p>
            <w:pPr>
              <w:ind w:left="2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Compensation and Leadership Development Committee</w:t>
            </w:r>
          </w:p>
        </w:tc>
        <w:tc>
          <w:tcPr>
            <w:tcW w:w="2540" w:type="dxa"/>
            <w:vAlign w:val="bottom"/>
            <w:gridSpan w:val="9"/>
          </w:tcPr>
          <w:p>
            <w:pPr>
              <w:ind w:left="4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 Committee</w:t>
            </w:r>
          </w:p>
        </w:tc>
        <w:tc>
          <w:tcPr>
            <w:tcW w:w="0" w:type="dxa"/>
            <w:vAlign w:val="bottom"/>
          </w:tcPr>
          <w:p>
            <w:pPr>
              <w:spacing w:after="0"/>
              <w:rPr>
                <w:sz w:val="1"/>
                <w:szCs w:val="1"/>
                <w:color w:val="auto"/>
              </w:rPr>
            </w:pPr>
          </w:p>
        </w:tc>
      </w:tr>
      <w:tr>
        <w:trPr>
          <w:trHeight w:val="200"/>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Executive Committee</w:t>
            </w:r>
            <w:r>
              <w:rPr>
                <w:rFonts w:ascii="Arial" w:cs="Arial" w:eastAsia="Arial" w:hAnsi="Arial"/>
                <w:sz w:val="14"/>
                <w:szCs w:val="14"/>
                <w:b w:val="1"/>
                <w:bCs w:val="1"/>
                <w:color w:val="auto"/>
              </w:rPr>
              <w:t xml:space="preserve">  F: </w:t>
            </w:r>
            <w:r>
              <w:rPr>
                <w:rFonts w:ascii="Arial" w:cs="Arial" w:eastAsia="Arial" w:hAnsi="Arial"/>
                <w:sz w:val="14"/>
                <w:szCs w:val="14"/>
                <w:color w:val="auto"/>
              </w:rPr>
              <w:t>Finance Committee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-2398395</wp:posOffset>
            </wp:positionV>
            <wp:extent cx="4612005" cy="2091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12005" cy="209169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Arial" w:cs="Arial" w:eastAsia="Arial" w:hAnsi="Arial"/>
          <w:sz w:val="14"/>
          <w:szCs w:val="14"/>
          <w:color w:val="53C072"/>
        </w:rPr>
        <w:t>•</w:t>
      </w:r>
      <w:r>
        <w:rPr>
          <w:rFonts w:ascii="Arial" w:cs="Arial" w:eastAsia="Arial" w:hAnsi="Arial"/>
          <w:sz w:val="14"/>
          <w:szCs w:val="14"/>
          <w:color w:val="000000"/>
        </w:rPr>
        <w:t> Member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7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504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4"/>
        </w:trPr>
        <w:tc>
          <w:tcPr>
            <w:tcW w:w="47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70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186055</wp:posOffset>
            </wp:positionV>
            <wp:extent cx="55549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33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AUDIT COMMITTEE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2023: 8</w:t>
      </w:r>
    </w:p>
    <w:p>
      <w:pPr>
        <w:spacing w:after="0" w:line="113" w:lineRule="exact"/>
        <w:rPr>
          <w:sz w:val="20"/>
          <w:szCs w:val="20"/>
          <w:color w:val="auto"/>
        </w:rPr>
      </w:pPr>
    </w:p>
    <w:p>
      <w:pPr>
        <w:ind w:left="1100" w:right="32"/>
        <w:spacing w:after="0" w:line="268" w:lineRule="auto"/>
        <w:rPr>
          <w:sz w:val="20"/>
          <w:szCs w:val="20"/>
          <w:color w:val="auto"/>
        </w:rPr>
      </w:pPr>
      <w:r>
        <w:rPr>
          <w:rFonts w:ascii="Arial" w:cs="Arial" w:eastAsia="Arial" w:hAnsi="Arial"/>
          <w:sz w:val="16"/>
          <w:szCs w:val="16"/>
          <w:b w:val="1"/>
          <w:bCs w:val="1"/>
          <w:color w:val="auto"/>
        </w:rPr>
        <w:t>Audit Committee Financial Experts: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-139065</wp:posOffset>
            </wp:positionV>
            <wp:extent cx="5554980" cy="256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4980" cy="2563495"/>
                    </a:xfrm>
                    <a:prstGeom prst="rect">
                      <a:avLst/>
                    </a:prstGeom>
                    <a:noFill/>
                  </pic:spPr>
                </pic:pic>
              </a:graphicData>
            </a:graphic>
          </wp:anchor>
        </w:drawing>
      </w:r>
    </w:p>
    <w:p>
      <w:pPr>
        <w:spacing w:after="0" w:line="128"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Audit Committee is charged with:</w:t>
      </w:r>
    </w:p>
    <w:p>
      <w:pPr>
        <w:spacing w:after="0" w:line="23" w:lineRule="exact"/>
        <w:rPr>
          <w:sz w:val="20"/>
          <w:szCs w:val="20"/>
          <w:color w:val="auto"/>
        </w:rPr>
      </w:pPr>
    </w:p>
    <w:p>
      <w:pPr>
        <w:ind w:left="268" w:right="319" w:hanging="268"/>
        <w:spacing w:after="0" w:line="261" w:lineRule="auto"/>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Assisting and representing the Board in fulfilling its oversight responsibilities with respect to:</w:t>
      </w:r>
    </w:p>
    <w:p>
      <w:pPr>
        <w:ind w:left="428" w:hanging="266"/>
        <w:spacing w:after="0"/>
        <w:tabs>
          <w:tab w:leader="none" w:pos="428" w:val="left"/>
        </w:tabs>
        <w:numPr>
          <w:ilvl w:val="1"/>
          <w:numId w:val="35"/>
        </w:numPr>
        <w:rPr>
          <w:rFonts w:ascii="Arial" w:cs="Arial" w:eastAsia="Arial" w:hAnsi="Arial"/>
          <w:sz w:val="16"/>
          <w:szCs w:val="16"/>
          <w:color w:val="53C072"/>
        </w:rPr>
      </w:pPr>
      <w:r>
        <w:rPr>
          <w:rFonts w:ascii="Arial" w:cs="Arial" w:eastAsia="Arial" w:hAnsi="Arial"/>
          <w:sz w:val="16"/>
          <w:szCs w:val="16"/>
          <w:color w:val="auto"/>
        </w:rPr>
        <w:t>The integrity of the Company’s financial statements;</w:t>
      </w:r>
    </w:p>
    <w:p>
      <w:pPr>
        <w:spacing w:after="0" w:line="22" w:lineRule="exact"/>
        <w:rPr>
          <w:rFonts w:ascii="Arial" w:cs="Arial" w:eastAsia="Arial" w:hAnsi="Arial"/>
          <w:sz w:val="16"/>
          <w:szCs w:val="16"/>
          <w:color w:val="53C072"/>
        </w:rPr>
      </w:pPr>
    </w:p>
    <w:p>
      <w:pPr>
        <w:ind w:left="428" w:right="599" w:hanging="266"/>
        <w:spacing w:after="0" w:line="270" w:lineRule="auto"/>
        <w:tabs>
          <w:tab w:leader="none" w:pos="428" w:val="left"/>
        </w:tabs>
        <w:numPr>
          <w:ilvl w:val="1"/>
          <w:numId w:val="35"/>
        </w:numPr>
        <w:rPr>
          <w:rFonts w:ascii="Arial" w:cs="Arial" w:eastAsia="Arial" w:hAnsi="Arial"/>
          <w:sz w:val="16"/>
          <w:szCs w:val="16"/>
          <w:color w:val="53C072"/>
        </w:rPr>
      </w:pPr>
      <w:r>
        <w:rPr>
          <w:rFonts w:ascii="Arial" w:cs="Arial" w:eastAsia="Arial" w:hAnsi="Arial"/>
          <w:sz w:val="16"/>
          <w:szCs w:val="16"/>
          <w:color w:val="auto"/>
        </w:rPr>
        <w:t>The independence, qualifications, and performance of the Company’s independent external auditors;</w:t>
      </w:r>
    </w:p>
    <w:p>
      <w:pPr>
        <w:ind w:left="428" w:hanging="266"/>
        <w:spacing w:after="0"/>
        <w:tabs>
          <w:tab w:leader="none" w:pos="428" w:val="left"/>
        </w:tabs>
        <w:numPr>
          <w:ilvl w:val="1"/>
          <w:numId w:val="35"/>
        </w:numPr>
        <w:rPr>
          <w:rFonts w:ascii="Arial" w:cs="Arial" w:eastAsia="Arial" w:hAnsi="Arial"/>
          <w:sz w:val="16"/>
          <w:szCs w:val="16"/>
          <w:color w:val="53C072"/>
        </w:rPr>
      </w:pPr>
      <w:r>
        <w:rPr>
          <w:rFonts w:ascii="Arial" w:cs="Arial" w:eastAsia="Arial" w:hAnsi="Arial"/>
          <w:sz w:val="16"/>
          <w:szCs w:val="16"/>
          <w:color w:val="auto"/>
        </w:rPr>
        <w:t>The performance of the Company’s internal audit function;</w:t>
      </w:r>
    </w:p>
    <w:p>
      <w:pPr>
        <w:spacing w:after="0" w:line="17" w:lineRule="exact"/>
        <w:rPr>
          <w:rFonts w:ascii="Arial" w:cs="Arial" w:eastAsia="Arial" w:hAnsi="Arial"/>
          <w:sz w:val="16"/>
          <w:szCs w:val="16"/>
          <w:color w:val="53C072"/>
        </w:rPr>
      </w:pPr>
    </w:p>
    <w:p>
      <w:pPr>
        <w:ind w:left="428" w:hanging="266"/>
        <w:spacing w:after="0"/>
        <w:tabs>
          <w:tab w:leader="none" w:pos="428" w:val="left"/>
        </w:tabs>
        <w:numPr>
          <w:ilvl w:val="1"/>
          <w:numId w:val="35"/>
        </w:numPr>
        <w:rPr>
          <w:rFonts w:ascii="Arial" w:cs="Arial" w:eastAsia="Arial" w:hAnsi="Arial"/>
          <w:sz w:val="16"/>
          <w:szCs w:val="16"/>
          <w:color w:val="53C072"/>
        </w:rPr>
      </w:pPr>
      <w:r>
        <w:rPr>
          <w:rFonts w:ascii="Arial" w:cs="Arial" w:eastAsia="Arial" w:hAnsi="Arial"/>
          <w:sz w:val="16"/>
          <w:szCs w:val="16"/>
          <w:color w:val="auto"/>
        </w:rPr>
        <w:t>Compliance with legal and regulatory requirements; and</w:t>
      </w:r>
    </w:p>
    <w:p>
      <w:pPr>
        <w:spacing w:after="0" w:line="10" w:lineRule="exact"/>
        <w:rPr>
          <w:rFonts w:ascii="Arial" w:cs="Arial" w:eastAsia="Arial" w:hAnsi="Arial"/>
          <w:sz w:val="16"/>
          <w:szCs w:val="16"/>
          <w:color w:val="53C072"/>
        </w:rPr>
      </w:pPr>
    </w:p>
    <w:p>
      <w:pPr>
        <w:ind w:left="428" w:right="279" w:hanging="266"/>
        <w:spacing w:after="0" w:line="279" w:lineRule="auto"/>
        <w:tabs>
          <w:tab w:leader="none" w:pos="428" w:val="left"/>
        </w:tabs>
        <w:numPr>
          <w:ilvl w:val="1"/>
          <w:numId w:val="35"/>
        </w:numPr>
        <w:rPr>
          <w:rFonts w:ascii="Arial" w:cs="Arial" w:eastAsia="Arial" w:hAnsi="Arial"/>
          <w:sz w:val="16"/>
          <w:szCs w:val="16"/>
          <w:color w:val="53C072"/>
        </w:rPr>
      </w:pPr>
      <w:r>
        <w:rPr>
          <w:rFonts w:ascii="Arial" w:cs="Arial" w:eastAsia="Arial" w:hAnsi="Arial"/>
          <w:sz w:val="16"/>
          <w:szCs w:val="16"/>
          <w:color w:val="auto"/>
        </w:rPr>
        <w:t>Internal ethics and compliance program, enterprise risk management, and cybersecurity.</w:t>
      </w:r>
    </w:p>
    <w:p>
      <w:pPr>
        <w:ind w:left="268" w:right="799" w:hanging="268"/>
        <w:spacing w:after="0" w:line="272" w:lineRule="auto"/>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Appointing, compensating, retaining and overseeing the independent registered public accounting firm.</w:t>
      </w:r>
    </w:p>
    <w:p>
      <w:pPr>
        <w:spacing w:after="0" w:line="1" w:lineRule="exact"/>
        <w:rPr>
          <w:rFonts w:ascii="Arial" w:cs="Arial" w:eastAsia="Arial" w:hAnsi="Arial"/>
          <w:sz w:val="16"/>
          <w:szCs w:val="16"/>
          <w:color w:val="53C072"/>
        </w:rPr>
      </w:pPr>
    </w:p>
    <w:p>
      <w:pPr>
        <w:ind w:left="268" w:right="379" w:hanging="268"/>
        <w:spacing w:after="0" w:line="261" w:lineRule="auto"/>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Reviewing and approving transactions with any related person in which the Company is a participant and involves an amount equal to or exceeding $120,000 per year.</w:t>
      </w:r>
    </w:p>
    <w:p>
      <w:pPr>
        <w:spacing w:after="0" w:line="115" w:lineRule="exact"/>
        <w:rPr>
          <w:sz w:val="20"/>
          <w:szCs w:val="20"/>
          <w:color w:val="auto"/>
        </w:rPr>
      </w:pPr>
    </w:p>
    <w:p>
      <w:pPr>
        <w:ind w:left="8" w:right="459"/>
        <w:spacing w:after="0" w:line="276" w:lineRule="auto"/>
        <w:rPr>
          <w:sz w:val="20"/>
          <w:szCs w:val="20"/>
          <w:color w:val="auto"/>
        </w:rPr>
      </w:pPr>
      <w:r>
        <w:rPr>
          <w:rFonts w:ascii="Arial" w:cs="Arial" w:eastAsia="Arial" w:hAnsi="Arial"/>
          <w:sz w:val="16"/>
          <w:szCs w:val="16"/>
          <w:color w:val="auto"/>
        </w:rPr>
        <w:t>Please see the Audit Committee Report set forth elsewhere in this Proxy Statement for more information about the Audit Committee and its operations.</w:t>
      </w:r>
    </w:p>
    <w:p>
      <w:pPr>
        <w:spacing w:after="0" w:line="155" w:lineRule="exact"/>
        <w:rPr>
          <w:sz w:val="20"/>
          <w:szCs w:val="20"/>
          <w:color w:val="auto"/>
        </w:rPr>
      </w:pPr>
    </w:p>
    <w:p>
      <w:pPr>
        <w:sectPr>
          <w:pgSz w:w="11900" w:h="16838" w:orient="portrait"/>
          <w:cols w:equalWidth="0" w:num="2">
            <w:col w:w="3172" w:space="720"/>
            <w:col w:w="5987"/>
          </w:cols>
          <w:pgMar w:left="580" w:top="90" w:right="1440" w:bottom="1440" w:gutter="0" w:footer="0" w:header="0"/>
          <w:type w:val="continuous"/>
        </w:sectPr>
      </w:pPr>
    </w:p>
    <w:p>
      <w:pPr>
        <w:ind w:left="1000" w:right="179"/>
        <w:spacing w:after="0" w:line="255" w:lineRule="auto"/>
        <w:rPr>
          <w:sz w:val="20"/>
          <w:szCs w:val="20"/>
          <w:color w:val="auto"/>
        </w:rPr>
      </w:pPr>
      <w:r>
        <w:rPr>
          <w:rFonts w:ascii="Arial" w:cs="Arial" w:eastAsia="Arial" w:hAnsi="Arial"/>
          <w:sz w:val="18"/>
          <w:szCs w:val="18"/>
          <w:color w:val="auto"/>
        </w:rPr>
        <w:t>All Audit Committee members are independent under the independence requirements of the Nasdaq listing standards and the Board’s independence standards, and also meet the additional independence requirements for audit committee members established by the SEC. The Board has further determined that the following three members of the committee qualify as “audit committee financial experts” as defined by the SEC and meet the audit committee financial sophistication requirement of Nasdaq: Messrs. Bozotti, (Audit Committee Chair), Khaykin, and Maddock.</w:t>
      </w:r>
    </w:p>
    <w:p>
      <w:pPr>
        <w:spacing w:after="0" w:line="111" w:lineRule="exact"/>
        <w:rPr>
          <w:sz w:val="20"/>
          <w:szCs w:val="20"/>
          <w:color w:val="auto"/>
        </w:rPr>
      </w:pPr>
    </w:p>
    <w:p>
      <w:pPr>
        <w:ind w:left="1000" w:right="219"/>
        <w:spacing w:after="0" w:line="263"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1242695" cy="24003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7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504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5"/>
        </w:trPr>
        <w:tc>
          <w:tcPr>
            <w:tcW w:w="47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70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186055</wp:posOffset>
            </wp:positionV>
            <wp:extent cx="55549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28575</wp:posOffset>
            </wp:positionV>
            <wp:extent cx="5554980" cy="2443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244348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Adalio T. Sanchez</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2023: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Compensation and Leadership Development Committee is charged with:</w:t>
      </w:r>
    </w:p>
    <w:p>
      <w:pPr>
        <w:spacing w:after="0" w:line="32" w:lineRule="exact"/>
        <w:rPr>
          <w:sz w:val="20"/>
          <w:szCs w:val="20"/>
          <w:color w:val="auto"/>
        </w:rPr>
      </w:pPr>
    </w:p>
    <w:p>
      <w:pPr>
        <w:ind w:left="268" w:right="559" w:hanging="268"/>
        <w:spacing w:after="0" w:line="272"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Overseeing the Company’s overall compensation structure, policies, and programs.</w:t>
      </w:r>
    </w:p>
    <w:p>
      <w:pPr>
        <w:spacing w:after="0" w:line="1" w:lineRule="exact"/>
        <w:rPr>
          <w:rFonts w:ascii="Arial" w:cs="Arial" w:eastAsia="Arial" w:hAnsi="Arial"/>
          <w:sz w:val="16"/>
          <w:szCs w:val="16"/>
          <w:color w:val="53C072"/>
        </w:rPr>
      </w:pPr>
    </w:p>
    <w:p>
      <w:pPr>
        <w:ind w:left="268" w:right="1179" w:hanging="268"/>
        <w:spacing w:after="0" w:line="272"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Assisting the Board in fulfilling its responsibilities with respect to administering the Company’s long-term incentive plan.</w:t>
      </w:r>
    </w:p>
    <w:p>
      <w:pPr>
        <w:spacing w:after="0" w:line="1" w:lineRule="exact"/>
        <w:rPr>
          <w:rFonts w:ascii="Arial" w:cs="Arial" w:eastAsia="Arial" w:hAnsi="Arial"/>
          <w:sz w:val="16"/>
          <w:szCs w:val="16"/>
          <w:color w:val="53C072"/>
        </w:rPr>
      </w:pPr>
    </w:p>
    <w:p>
      <w:pPr>
        <w:ind w:left="268" w:right="759" w:hanging="268"/>
        <w:spacing w:after="0" w:line="272"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Reviewing and approving compensation arrangements with executive officers.</w:t>
      </w:r>
    </w:p>
    <w:p>
      <w:pPr>
        <w:spacing w:after="0" w:line="1" w:lineRule="exact"/>
        <w:rPr>
          <w:rFonts w:ascii="Arial" w:cs="Arial" w:eastAsia="Arial" w:hAnsi="Arial"/>
          <w:sz w:val="16"/>
          <w:szCs w:val="16"/>
          <w:color w:val="53C072"/>
        </w:rPr>
      </w:pPr>
    </w:p>
    <w:p>
      <w:pPr>
        <w:ind w:left="268" w:right="299" w:hanging="268"/>
        <w:spacing w:after="0" w:line="272"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Evaluating CEO performance and recommending CEO compensation to the Board.</w:t>
      </w:r>
    </w:p>
    <w:p>
      <w:pPr>
        <w:spacing w:after="0" w:line="1" w:lineRule="exact"/>
        <w:rPr>
          <w:rFonts w:ascii="Arial" w:cs="Arial" w:eastAsia="Arial" w:hAnsi="Arial"/>
          <w:sz w:val="16"/>
          <w:szCs w:val="16"/>
          <w:color w:val="53C072"/>
        </w:rPr>
      </w:pPr>
    </w:p>
    <w:p>
      <w:pPr>
        <w:ind w:left="268" w:right="919" w:hanging="268"/>
        <w:spacing w:after="0" w:line="272"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Overseeing the Company’s policies and programs relating to talent, leadership, culture, diversity, equity and inclusion.</w:t>
      </w:r>
    </w:p>
    <w:p>
      <w:pPr>
        <w:spacing w:after="0" w:line="1" w:lineRule="exact"/>
        <w:rPr>
          <w:rFonts w:ascii="Arial" w:cs="Arial" w:eastAsia="Arial" w:hAnsi="Arial"/>
          <w:sz w:val="16"/>
          <w:szCs w:val="16"/>
          <w:color w:val="53C072"/>
        </w:rPr>
      </w:pPr>
    </w:p>
    <w:p>
      <w:pPr>
        <w:ind w:left="268" w:right="679" w:hanging="268"/>
        <w:spacing w:after="0" w:line="293" w:lineRule="auto"/>
        <w:tabs>
          <w:tab w:leader="none" w:pos="268" w:val="left"/>
        </w:tabs>
        <w:numPr>
          <w:ilvl w:val="0"/>
          <w:numId w:val="36"/>
        </w:numPr>
        <w:rPr>
          <w:rFonts w:ascii="Arial" w:cs="Arial" w:eastAsia="Arial" w:hAnsi="Arial"/>
          <w:sz w:val="16"/>
          <w:szCs w:val="16"/>
          <w:color w:val="53C072"/>
        </w:rPr>
      </w:pPr>
      <w:r>
        <w:rPr>
          <w:rFonts w:ascii="Arial" w:cs="Arial" w:eastAsia="Arial" w:hAnsi="Arial"/>
          <w:sz w:val="16"/>
          <w:szCs w:val="16"/>
          <w:color w:val="auto"/>
        </w:rPr>
        <w:t>Overseeing Director compensation and recommending any changes to Director compensation to the Board.</w:t>
      </w:r>
    </w:p>
    <w:p>
      <w:pPr>
        <w:spacing w:after="0" w:line="77" w:lineRule="exact"/>
        <w:rPr>
          <w:sz w:val="20"/>
          <w:szCs w:val="20"/>
          <w:color w:val="auto"/>
        </w:rPr>
      </w:pPr>
    </w:p>
    <w:p>
      <w:pPr>
        <w:ind w:left="8" w:right="339"/>
        <w:spacing w:after="0" w:line="270" w:lineRule="auto"/>
        <w:rPr>
          <w:sz w:val="20"/>
          <w:szCs w:val="20"/>
          <w:color w:val="auto"/>
        </w:rPr>
      </w:pPr>
      <w:r>
        <w:rPr>
          <w:rFonts w:ascii="Arial" w:cs="Arial" w:eastAsia="Arial" w:hAnsi="Arial"/>
          <w:sz w:val="16"/>
          <w:szCs w:val="16"/>
          <w:color w:val="auto"/>
        </w:rPr>
        <w:t>The Compensation and Leadership Development Committee’s objective is to establish and administer a total compensation program that fairly and competitively rewards long-term performance and enhances shareholder value.</w:t>
      </w:r>
    </w:p>
    <w:p>
      <w:pPr>
        <w:spacing w:after="0" w:line="159" w:lineRule="exact"/>
        <w:rPr>
          <w:sz w:val="20"/>
          <w:szCs w:val="20"/>
          <w:color w:val="auto"/>
        </w:rPr>
      </w:pPr>
    </w:p>
    <w:p>
      <w:pPr>
        <w:sectPr>
          <w:pgSz w:w="11900" w:h="16838" w:orient="portrait"/>
          <w:cols w:equalWidth="0" w:num="2">
            <w:col w:w="3172" w:space="720"/>
            <w:col w:w="5987"/>
          </w:cols>
          <w:pgMar w:left="580" w:top="90" w:right="1440" w:bottom="1440" w:gutter="0" w:footer="0" w:header="0"/>
          <w:type w:val="continuous"/>
        </w:sectPr>
      </w:pPr>
    </w:p>
    <w:p>
      <w:pPr>
        <w:ind w:left="1000" w:right="239"/>
        <w:spacing w:after="0" w:line="253" w:lineRule="auto"/>
        <w:rPr>
          <w:sz w:val="20"/>
          <w:szCs w:val="20"/>
          <w:color w:val="auto"/>
        </w:rPr>
      </w:pPr>
      <w:r>
        <w:rPr>
          <w:rFonts w:ascii="Arial" w:cs="Arial" w:eastAsia="Arial" w:hAnsi="Arial"/>
          <w:sz w:val="18"/>
          <w:szCs w:val="18"/>
          <w:color w:val="auto"/>
        </w:rPr>
        <w:t>The Compensation and Leadership Development Committee has the authority to retain an independent executive compensation consultant to assist in the evaluation of compensation for the Company’s executive officers and Directors, and to help ensure that the committee’s actions are objective and appropriate. The committee has the sole authority to retain, at the Company’s expense, and terminate any such consultant, including the sole authority to approve such consultant’s fees and other terms of engagement. The committee retained Meridian Compensation Partners, LLC (“Meridian”) as the committee’s independent compensation consultant for fiscal 2023. The committee assessed the independence of Meridian pursuant to the SEC and Nasdaq rules and concluded that no conflict of interest existed that prevented, or will prevent, Meridian from being an independent consultant to the committee.</w:t>
      </w:r>
    </w:p>
    <w:p>
      <w:pPr>
        <w:spacing w:after="0" w:line="115" w:lineRule="exact"/>
        <w:rPr>
          <w:sz w:val="20"/>
          <w:szCs w:val="20"/>
          <w:color w:val="auto"/>
        </w:rPr>
      </w:pPr>
    </w:p>
    <w:p>
      <w:pPr>
        <w:jc w:val="both"/>
        <w:ind w:left="1000" w:right="399"/>
        <w:spacing w:after="0" w:line="263" w:lineRule="auto"/>
        <w:rPr>
          <w:sz w:val="20"/>
          <w:szCs w:val="20"/>
          <w:color w:val="auto"/>
        </w:rPr>
      </w:pPr>
      <w:r>
        <w:rPr>
          <w:rFonts w:ascii="Arial" w:cs="Arial" w:eastAsia="Arial" w:hAnsi="Arial"/>
          <w:sz w:val="18"/>
          <w:szCs w:val="18"/>
          <w:color w:val="auto"/>
        </w:rPr>
        <w:t>All committee members meet the independence requirements of Nasdaq listing standards and the Board’s independence standards, and also meet Nasdaq’s additional independence requirements for compensation committee members.</w:t>
      </w:r>
    </w:p>
    <w:p>
      <w:pPr>
        <w:spacing w:after="0" w:line="116" w:lineRule="exact"/>
        <w:rPr>
          <w:sz w:val="20"/>
          <w:szCs w:val="20"/>
          <w:color w:val="auto"/>
        </w:rPr>
      </w:pPr>
    </w:p>
    <w:p>
      <w:pPr>
        <w:ind w:left="1000" w:right="219"/>
        <w:spacing w:after="0" w:line="263"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7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504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5"/>
        </w:trPr>
        <w:tc>
          <w:tcPr>
            <w:tcW w:w="47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70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186055</wp:posOffset>
            </wp:positionV>
            <wp:extent cx="55549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28575</wp:posOffset>
            </wp:positionV>
            <wp:extent cx="5554980" cy="2100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4980" cy="210058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Adalio T. Sanchez</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Meetings in fiscal 2023: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Corporate Governance Committee is charged with:</w:t>
      </w:r>
    </w:p>
    <w:p>
      <w:pPr>
        <w:spacing w:after="0" w:line="140" w:lineRule="exact"/>
        <w:rPr>
          <w:sz w:val="20"/>
          <w:szCs w:val="20"/>
          <w:color w:val="auto"/>
        </w:rPr>
      </w:pPr>
    </w:p>
    <w:p>
      <w:pPr>
        <w:ind w:left="268" w:right="419" w:hanging="268"/>
        <w:spacing w:after="0" w:line="272" w:lineRule="auto"/>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Identifying, screening, and recommending appropriate candidates to serve as directors.</w:t>
      </w:r>
    </w:p>
    <w:p>
      <w:pPr>
        <w:spacing w:after="0" w:line="1" w:lineRule="exact"/>
        <w:rPr>
          <w:rFonts w:ascii="Arial" w:cs="Arial" w:eastAsia="Arial" w:hAnsi="Arial"/>
          <w:sz w:val="16"/>
          <w:szCs w:val="16"/>
          <w:color w:val="53C072"/>
        </w:rPr>
      </w:pPr>
    </w:p>
    <w:p>
      <w:pPr>
        <w:ind w:left="268" w:right="659" w:hanging="268"/>
        <w:spacing w:after="0" w:line="272" w:lineRule="auto"/>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Periodically reviewing the Company’s succession plans, including CEO succession.</w:t>
      </w:r>
    </w:p>
    <w:p>
      <w:pPr>
        <w:spacing w:after="0" w:line="1" w:lineRule="exact"/>
        <w:rPr>
          <w:rFonts w:ascii="Arial" w:cs="Arial" w:eastAsia="Arial" w:hAnsi="Arial"/>
          <w:sz w:val="16"/>
          <w:szCs w:val="16"/>
          <w:color w:val="53C072"/>
        </w:rPr>
      </w:pPr>
    </w:p>
    <w:p>
      <w:pPr>
        <w:ind w:left="268" w:right="779" w:hanging="268"/>
        <w:spacing w:after="0" w:line="272" w:lineRule="auto"/>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Overseeing the process for evaluating the Board, its committees, and management.</w:t>
      </w:r>
    </w:p>
    <w:p>
      <w:pPr>
        <w:spacing w:after="0" w:line="1" w:lineRule="exact"/>
        <w:rPr>
          <w:rFonts w:ascii="Arial" w:cs="Arial" w:eastAsia="Arial" w:hAnsi="Arial"/>
          <w:sz w:val="16"/>
          <w:szCs w:val="16"/>
          <w:color w:val="53C072"/>
        </w:rPr>
      </w:pPr>
    </w:p>
    <w:p>
      <w:pPr>
        <w:ind w:left="268" w:right="679" w:hanging="268"/>
        <w:spacing w:after="0" w:line="264" w:lineRule="auto"/>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Making recommendations with respect to corporate governance issues affecting the Board and the Company.</w:t>
      </w:r>
    </w:p>
    <w:p>
      <w:pPr>
        <w:ind w:left="268" w:hanging="268"/>
        <w:spacing w:after="0"/>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Overseeing director orientation and continuing education programs.</w:t>
      </w:r>
    </w:p>
    <w:p>
      <w:pPr>
        <w:spacing w:after="0" w:line="17" w:lineRule="exact"/>
        <w:rPr>
          <w:rFonts w:ascii="Arial" w:cs="Arial" w:eastAsia="Arial" w:hAnsi="Arial"/>
          <w:sz w:val="16"/>
          <w:szCs w:val="16"/>
          <w:color w:val="53C072"/>
        </w:rPr>
      </w:pPr>
    </w:p>
    <w:p>
      <w:pPr>
        <w:ind w:left="268" w:hanging="268"/>
        <w:spacing w:after="0"/>
        <w:tabs>
          <w:tab w:leader="none" w:pos="268" w:val="left"/>
        </w:tabs>
        <w:numPr>
          <w:ilvl w:val="0"/>
          <w:numId w:val="37"/>
        </w:numPr>
        <w:rPr>
          <w:rFonts w:ascii="Arial" w:cs="Arial" w:eastAsia="Arial" w:hAnsi="Arial"/>
          <w:sz w:val="16"/>
          <w:szCs w:val="16"/>
          <w:color w:val="53C072"/>
        </w:rPr>
      </w:pPr>
      <w:r>
        <w:rPr>
          <w:rFonts w:ascii="Arial" w:cs="Arial" w:eastAsia="Arial" w:hAnsi="Arial"/>
          <w:sz w:val="16"/>
          <w:szCs w:val="16"/>
          <w:color w:val="auto"/>
        </w:rPr>
        <w:t>Overseeing the Company’s ESG program and initiatives.</w:t>
      </w:r>
    </w:p>
    <w:p>
      <w:pPr>
        <w:spacing w:after="0" w:line="128" w:lineRule="exact"/>
        <w:rPr>
          <w:sz w:val="20"/>
          <w:szCs w:val="20"/>
          <w:color w:val="auto"/>
        </w:rPr>
      </w:pPr>
    </w:p>
    <w:p>
      <w:pPr>
        <w:ind w:left="8" w:right="699"/>
        <w:spacing w:after="0" w:line="276" w:lineRule="auto"/>
        <w:rPr>
          <w:sz w:val="20"/>
          <w:szCs w:val="20"/>
          <w:color w:val="auto"/>
        </w:rPr>
      </w:pPr>
      <w:r>
        <w:rPr>
          <w:rFonts w:ascii="Arial" w:cs="Arial" w:eastAsia="Arial" w:hAnsi="Arial"/>
          <w:sz w:val="16"/>
          <w:szCs w:val="16"/>
          <w:color w:val="auto"/>
        </w:rPr>
        <w:t>Please see “Corporate Governance — Director Nominations” for additional information on the Corporate Governance Committee.</w:t>
      </w:r>
    </w:p>
    <w:p>
      <w:pPr>
        <w:spacing w:after="0" w:line="155" w:lineRule="exact"/>
        <w:rPr>
          <w:sz w:val="20"/>
          <w:szCs w:val="20"/>
          <w:color w:val="auto"/>
        </w:rPr>
      </w:pPr>
    </w:p>
    <w:p>
      <w:pPr>
        <w:sectPr>
          <w:pgSz w:w="11900" w:h="16838" w:orient="portrait"/>
          <w:cols w:equalWidth="0" w:num="2">
            <w:col w:w="3172" w:space="720"/>
            <w:col w:w="5987"/>
          </w:cols>
          <w:pgMar w:left="580" w:top="90" w:right="1440" w:bottom="1440" w:gutter="0" w:footer="0" w:header="0"/>
          <w:type w:val="continuous"/>
        </w:sectPr>
      </w:pPr>
    </w:p>
    <w:p>
      <w:pPr>
        <w:ind w:left="1000" w:right="719"/>
        <w:spacing w:after="0" w:line="275" w:lineRule="auto"/>
        <w:rPr>
          <w:sz w:val="20"/>
          <w:szCs w:val="20"/>
          <w:color w:val="auto"/>
        </w:rPr>
      </w:pPr>
      <w:r>
        <w:rPr>
          <w:rFonts w:ascii="Arial" w:cs="Arial" w:eastAsia="Arial" w:hAnsi="Arial"/>
          <w:sz w:val="18"/>
          <w:szCs w:val="18"/>
          <w:color w:val="auto"/>
        </w:rPr>
        <w:t>All Corporate Governance Committee members meet the independence requirements of Nasdaq listing standards and the Board’s independence standards.</w:t>
      </w:r>
    </w:p>
    <w:p>
      <w:pPr>
        <w:spacing w:after="0" w:line="93" w:lineRule="exact"/>
        <w:rPr>
          <w:sz w:val="20"/>
          <w:szCs w:val="20"/>
          <w:color w:val="auto"/>
        </w:rPr>
      </w:pPr>
    </w:p>
    <w:p>
      <w:pPr>
        <w:ind w:left="1000" w:right="219"/>
        <w:spacing w:after="0" w:line="263"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ectPr>
          <w:pgSz w:w="11900" w:h="16838" w:orient="portrait"/>
          <w:cols w:equalWidth="0" w:num="1">
            <w:col w:w="9879"/>
          </w:cols>
          <w:pgMar w:left="580" w:top="90" w:right="1440" w:bottom="1440" w:gutter="0" w:footer="0" w:header="0"/>
          <w:type w:val="continuous"/>
        </w:sectPr>
      </w:pP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53C072"/>
        </w:rPr>
        <w:t>FINANCE COMMITTEE</w:t>
      </w:r>
    </w:p>
    <w:p>
      <w:pPr>
        <w:spacing w:after="0" w:line="34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FINANCE COMMITTEE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2023: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-318770</wp:posOffset>
            </wp:positionV>
            <wp:extent cx="5554980" cy="2074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54980" cy="2074545"/>
                    </a:xfrm>
                    <a:prstGeom prst="rect">
                      <a:avLst/>
                    </a:prstGeom>
                    <a:noFill/>
                  </pic:spPr>
                </pic:pic>
              </a:graphicData>
            </a:graphic>
          </wp:anchor>
        </w:drawing>
      </w:r>
    </w:p>
    <w:p>
      <w:pPr>
        <w:spacing w:after="0" w:line="101"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Finance Committee is charged with:</w:t>
      </w:r>
    </w:p>
    <w:p>
      <w:pPr>
        <w:spacing w:after="0" w:line="127" w:lineRule="exact"/>
        <w:rPr>
          <w:sz w:val="20"/>
          <w:szCs w:val="20"/>
          <w:color w:val="auto"/>
        </w:rPr>
      </w:pPr>
    </w:p>
    <w:p>
      <w:pPr>
        <w:ind w:left="268" w:hanging="268"/>
        <w:spacing w:after="0"/>
        <w:tabs>
          <w:tab w:leader="none" w:pos="268" w:val="left"/>
        </w:tabs>
        <w:numPr>
          <w:ilvl w:val="0"/>
          <w:numId w:val="38"/>
        </w:numPr>
        <w:rPr>
          <w:rFonts w:ascii="Arial" w:cs="Arial" w:eastAsia="Arial" w:hAnsi="Arial"/>
          <w:sz w:val="16"/>
          <w:szCs w:val="16"/>
          <w:color w:val="53C072"/>
        </w:rPr>
      </w:pPr>
      <w:r>
        <w:rPr>
          <w:rFonts w:ascii="Arial" w:cs="Arial" w:eastAsia="Arial" w:hAnsi="Arial"/>
          <w:sz w:val="16"/>
          <w:szCs w:val="16"/>
          <w:color w:val="auto"/>
        </w:rPr>
        <w:t>Assisting the Board with overseeing financial matters.</w:t>
      </w:r>
    </w:p>
    <w:p>
      <w:pPr>
        <w:spacing w:after="0" w:line="22" w:lineRule="exact"/>
        <w:rPr>
          <w:rFonts w:ascii="Arial" w:cs="Arial" w:eastAsia="Arial" w:hAnsi="Arial"/>
          <w:sz w:val="16"/>
          <w:szCs w:val="16"/>
          <w:color w:val="53C072"/>
        </w:rPr>
      </w:pPr>
    </w:p>
    <w:p>
      <w:pPr>
        <w:ind w:left="268" w:right="599" w:hanging="268"/>
        <w:spacing w:after="0" w:line="262" w:lineRule="auto"/>
        <w:tabs>
          <w:tab w:leader="none" w:pos="268" w:val="left"/>
        </w:tabs>
        <w:numPr>
          <w:ilvl w:val="0"/>
          <w:numId w:val="38"/>
        </w:numPr>
        <w:rPr>
          <w:rFonts w:ascii="Arial" w:cs="Arial" w:eastAsia="Arial" w:hAnsi="Arial"/>
          <w:sz w:val="16"/>
          <w:szCs w:val="16"/>
          <w:color w:val="53C072"/>
        </w:rPr>
      </w:pPr>
      <w:r>
        <w:rPr>
          <w:rFonts w:ascii="Arial" w:cs="Arial" w:eastAsia="Arial" w:hAnsi="Arial"/>
          <w:sz w:val="16"/>
          <w:szCs w:val="16"/>
          <w:color w:val="auto"/>
        </w:rPr>
        <w:t>Reviewing and providing guidance to the Board and management about capital allocation, capital structure, mergers and acquisitions, financial strategies, capital markets, and share buybacks.</w:t>
      </w:r>
    </w:p>
    <w:p>
      <w:pPr>
        <w:ind w:left="268" w:right="719" w:hanging="268"/>
        <w:spacing w:after="0" w:line="270" w:lineRule="auto"/>
        <w:tabs>
          <w:tab w:leader="none" w:pos="268" w:val="left"/>
        </w:tabs>
        <w:numPr>
          <w:ilvl w:val="0"/>
          <w:numId w:val="38"/>
        </w:numPr>
        <w:rPr>
          <w:rFonts w:ascii="Arial" w:cs="Arial" w:eastAsia="Arial" w:hAnsi="Arial"/>
          <w:sz w:val="16"/>
          <w:szCs w:val="16"/>
          <w:color w:val="53C072"/>
        </w:rPr>
      </w:pPr>
      <w:r>
        <w:rPr>
          <w:rFonts w:ascii="Arial" w:cs="Arial" w:eastAsia="Arial" w:hAnsi="Arial"/>
          <w:sz w:val="16"/>
          <w:szCs w:val="16"/>
          <w:color w:val="auto"/>
        </w:rPr>
        <w:t>Approving secured borrowings, loans, and credit facilities, for amounts exceeding management’s delegated authority up to the committee’s delegated authority.</w:t>
      </w:r>
    </w:p>
    <w:p>
      <w:pPr>
        <w:ind w:left="268" w:right="499" w:hanging="268"/>
        <w:spacing w:after="0" w:line="272" w:lineRule="auto"/>
        <w:tabs>
          <w:tab w:leader="none" w:pos="268" w:val="left"/>
        </w:tabs>
        <w:numPr>
          <w:ilvl w:val="0"/>
          <w:numId w:val="38"/>
        </w:numPr>
        <w:rPr>
          <w:rFonts w:ascii="Arial" w:cs="Arial" w:eastAsia="Arial" w:hAnsi="Arial"/>
          <w:sz w:val="16"/>
          <w:szCs w:val="16"/>
          <w:color w:val="53C072"/>
        </w:rPr>
      </w:pPr>
      <w:r>
        <w:rPr>
          <w:rFonts w:ascii="Arial" w:cs="Arial" w:eastAsia="Arial" w:hAnsi="Arial"/>
          <w:sz w:val="16"/>
          <w:szCs w:val="16"/>
          <w:color w:val="auto"/>
        </w:rPr>
        <w:t>Approving real estate transactions for amounts exceeding management’s delegated authority.</w:t>
      </w:r>
    </w:p>
    <w:p>
      <w:pPr>
        <w:spacing w:after="0" w:line="1" w:lineRule="exact"/>
        <w:rPr>
          <w:rFonts w:ascii="Arial" w:cs="Arial" w:eastAsia="Arial" w:hAnsi="Arial"/>
          <w:sz w:val="16"/>
          <w:szCs w:val="16"/>
          <w:color w:val="53C072"/>
        </w:rPr>
      </w:pPr>
    </w:p>
    <w:p>
      <w:pPr>
        <w:ind w:left="268" w:right="839" w:hanging="268"/>
        <w:spacing w:after="0" w:line="276" w:lineRule="auto"/>
        <w:tabs>
          <w:tab w:leader="none" w:pos="268" w:val="left"/>
        </w:tabs>
        <w:numPr>
          <w:ilvl w:val="0"/>
          <w:numId w:val="38"/>
        </w:numPr>
        <w:rPr>
          <w:rFonts w:ascii="Arial" w:cs="Arial" w:eastAsia="Arial" w:hAnsi="Arial"/>
          <w:sz w:val="16"/>
          <w:szCs w:val="16"/>
          <w:color w:val="53C072"/>
        </w:rPr>
      </w:pPr>
      <w:r>
        <w:rPr>
          <w:rFonts w:ascii="Arial" w:cs="Arial" w:eastAsia="Arial" w:hAnsi="Arial"/>
          <w:sz w:val="16"/>
          <w:szCs w:val="16"/>
          <w:color w:val="auto"/>
        </w:rPr>
        <w:t>Approving company guarantees and similar instruments for amounts exceeding management’s delegated authority.</w:t>
      </w:r>
    </w:p>
    <w:p>
      <w:pPr>
        <w:spacing w:after="0" w:line="200" w:lineRule="exact"/>
        <w:rPr>
          <w:sz w:val="20"/>
          <w:szCs w:val="20"/>
          <w:color w:val="auto"/>
        </w:rPr>
      </w:pPr>
    </w:p>
    <w:p>
      <w:pPr>
        <w:sectPr>
          <w:pgSz w:w="11900" w:h="16838" w:orient="portrait"/>
          <w:cols w:equalWidth="0" w:num="2">
            <w:col w:w="3260" w:space="632"/>
            <w:col w:w="5987"/>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26     </w:t>
      </w:r>
      <w:r>
        <w:rPr>
          <w:sz w:val="1"/>
          <w:szCs w:val="1"/>
          <w:color w:val="auto"/>
        </w:rPr>
        <w:drawing>
          <wp:inline distT="0" distB="0" distL="0" distR="0">
            <wp:extent cx="1242695"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7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504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5"/>
        </w:trPr>
        <w:tc>
          <w:tcPr>
            <w:tcW w:w="47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70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419"/>
        <w:spacing w:after="0" w:line="275" w:lineRule="auto"/>
        <w:rPr>
          <w:sz w:val="20"/>
          <w:szCs w:val="20"/>
          <w:color w:val="auto"/>
        </w:rPr>
      </w:pPr>
      <w:r>
        <w:rPr>
          <w:rFonts w:ascii="Arial" w:cs="Arial" w:eastAsia="Arial" w:hAnsi="Arial"/>
          <w:sz w:val="18"/>
          <w:szCs w:val="18"/>
          <w:color w:val="auto"/>
        </w:rPr>
        <w:t>All Finance Committee members meet the independence requirements of Nasdaq listing standards and the Board’s independence standards.</w:t>
      </w:r>
    </w:p>
    <w:p>
      <w:pPr>
        <w:spacing w:after="0" w:line="106" w:lineRule="exact"/>
        <w:rPr>
          <w:sz w:val="20"/>
          <w:szCs w:val="20"/>
          <w:color w:val="auto"/>
        </w:rPr>
      </w:pPr>
    </w:p>
    <w:p>
      <w:pPr>
        <w:ind w:left="1000" w:right="219"/>
        <w:spacing w:after="0" w:line="263"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177165</wp:posOffset>
            </wp:positionV>
            <wp:extent cx="55549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324"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FFFFFF"/>
        </w:rPr>
        <w:t>EXECUTIVE COMMITTEE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3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2023: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-130175</wp:posOffset>
            </wp:positionV>
            <wp:extent cx="5554980" cy="17405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54980" cy="1740535"/>
                    </a:xfrm>
                    <a:prstGeom prst="rect">
                      <a:avLst/>
                    </a:prstGeom>
                    <a:noFill/>
                  </pic:spPr>
                </pic:pic>
              </a:graphicData>
            </a:graphic>
          </wp:anchor>
        </w:drawing>
      </w:r>
    </w:p>
    <w:p>
      <w:pPr>
        <w:spacing w:after="0" w:line="128" w:lineRule="exact"/>
        <w:rPr>
          <w:sz w:val="20"/>
          <w:szCs w:val="20"/>
          <w:color w:val="auto"/>
        </w:rPr>
      </w:pPr>
    </w:p>
    <w:p>
      <w:pPr>
        <w:ind w:left="8" w:right="359"/>
        <w:spacing w:after="0" w:line="256" w:lineRule="auto"/>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Therefore, the Executive Committee does not have the authority to:</w:t>
      </w:r>
    </w:p>
    <w:p>
      <w:pPr>
        <w:spacing w:after="0" w:line="1" w:lineRule="exact"/>
        <w:rPr>
          <w:sz w:val="20"/>
          <w:szCs w:val="20"/>
          <w:color w:val="auto"/>
        </w:rPr>
      </w:pPr>
    </w:p>
    <w:p>
      <w:pPr>
        <w:ind w:left="268" w:hanging="268"/>
        <w:spacing w:after="0"/>
        <w:tabs>
          <w:tab w:leader="none" w:pos="268" w:val="left"/>
        </w:tabs>
        <w:numPr>
          <w:ilvl w:val="0"/>
          <w:numId w:val="39"/>
        </w:numPr>
        <w:rPr>
          <w:rFonts w:ascii="Arial" w:cs="Arial" w:eastAsia="Arial" w:hAnsi="Arial"/>
          <w:sz w:val="16"/>
          <w:szCs w:val="16"/>
          <w:color w:val="53C072"/>
        </w:rPr>
      </w:pPr>
      <w:r>
        <w:rPr>
          <w:rFonts w:ascii="Arial" w:cs="Arial" w:eastAsia="Arial" w:hAnsi="Arial"/>
          <w:sz w:val="16"/>
          <w:szCs w:val="16"/>
          <w:color w:val="auto"/>
        </w:rPr>
        <w:t>Submit to shareholders any action that requires shareholders’ approval;</w:t>
      </w:r>
    </w:p>
    <w:p>
      <w:pPr>
        <w:spacing w:after="0" w:line="18" w:lineRule="exact"/>
        <w:rPr>
          <w:rFonts w:ascii="Arial" w:cs="Arial" w:eastAsia="Arial" w:hAnsi="Arial"/>
          <w:sz w:val="16"/>
          <w:szCs w:val="16"/>
          <w:color w:val="53C072"/>
        </w:rPr>
      </w:pPr>
    </w:p>
    <w:p>
      <w:pPr>
        <w:ind w:left="268" w:hanging="268"/>
        <w:spacing w:after="0"/>
        <w:tabs>
          <w:tab w:leader="none" w:pos="268" w:val="left"/>
        </w:tabs>
        <w:numPr>
          <w:ilvl w:val="0"/>
          <w:numId w:val="39"/>
        </w:numPr>
        <w:rPr>
          <w:rFonts w:ascii="Arial" w:cs="Arial" w:eastAsia="Arial" w:hAnsi="Arial"/>
          <w:sz w:val="16"/>
          <w:szCs w:val="16"/>
          <w:color w:val="53C072"/>
        </w:rPr>
      </w:pPr>
      <w:r>
        <w:rPr>
          <w:rFonts w:ascii="Arial" w:cs="Arial" w:eastAsia="Arial" w:hAnsi="Arial"/>
          <w:sz w:val="16"/>
          <w:szCs w:val="16"/>
          <w:color w:val="auto"/>
        </w:rPr>
        <w:t>Fill vacancies in the Board or any committee;</w:t>
      </w:r>
    </w:p>
    <w:p>
      <w:pPr>
        <w:spacing w:after="0" w:line="12" w:lineRule="exact"/>
        <w:rPr>
          <w:rFonts w:ascii="Arial" w:cs="Arial" w:eastAsia="Arial" w:hAnsi="Arial"/>
          <w:sz w:val="16"/>
          <w:szCs w:val="16"/>
          <w:color w:val="53C072"/>
        </w:rPr>
      </w:pPr>
    </w:p>
    <w:p>
      <w:pPr>
        <w:ind w:left="268" w:hanging="268"/>
        <w:spacing w:after="0"/>
        <w:tabs>
          <w:tab w:leader="none" w:pos="268" w:val="left"/>
        </w:tabs>
        <w:numPr>
          <w:ilvl w:val="0"/>
          <w:numId w:val="39"/>
        </w:numPr>
        <w:rPr>
          <w:rFonts w:ascii="Arial" w:cs="Arial" w:eastAsia="Arial" w:hAnsi="Arial"/>
          <w:sz w:val="16"/>
          <w:szCs w:val="16"/>
          <w:color w:val="53C072"/>
        </w:rPr>
      </w:pPr>
      <w:r>
        <w:rPr>
          <w:rFonts w:ascii="Arial" w:cs="Arial" w:eastAsia="Arial" w:hAnsi="Arial"/>
          <w:sz w:val="16"/>
          <w:szCs w:val="16"/>
          <w:color w:val="auto"/>
        </w:rPr>
        <w:t>Fix compensation for Directors serving on the Board or any committee;</w:t>
      </w:r>
    </w:p>
    <w:p>
      <w:pPr>
        <w:spacing w:after="0" w:line="10" w:lineRule="exact"/>
        <w:rPr>
          <w:rFonts w:ascii="Arial" w:cs="Arial" w:eastAsia="Arial" w:hAnsi="Arial"/>
          <w:sz w:val="16"/>
          <w:szCs w:val="16"/>
          <w:color w:val="53C072"/>
        </w:rPr>
      </w:pPr>
    </w:p>
    <w:p>
      <w:pPr>
        <w:ind w:left="268" w:hanging="268"/>
        <w:spacing w:after="0"/>
        <w:tabs>
          <w:tab w:leader="none" w:pos="268" w:val="left"/>
        </w:tabs>
        <w:numPr>
          <w:ilvl w:val="0"/>
          <w:numId w:val="39"/>
        </w:numPr>
        <w:rPr>
          <w:rFonts w:ascii="Arial" w:cs="Arial" w:eastAsia="Arial" w:hAnsi="Arial"/>
          <w:sz w:val="16"/>
          <w:szCs w:val="16"/>
          <w:color w:val="53C072"/>
        </w:rPr>
      </w:pPr>
      <w:r>
        <w:rPr>
          <w:rFonts w:ascii="Arial" w:cs="Arial" w:eastAsia="Arial" w:hAnsi="Arial"/>
          <w:sz w:val="16"/>
          <w:szCs w:val="16"/>
          <w:color w:val="auto"/>
        </w:rPr>
        <w:t>Amend or repeal the Bylaws or adopt new bylaws; or</w:t>
      </w:r>
    </w:p>
    <w:p>
      <w:pPr>
        <w:spacing w:after="0" w:line="18" w:lineRule="exact"/>
        <w:rPr>
          <w:rFonts w:ascii="Arial" w:cs="Arial" w:eastAsia="Arial" w:hAnsi="Arial"/>
          <w:sz w:val="16"/>
          <w:szCs w:val="16"/>
          <w:color w:val="53C072"/>
        </w:rPr>
      </w:pPr>
    </w:p>
    <w:p>
      <w:pPr>
        <w:ind w:left="268" w:right="959" w:hanging="268"/>
        <w:spacing w:after="0" w:line="270" w:lineRule="auto"/>
        <w:tabs>
          <w:tab w:leader="none" w:pos="268" w:val="left"/>
        </w:tabs>
        <w:numPr>
          <w:ilvl w:val="0"/>
          <w:numId w:val="39"/>
        </w:numPr>
        <w:rPr>
          <w:rFonts w:ascii="Arial" w:cs="Arial" w:eastAsia="Arial" w:hAnsi="Arial"/>
          <w:sz w:val="16"/>
          <w:szCs w:val="16"/>
          <w:color w:val="53C072"/>
        </w:rPr>
      </w:pPr>
      <w:r>
        <w:rPr>
          <w:rFonts w:ascii="Arial" w:cs="Arial" w:eastAsia="Arial" w:hAnsi="Arial"/>
          <w:sz w:val="16"/>
          <w:szCs w:val="16"/>
          <w:color w:val="auto"/>
        </w:rPr>
        <w:t>Amend or repeal any Board resolutions which, by its terms, are not amendable or repealable.</w:t>
      </w:r>
    </w:p>
    <w:p>
      <w:pPr>
        <w:spacing w:after="0" w:line="92" w:lineRule="exact"/>
        <w:rPr>
          <w:sz w:val="20"/>
          <w:szCs w:val="20"/>
          <w:color w:val="auto"/>
        </w:rPr>
      </w:pPr>
    </w:p>
    <w:p>
      <w:pPr>
        <w:sectPr>
          <w:pgSz w:w="11900" w:h="16838" w:orient="portrait"/>
          <w:cols w:equalWidth="0" w:num="2">
            <w:col w:w="3200" w:space="692"/>
            <w:col w:w="5987"/>
          </w:cols>
          <w:pgMar w:left="580" w:top="90" w:right="1440" w:bottom="1440" w:gutter="0" w:footer="0" w:header="0"/>
          <w:type w:val="continuous"/>
        </w:sectPr>
      </w:pPr>
    </w:p>
    <w:p>
      <w:pPr>
        <w:ind w:left="1000" w:right="279"/>
        <w:spacing w:after="0" w:line="275" w:lineRule="auto"/>
        <w:rPr>
          <w:sz w:val="20"/>
          <w:szCs w:val="20"/>
          <w:color w:val="auto"/>
        </w:rPr>
      </w:pPr>
      <w:r>
        <w:rPr>
          <w:rFonts w:ascii="Arial" w:cs="Arial" w:eastAsia="Arial" w:hAnsi="Arial"/>
          <w:sz w:val="18"/>
          <w:szCs w:val="18"/>
          <w:color w:val="auto"/>
        </w:rPr>
        <w:t>All Executive Committee members meet the independence requirements of Nasdaq listing standards and the Board’s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20"/>
        <w:spacing w:after="0"/>
        <w:rPr>
          <w:sz w:val="20"/>
          <w:szCs w:val="20"/>
          <w:color w:val="auto"/>
        </w:rPr>
      </w:pPr>
      <w:r>
        <w:rPr>
          <w:rFonts w:ascii="Arial" w:cs="Arial" w:eastAsia="Arial" w:hAnsi="Arial"/>
          <w:sz w:val="40"/>
          <w:szCs w:val="40"/>
          <w:b w:val="1"/>
          <w:bCs w:val="1"/>
          <w:color w:val="FEFEFE"/>
        </w:rPr>
        <w:t>DIRECTOR COMPENSATION</w:t>
      </w:r>
      <w:r>
        <w:rPr>
          <w:rFonts w:ascii="Arial" w:cs="Arial" w:eastAsia="Arial" w:hAnsi="Arial"/>
          <w:sz w:val="17"/>
          <w:szCs w:val="17"/>
          <w:color w:val="FEFEFE"/>
        </w:rPr>
        <w:t>​</w:t>
      </w:r>
    </w:p>
    <w:p>
      <w:pPr>
        <w:spacing w:after="0" w:line="354" w:lineRule="exact"/>
        <w:rPr>
          <w:sz w:val="20"/>
          <w:szCs w:val="20"/>
          <w:color w:val="auto"/>
        </w:rPr>
      </w:pPr>
    </w:p>
    <w:p>
      <w:pPr>
        <w:ind w:left="1000" w:right="599"/>
        <w:spacing w:after="0" w:line="258" w:lineRule="auto"/>
        <w:rPr>
          <w:sz w:val="20"/>
          <w:szCs w:val="20"/>
          <w:color w:val="auto"/>
        </w:rPr>
      </w:pPr>
      <w:r>
        <w:rPr>
          <w:rFonts w:ascii="Arial" w:cs="Arial" w:eastAsia="Arial" w:hAnsi="Arial"/>
          <w:sz w:val="18"/>
          <w:szCs w:val="18"/>
          <w:color w:val="auto"/>
        </w:rPr>
        <w:t>Directors who are also officers or employees of the Company do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2023 as set out below.</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189"/>
        </w:trPr>
        <w:tc>
          <w:tcPr>
            <w:tcW w:w="200" w:type="dxa"/>
            <w:vAlign w:val="bottom"/>
            <w:shd w:val="clear" w:color="auto" w:fill="53C072"/>
          </w:tcPr>
          <w:p>
            <w:pPr>
              <w:spacing w:after="0"/>
              <w:rPr>
                <w:sz w:val="16"/>
                <w:szCs w:val="16"/>
                <w:color w:val="auto"/>
              </w:rPr>
            </w:pPr>
          </w:p>
        </w:tc>
        <w:tc>
          <w:tcPr>
            <w:tcW w:w="5120" w:type="dxa"/>
            <w:vAlign w:val="bottom"/>
            <w:shd w:val="clear" w:color="auto" w:fill="53C072"/>
          </w:tcPr>
          <w:p>
            <w:pPr>
              <w:spacing w:after="0"/>
              <w:rPr>
                <w:sz w:val="16"/>
                <w:szCs w:val="16"/>
                <w:color w:val="auto"/>
              </w:rPr>
            </w:pPr>
          </w:p>
        </w:tc>
        <w:tc>
          <w:tcPr>
            <w:tcW w:w="460" w:type="dxa"/>
            <w:vAlign w:val="bottom"/>
            <w:shd w:val="clear" w:color="auto" w:fill="53C072"/>
          </w:tcPr>
          <w:p>
            <w:pPr>
              <w:spacing w:after="0"/>
              <w:rPr>
                <w:sz w:val="16"/>
                <w:szCs w:val="16"/>
                <w:color w:val="auto"/>
              </w:rPr>
            </w:pPr>
          </w:p>
        </w:tc>
        <w:tc>
          <w:tcPr>
            <w:tcW w:w="740" w:type="dxa"/>
            <w:vAlign w:val="bottom"/>
            <w:shd w:val="clear" w:color="auto" w:fill="53C072"/>
          </w:tcPr>
          <w:p>
            <w:pPr>
              <w:jc w:val="right"/>
              <w:ind w:right="20"/>
              <w:spacing w:after="0"/>
              <w:rPr>
                <w:sz w:val="20"/>
                <w:szCs w:val="20"/>
                <w:color w:val="auto"/>
              </w:rPr>
            </w:pPr>
            <w:r>
              <w:rPr>
                <w:rFonts w:ascii="Arial" w:cs="Arial" w:eastAsia="Arial" w:hAnsi="Arial"/>
                <w:sz w:val="14"/>
                <w:szCs w:val="14"/>
                <w:b w:val="1"/>
                <w:bCs w:val="1"/>
                <w:color w:val="FEFEFE"/>
              </w:rPr>
              <w:t>In Effect</w:t>
            </w:r>
          </w:p>
        </w:tc>
        <w:tc>
          <w:tcPr>
            <w:tcW w:w="1500" w:type="dxa"/>
            <w:vAlign w:val="bottom"/>
            <w:tcBorders>
              <w:right w:val="single" w:sz="8" w:color="53C072"/>
            </w:tcBorders>
            <w:gridSpan w:val="2"/>
            <w:shd w:val="clear" w:color="auto" w:fill="53C072"/>
          </w:tcPr>
          <w:p>
            <w:pPr>
              <w:ind w:left="180"/>
              <w:spacing w:after="0"/>
              <w:rPr>
                <w:sz w:val="20"/>
                <w:szCs w:val="20"/>
                <w:color w:val="auto"/>
              </w:rPr>
            </w:pPr>
            <w:r>
              <w:rPr>
                <w:rFonts w:ascii="Arial" w:cs="Arial" w:eastAsia="Arial" w:hAnsi="Arial"/>
                <w:sz w:val="14"/>
                <w:szCs w:val="14"/>
                <w:b w:val="1"/>
                <w:bCs w:val="1"/>
                <w:color w:val="FEFEFE"/>
              </w:rPr>
              <w:t>Change Effective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​Annual Compensation Components:</w:t>
            </w:r>
          </w:p>
        </w:tc>
        <w:tc>
          <w:tcPr>
            <w:tcW w:w="460" w:type="dxa"/>
            <w:vAlign w:val="bottom"/>
            <w:shd w:val="clear" w:color="auto" w:fill="53C072"/>
          </w:tcPr>
          <w:p>
            <w:pPr>
              <w:ind w:left="280"/>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07-03-22</w:t>
            </w:r>
          </w:p>
        </w:tc>
        <w:tc>
          <w:tcPr>
            <w:tcW w:w="4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080" w:type="dxa"/>
            <w:vAlign w:val="bottom"/>
            <w:tcBorders>
              <w:right w:val="single" w:sz="8" w:color="53C072"/>
            </w:tcBorders>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01-01-23</w:t>
            </w:r>
          </w:p>
        </w:tc>
        <w:tc>
          <w:tcPr>
            <w:tcW w:w="40" w:type="dxa"/>
            <w:vAlign w:val="bottom"/>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203"/>
        </w:trPr>
        <w:tc>
          <w:tcPr>
            <w:tcW w:w="53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Cash Retainer</w:t>
            </w:r>
            <w:r>
              <w:rPr>
                <w:rFonts w:ascii="Arial" w:cs="Arial" w:eastAsia="Arial" w:hAnsi="Arial"/>
                <w:sz w:val="23"/>
                <w:szCs w:val="23"/>
                <w:color w:val="auto"/>
                <w:vertAlign w:val="superscript"/>
              </w:rPr>
              <w:t>(1)</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ind w:left="80"/>
              <w:spacing w:after="0" w:line="81" w:lineRule="exact"/>
              <w:rPr>
                <w:sz w:val="20"/>
                <w:szCs w:val="20"/>
                <w:color w:val="auto"/>
              </w:rPr>
            </w:pPr>
            <w:r>
              <w:rPr>
                <w:rFonts w:ascii="Arial" w:cs="Arial" w:eastAsia="Arial" w:hAnsi="Arial"/>
                <w:sz w:val="9"/>
                <w:szCs w:val="9"/>
                <w:color w:val="auto"/>
              </w:rPr>
              <w:t>​</w:t>
            </w:r>
          </w:p>
        </w:tc>
        <w:tc>
          <w:tcPr>
            <w:tcW w:w="5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420" w:type="dxa"/>
            <w:vAlign w:val="bottom"/>
            <w:vMerge w:val="restart"/>
          </w:tcPr>
          <w:p>
            <w:pPr>
              <w:ind w:left="60"/>
              <w:spacing w:after="0" w:line="81" w:lineRule="exact"/>
              <w:rPr>
                <w:sz w:val="20"/>
                <w:szCs w:val="20"/>
                <w:color w:val="auto"/>
              </w:rPr>
            </w:pPr>
            <w:r>
              <w:rPr>
                <w:rFonts w:ascii="Arial" w:cs="Arial" w:eastAsia="Arial" w:hAnsi="Arial"/>
                <w:sz w:val="9"/>
                <w:szCs w:val="9"/>
                <w:color w:val="auto"/>
              </w:rPr>
              <w:t>​ ​</w:t>
            </w:r>
          </w:p>
        </w:tc>
        <w:tc>
          <w:tcPr>
            <w:tcW w:w="1080" w:type="dxa"/>
            <w:vAlign w:val="bottom"/>
          </w:tcPr>
          <w:p>
            <w:pPr>
              <w:spacing w:after="0"/>
              <w:rPr>
                <w:sz w:val="2"/>
                <w:szCs w:val="2"/>
                <w:color w:val="auto"/>
              </w:rPr>
            </w:pPr>
          </w:p>
        </w:tc>
        <w:tc>
          <w:tcPr>
            <w:tcW w:w="4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200" w:type="dxa"/>
            <w:vAlign w:val="bottom"/>
            <w:vMerge w:val="continue"/>
          </w:tcPr>
          <w:p>
            <w:pPr>
              <w:spacing w:after="0"/>
              <w:rPr>
                <w:sz w:val="4"/>
                <w:szCs w:val="4"/>
                <w:color w:val="auto"/>
              </w:rPr>
            </w:pPr>
          </w:p>
        </w:tc>
        <w:tc>
          <w:tcPr>
            <w:tcW w:w="5120" w:type="dxa"/>
            <w:vAlign w:val="bottom"/>
          </w:tcPr>
          <w:p>
            <w:pPr>
              <w:spacing w:after="0"/>
              <w:rPr>
                <w:sz w:val="4"/>
                <w:szCs w:val="4"/>
                <w:color w:val="auto"/>
              </w:rPr>
            </w:pPr>
          </w:p>
        </w:tc>
        <w:tc>
          <w:tcPr>
            <w:tcW w:w="460" w:type="dxa"/>
            <w:vAlign w:val="bottom"/>
          </w:tcPr>
          <w:p>
            <w:pPr>
              <w:ind w:left="280"/>
              <w:spacing w:after="0" w:line="54" w:lineRule="exact"/>
              <w:rPr>
                <w:sz w:val="20"/>
                <w:szCs w:val="20"/>
                <w:color w:val="auto"/>
              </w:rPr>
            </w:pPr>
            <w:r>
              <w:rPr>
                <w:rFonts w:ascii="Arial" w:cs="Arial" w:eastAsia="Arial" w:hAnsi="Arial"/>
                <w:sz w:val="6"/>
                <w:szCs w:val="6"/>
                <w:color w:val="auto"/>
              </w:rPr>
              <w:t>​ ​</w:t>
            </w:r>
          </w:p>
        </w:tc>
        <w:tc>
          <w:tcPr>
            <w:tcW w:w="7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BECD5"/>
          </w:tcPr>
          <w:p>
            <w:pPr>
              <w:ind w:left="80"/>
              <w:spacing w:after="0" w:line="202" w:lineRule="exact"/>
              <w:rPr>
                <w:sz w:val="20"/>
                <w:szCs w:val="20"/>
                <w:color w:val="auto"/>
              </w:rPr>
            </w:pPr>
            <w:r>
              <w:rPr>
                <w:rFonts w:ascii="Arial" w:cs="Arial" w:eastAsia="Arial" w:hAnsi="Arial"/>
                <w:sz w:val="18"/>
                <w:szCs w:val="18"/>
                <w:color w:val="auto"/>
              </w:rPr>
              <w:t>Equity</w:t>
            </w:r>
            <w:r>
              <w:rPr>
                <w:rFonts w:ascii="Arial" w:cs="Arial" w:eastAsia="Arial" w:hAnsi="Arial"/>
                <w:sz w:val="23"/>
                <w:szCs w:val="23"/>
                <w:color w:val="auto"/>
                <w:vertAlign w:val="superscript"/>
              </w:rPr>
              <w:t>(2)</w:t>
            </w:r>
          </w:p>
        </w:tc>
        <w:tc>
          <w:tcPr>
            <w:tcW w:w="1200" w:type="dxa"/>
            <w:vAlign w:val="bottom"/>
            <w:gridSpan w:val="2"/>
            <w:vMerge w:val="restart"/>
            <w:shd w:val="clear" w:color="auto" w:fill="CBECD5"/>
          </w:tcPr>
          <w:p>
            <w:pPr>
              <w:jc w:val="right"/>
              <w:spacing w:after="0"/>
              <w:rPr>
                <w:sz w:val="20"/>
                <w:szCs w:val="20"/>
                <w:color w:val="auto"/>
              </w:rPr>
            </w:pPr>
            <w:r>
              <w:rPr>
                <w:rFonts w:ascii="Arial" w:cs="Arial" w:eastAsia="Arial" w:hAnsi="Arial"/>
                <w:sz w:val="18"/>
                <w:szCs w:val="18"/>
                <w:color w:val="auto"/>
              </w:rPr>
              <w:t>$160,000</w:t>
            </w:r>
          </w:p>
        </w:tc>
        <w:tc>
          <w:tcPr>
            <w:tcW w:w="420" w:type="dxa"/>
            <w:vAlign w:val="bottom"/>
            <w:shd w:val="clear" w:color="auto" w:fill="CBECD5"/>
          </w:tcPr>
          <w:p>
            <w:pPr>
              <w:spacing w:after="0"/>
              <w:rPr>
                <w:sz w:val="17"/>
                <w:szCs w:val="17"/>
                <w:color w:val="auto"/>
              </w:rPr>
            </w:pPr>
          </w:p>
        </w:tc>
        <w:tc>
          <w:tcPr>
            <w:tcW w:w="1080" w:type="dxa"/>
            <w:vAlign w:val="bottom"/>
            <w:tcBorders>
              <w:right w:val="single" w:sz="8" w:color="CBECD5"/>
            </w:tcBorders>
            <w:vMerge w:val="restart"/>
            <w:shd w:val="clear" w:color="auto" w:fill="CBECD5"/>
          </w:tcPr>
          <w:p>
            <w:pPr>
              <w:jc w:val="right"/>
              <w:ind w:right="36"/>
              <w:spacing w:after="0"/>
              <w:rPr>
                <w:sz w:val="20"/>
                <w:szCs w:val="20"/>
                <w:color w:val="auto"/>
              </w:rPr>
            </w:pPr>
            <w:r>
              <w:rPr>
                <w:rFonts w:ascii="Arial" w:cs="Arial" w:eastAsia="Arial" w:hAnsi="Arial"/>
                <w:sz w:val="18"/>
                <w:szCs w:val="18"/>
                <w:color w:val="auto"/>
              </w:rPr>
              <w:t>$180,000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shd w:val="clear" w:color="auto" w:fill="CBECD5"/>
          </w:tcPr>
          <w:p>
            <w:pPr>
              <w:ind w:left="80"/>
              <w:spacing w:after="0" w:line="81" w:lineRule="exact"/>
              <w:rPr>
                <w:sz w:val="20"/>
                <w:szCs w:val="20"/>
                <w:color w:val="auto"/>
              </w:rPr>
            </w:pPr>
            <w:r>
              <w:rPr>
                <w:rFonts w:ascii="Arial" w:cs="Arial" w:eastAsia="Arial" w:hAnsi="Arial"/>
                <w:sz w:val="9"/>
                <w:szCs w:val="9"/>
                <w:color w:val="auto"/>
              </w:rPr>
              <w:t>​</w:t>
            </w:r>
          </w:p>
        </w:tc>
        <w:tc>
          <w:tcPr>
            <w:tcW w:w="5120" w:type="dxa"/>
            <w:vAlign w:val="bottom"/>
            <w:shd w:val="clear" w:color="auto" w:fill="CBECD5"/>
          </w:tcPr>
          <w:p>
            <w:pPr>
              <w:spacing w:after="0"/>
              <w:rPr>
                <w:sz w:val="2"/>
                <w:szCs w:val="2"/>
                <w:color w:val="auto"/>
              </w:rPr>
            </w:pPr>
          </w:p>
        </w:tc>
        <w:tc>
          <w:tcPr>
            <w:tcW w:w="1200" w:type="dxa"/>
            <w:vAlign w:val="bottom"/>
            <w:gridSpan w:val="2"/>
            <w:vMerge w:val="continue"/>
            <w:shd w:val="clear" w:color="auto" w:fill="CBECD5"/>
          </w:tcPr>
          <w:p>
            <w:pPr>
              <w:spacing w:after="0"/>
              <w:rPr>
                <w:sz w:val="2"/>
                <w:szCs w:val="2"/>
                <w:color w:val="auto"/>
              </w:rPr>
            </w:pPr>
          </w:p>
        </w:tc>
        <w:tc>
          <w:tcPr>
            <w:tcW w:w="420" w:type="dxa"/>
            <w:vAlign w:val="bottom"/>
            <w:vMerge w:val="restart"/>
            <w:shd w:val="clear" w:color="auto" w:fill="CBECD5"/>
          </w:tcPr>
          <w:p>
            <w:pPr>
              <w:ind w:left="60"/>
              <w:spacing w:after="0" w:line="81" w:lineRule="exact"/>
              <w:rPr>
                <w:sz w:val="20"/>
                <w:szCs w:val="20"/>
                <w:color w:val="auto"/>
              </w:rPr>
            </w:pPr>
            <w:r>
              <w:rPr>
                <w:rFonts w:ascii="Arial" w:cs="Arial" w:eastAsia="Arial" w:hAnsi="Arial"/>
                <w:sz w:val="9"/>
                <w:szCs w:val="9"/>
                <w:color w:val="auto"/>
              </w:rPr>
              <w:t>​ ​</w:t>
            </w:r>
          </w:p>
        </w:tc>
        <w:tc>
          <w:tcPr>
            <w:tcW w:w="1080" w:type="dxa"/>
            <w:vAlign w:val="bottom"/>
            <w:tcBorders>
              <w:right w:val="single" w:sz="8" w:color="CBECD5"/>
            </w:tcBorders>
            <w:vMerge w:val="continue"/>
            <w:shd w:val="clear" w:color="auto" w:fill="CBECD5"/>
          </w:tcPr>
          <w:p>
            <w:pPr>
              <w:spacing w:after="0"/>
              <w:rPr>
                <w:sz w:val="2"/>
                <w:szCs w:val="2"/>
                <w:color w:val="auto"/>
              </w:rPr>
            </w:pPr>
          </w:p>
        </w:tc>
        <w:tc>
          <w:tcPr>
            <w:tcW w:w="4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200" w:type="dxa"/>
            <w:vAlign w:val="bottom"/>
            <w:vMerge w:val="continue"/>
            <w:shd w:val="clear" w:color="auto" w:fill="CBECD5"/>
          </w:tcPr>
          <w:p>
            <w:pPr>
              <w:spacing w:after="0"/>
              <w:rPr>
                <w:sz w:val="4"/>
                <w:szCs w:val="4"/>
                <w:color w:val="auto"/>
              </w:rPr>
            </w:pPr>
          </w:p>
        </w:tc>
        <w:tc>
          <w:tcPr>
            <w:tcW w:w="5120" w:type="dxa"/>
            <w:vAlign w:val="bottom"/>
            <w:shd w:val="clear" w:color="auto" w:fill="CBECD5"/>
          </w:tcPr>
          <w:p>
            <w:pPr>
              <w:spacing w:after="0"/>
              <w:rPr>
                <w:sz w:val="4"/>
                <w:szCs w:val="4"/>
                <w:color w:val="auto"/>
              </w:rPr>
            </w:pPr>
          </w:p>
        </w:tc>
        <w:tc>
          <w:tcPr>
            <w:tcW w:w="460" w:type="dxa"/>
            <w:vAlign w:val="bottom"/>
            <w:shd w:val="clear" w:color="auto" w:fill="CBECD5"/>
          </w:tcPr>
          <w:p>
            <w:pPr>
              <w:ind w:left="280"/>
              <w:spacing w:after="0" w:line="54" w:lineRule="exact"/>
              <w:rPr>
                <w:sz w:val="20"/>
                <w:szCs w:val="20"/>
                <w:color w:val="auto"/>
              </w:rPr>
            </w:pPr>
            <w:r>
              <w:rPr>
                <w:rFonts w:ascii="Arial" w:cs="Arial" w:eastAsia="Arial" w:hAnsi="Arial"/>
                <w:sz w:val="6"/>
                <w:szCs w:val="6"/>
                <w:color w:val="auto"/>
              </w:rPr>
              <w:t>​ ​</w:t>
            </w:r>
          </w:p>
        </w:tc>
        <w:tc>
          <w:tcPr>
            <w:tcW w:w="740" w:type="dxa"/>
            <w:vAlign w:val="bottom"/>
            <w:shd w:val="clear" w:color="auto" w:fill="CBECD5"/>
          </w:tcPr>
          <w:p>
            <w:pPr>
              <w:spacing w:after="0"/>
              <w:rPr>
                <w:sz w:val="4"/>
                <w:szCs w:val="4"/>
                <w:color w:val="auto"/>
              </w:rPr>
            </w:pPr>
          </w:p>
        </w:tc>
        <w:tc>
          <w:tcPr>
            <w:tcW w:w="420" w:type="dxa"/>
            <w:vAlign w:val="bottom"/>
            <w:vMerge w:val="continue"/>
            <w:shd w:val="clear" w:color="auto" w:fill="CBECD5"/>
          </w:tcPr>
          <w:p>
            <w:pPr>
              <w:spacing w:after="0"/>
              <w:rPr>
                <w:sz w:val="4"/>
                <w:szCs w:val="4"/>
                <w:color w:val="auto"/>
              </w:rPr>
            </w:pPr>
          </w:p>
        </w:tc>
        <w:tc>
          <w:tcPr>
            <w:tcW w:w="1080" w:type="dxa"/>
            <w:vAlign w:val="bottom"/>
            <w:tcBorders>
              <w:right w:val="single" w:sz="8" w:color="CBECD5"/>
            </w:tcBorders>
            <w:shd w:val="clear" w:color="auto" w:fill="CBECD5"/>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120" w:type="dxa"/>
            <w:vAlign w:val="bottom"/>
          </w:tcPr>
          <w:p>
            <w:pPr>
              <w:ind w:left="60"/>
              <w:spacing w:after="0"/>
              <w:rPr>
                <w:sz w:val="20"/>
                <w:szCs w:val="20"/>
                <w:color w:val="auto"/>
              </w:rPr>
            </w:pPr>
            <w:r>
              <w:rPr>
                <w:rFonts w:ascii="Arial" w:cs="Arial" w:eastAsia="Arial" w:hAnsi="Arial"/>
                <w:sz w:val="18"/>
                <w:szCs w:val="18"/>
                <w:color w:val="auto"/>
              </w:rPr>
              <w:t>Total for FY23:</w:t>
            </w:r>
          </w:p>
        </w:tc>
        <w:tc>
          <w:tcPr>
            <w:tcW w:w="460" w:type="dxa"/>
            <w:vAlign w:val="bottom"/>
          </w:tcPr>
          <w:p>
            <w:pPr>
              <w:ind w:left="28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$280,000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00" w:type="dxa"/>
            <w:vAlign w:val="bottom"/>
            <w:tcBorders>
              <w:bottom w:val="single" w:sz="8" w:color="53C072"/>
            </w:tcBorders>
            <w:shd w:val="clear" w:color="auto" w:fill="CBECD5"/>
          </w:tcPr>
          <w:p>
            <w:pPr>
              <w:ind w:left="80"/>
              <w:spacing w:after="0"/>
              <w:rPr>
                <w:sz w:val="20"/>
                <w:szCs w:val="20"/>
                <w:color w:val="auto"/>
              </w:rPr>
            </w:pPr>
            <w:r>
              <w:rPr>
                <w:rFonts w:ascii="Arial" w:cs="Arial" w:eastAsia="Arial" w:hAnsi="Arial"/>
                <w:sz w:val="18"/>
                <w:szCs w:val="18"/>
                <w:color w:val="auto"/>
              </w:rPr>
              <w:t>​</w:t>
            </w:r>
          </w:p>
        </w:tc>
        <w:tc>
          <w:tcPr>
            <w:tcW w:w="512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8"/>
                <w:szCs w:val="18"/>
                <w:color w:val="auto"/>
              </w:rPr>
              <w:t>% of Cash/Equity</w:t>
            </w:r>
          </w:p>
        </w:tc>
        <w:tc>
          <w:tcPr>
            <w:tcW w:w="460" w:type="dxa"/>
            <w:vAlign w:val="bottom"/>
            <w:tcBorders>
              <w:bottom w:val="single" w:sz="8" w:color="53C072"/>
            </w:tcBorders>
            <w:shd w:val="clear" w:color="auto" w:fill="CBECD5"/>
          </w:tcPr>
          <w:p>
            <w:pPr>
              <w:ind w:left="28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53C072"/>
            </w:tcBorders>
            <w:shd w:val="clear" w:color="auto" w:fill="CBECD5"/>
          </w:tcPr>
          <w:p>
            <w:pPr>
              <w:spacing w:after="0"/>
              <w:rPr>
                <w:sz w:val="24"/>
                <w:szCs w:val="24"/>
                <w:color w:val="auto"/>
              </w:rPr>
            </w:pPr>
          </w:p>
        </w:tc>
        <w:tc>
          <w:tcPr>
            <w:tcW w:w="42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53C072"/>
              <w:right w:val="single" w:sz="8" w:color="CBECD5"/>
            </w:tcBorders>
            <w:shd w:val="clear" w:color="auto" w:fill="CBECD5"/>
          </w:tcPr>
          <w:p>
            <w:pPr>
              <w:jc w:val="right"/>
              <w:ind w:right="36"/>
              <w:spacing w:after="0"/>
              <w:rPr>
                <w:sz w:val="20"/>
                <w:szCs w:val="20"/>
                <w:color w:val="auto"/>
              </w:rPr>
            </w:pPr>
            <w:r>
              <w:rPr>
                <w:rFonts w:ascii="Arial" w:cs="Arial" w:eastAsia="Arial" w:hAnsi="Arial"/>
                <w:sz w:val="18"/>
                <w:szCs w:val="18"/>
                <w:color w:val="auto"/>
              </w:rPr>
              <w:t>36/64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 w:type="dxa"/>
            <w:vAlign w:val="bottom"/>
            <w:shd w:val="clear" w:color="auto" w:fill="53C072"/>
          </w:tcPr>
          <w:p>
            <w:pPr>
              <w:spacing w:after="0"/>
              <w:rPr>
                <w:sz w:val="16"/>
                <w:szCs w:val="16"/>
                <w:color w:val="auto"/>
              </w:rPr>
            </w:pPr>
          </w:p>
        </w:tc>
        <w:tc>
          <w:tcPr>
            <w:tcW w:w="5120" w:type="dxa"/>
            <w:vAlign w:val="bottom"/>
            <w:shd w:val="clear" w:color="auto" w:fill="53C072"/>
          </w:tcPr>
          <w:p>
            <w:pPr>
              <w:spacing w:after="0"/>
              <w:rPr>
                <w:sz w:val="16"/>
                <w:szCs w:val="16"/>
                <w:color w:val="auto"/>
              </w:rPr>
            </w:pPr>
          </w:p>
        </w:tc>
        <w:tc>
          <w:tcPr>
            <w:tcW w:w="460" w:type="dxa"/>
            <w:vAlign w:val="bottom"/>
            <w:shd w:val="clear" w:color="auto" w:fill="53C072"/>
          </w:tcPr>
          <w:p>
            <w:pPr>
              <w:spacing w:after="0"/>
              <w:rPr>
                <w:sz w:val="16"/>
                <w:szCs w:val="16"/>
                <w:color w:val="auto"/>
              </w:rPr>
            </w:pPr>
          </w:p>
        </w:tc>
        <w:tc>
          <w:tcPr>
            <w:tcW w:w="740" w:type="dxa"/>
            <w:vAlign w:val="bottom"/>
            <w:shd w:val="clear" w:color="auto" w:fill="53C072"/>
          </w:tcPr>
          <w:p>
            <w:pPr>
              <w:jc w:val="right"/>
              <w:ind w:right="20"/>
              <w:spacing w:after="0"/>
              <w:rPr>
                <w:sz w:val="20"/>
                <w:szCs w:val="20"/>
                <w:color w:val="auto"/>
              </w:rPr>
            </w:pPr>
            <w:r>
              <w:rPr>
                <w:rFonts w:ascii="Arial" w:cs="Arial" w:eastAsia="Arial" w:hAnsi="Arial"/>
                <w:sz w:val="14"/>
                <w:szCs w:val="14"/>
                <w:b w:val="1"/>
                <w:bCs w:val="1"/>
                <w:color w:val="FEFEFE"/>
              </w:rPr>
              <w:t>In Effect</w:t>
            </w:r>
          </w:p>
        </w:tc>
        <w:tc>
          <w:tcPr>
            <w:tcW w:w="1500" w:type="dxa"/>
            <w:vAlign w:val="bottom"/>
            <w:tcBorders>
              <w:right w:val="single" w:sz="8" w:color="53C072"/>
            </w:tcBorders>
            <w:gridSpan w:val="2"/>
            <w:shd w:val="clear" w:color="auto" w:fill="53C072"/>
          </w:tcPr>
          <w:p>
            <w:pPr>
              <w:ind w:left="180"/>
              <w:spacing w:after="0"/>
              <w:rPr>
                <w:sz w:val="20"/>
                <w:szCs w:val="20"/>
                <w:color w:val="auto"/>
              </w:rPr>
            </w:pPr>
            <w:r>
              <w:rPr>
                <w:rFonts w:ascii="Arial" w:cs="Arial" w:eastAsia="Arial" w:hAnsi="Arial"/>
                <w:sz w:val="14"/>
                <w:szCs w:val="14"/>
                <w:b w:val="1"/>
                <w:bCs w:val="1"/>
                <w:color w:val="FEFEFE"/>
              </w:rPr>
              <w:t>Change Effective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53C072"/>
          </w:tcPr>
          <w:p>
            <w:pPr>
              <w:ind w:left="80"/>
              <w:spacing w:after="0" w:line="189" w:lineRule="exact"/>
              <w:rPr>
                <w:sz w:val="20"/>
                <w:szCs w:val="20"/>
                <w:color w:val="auto"/>
              </w:rPr>
            </w:pPr>
            <w:r>
              <w:rPr>
                <w:rFonts w:ascii="Arial" w:cs="Arial" w:eastAsia="Arial" w:hAnsi="Arial"/>
                <w:sz w:val="14"/>
                <w:szCs w:val="14"/>
                <w:b w:val="1"/>
                <w:bCs w:val="1"/>
                <w:color w:val="FEFEFE"/>
              </w:rPr>
              <w:t>​Additional Annual Amounts:</w:t>
            </w:r>
            <w:r>
              <w:rPr>
                <w:rFonts w:ascii="Arial" w:cs="Arial" w:eastAsia="Arial" w:hAnsi="Arial"/>
                <w:sz w:val="17"/>
                <w:szCs w:val="17"/>
                <w:b w:val="1"/>
                <w:bCs w:val="1"/>
                <w:color w:val="FEFEFE"/>
                <w:vertAlign w:val="superscript"/>
              </w:rPr>
              <w:t>(1)</w:t>
            </w:r>
          </w:p>
        </w:tc>
        <w:tc>
          <w:tcPr>
            <w:tcW w:w="460" w:type="dxa"/>
            <w:vAlign w:val="bottom"/>
            <w:shd w:val="clear" w:color="auto" w:fill="53C072"/>
          </w:tcPr>
          <w:p>
            <w:pPr>
              <w:ind w:left="280"/>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07-03-22</w:t>
            </w:r>
          </w:p>
        </w:tc>
        <w:tc>
          <w:tcPr>
            <w:tcW w:w="4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080" w:type="dxa"/>
            <w:vAlign w:val="bottom"/>
            <w:tcBorders>
              <w:right w:val="single" w:sz="8" w:color="53C072"/>
            </w:tcBorders>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01-01-23</w:t>
            </w:r>
          </w:p>
        </w:tc>
        <w:tc>
          <w:tcPr>
            <w:tcW w:w="40" w:type="dxa"/>
            <w:vAlign w:val="bottom"/>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203"/>
        </w:trPr>
        <w:tc>
          <w:tcPr>
            <w:tcW w:w="53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Independent Chair Retainer</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$175,000</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$185,000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120" w:type="dxa"/>
            <w:vAlign w:val="bottom"/>
          </w:tcPr>
          <w:p>
            <w:pPr>
              <w:spacing w:after="0"/>
              <w:rPr>
                <w:sz w:val="4"/>
                <w:szCs w:val="4"/>
                <w:color w:val="auto"/>
              </w:rPr>
            </w:pPr>
          </w:p>
        </w:tc>
        <w:tc>
          <w:tcPr>
            <w:tcW w:w="460" w:type="dxa"/>
            <w:vAlign w:val="bottom"/>
          </w:tcPr>
          <w:p>
            <w:pPr>
              <w:ind w:left="280"/>
              <w:spacing w:after="0" w:line="54" w:lineRule="exact"/>
              <w:rPr>
                <w:sz w:val="20"/>
                <w:szCs w:val="20"/>
                <w:color w:val="auto"/>
              </w:rPr>
            </w:pPr>
            <w:r>
              <w:rPr>
                <w:rFonts w:ascii="Arial" w:cs="Arial" w:eastAsia="Arial" w:hAnsi="Arial"/>
                <w:sz w:val="6"/>
                <w:szCs w:val="6"/>
                <w:color w:val="auto"/>
              </w:rPr>
              <w:t>​ ​</w:t>
            </w:r>
          </w:p>
        </w:tc>
        <w:tc>
          <w:tcPr>
            <w:tcW w:w="7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BECD5"/>
          </w:tcPr>
          <w:p>
            <w:pPr>
              <w:ind w:left="80"/>
              <w:spacing w:after="0" w:line="202" w:lineRule="exact"/>
              <w:rPr>
                <w:sz w:val="20"/>
                <w:szCs w:val="20"/>
                <w:color w:val="auto"/>
              </w:rPr>
            </w:pPr>
            <w:r>
              <w:rPr>
                <w:rFonts w:ascii="Arial" w:cs="Arial" w:eastAsia="Arial" w:hAnsi="Arial"/>
                <w:sz w:val="18"/>
                <w:szCs w:val="18"/>
                <w:color w:val="auto"/>
              </w:rPr>
              <w:t>Audit Committee Chair Retainer</w:t>
            </w:r>
            <w:r>
              <w:rPr>
                <w:rFonts w:ascii="Arial" w:cs="Arial" w:eastAsia="Arial" w:hAnsi="Arial"/>
                <w:sz w:val="23"/>
                <w:szCs w:val="23"/>
                <w:color w:val="auto"/>
                <w:vertAlign w:val="superscript"/>
              </w:rPr>
              <w:t>(3)</w:t>
            </w:r>
          </w:p>
        </w:tc>
        <w:tc>
          <w:tcPr>
            <w:tcW w:w="1200" w:type="dxa"/>
            <w:vAlign w:val="bottom"/>
            <w:gridSpan w:val="2"/>
            <w:vMerge w:val="restart"/>
            <w:shd w:val="clear" w:color="auto" w:fill="CBECD5"/>
          </w:tcPr>
          <w:p>
            <w:pPr>
              <w:ind w:left="280"/>
              <w:spacing w:after="0"/>
              <w:rPr>
                <w:sz w:val="20"/>
                <w:szCs w:val="20"/>
                <w:color w:val="auto"/>
              </w:rPr>
            </w:pPr>
            <w:r>
              <w:rPr>
                <w:rFonts w:ascii="Arial" w:cs="Arial" w:eastAsia="Arial" w:hAnsi="Arial"/>
                <w:sz w:val="18"/>
                <w:szCs w:val="18"/>
                <w:color w:val="auto"/>
              </w:rPr>
              <w:t>​ ​ $25,000</w:t>
            </w:r>
          </w:p>
        </w:tc>
        <w:tc>
          <w:tcPr>
            <w:tcW w:w="420" w:type="dxa"/>
            <w:vAlign w:val="bottom"/>
            <w:vMerge w:val="restart"/>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right w:val="single" w:sz="8" w:color="CBECD5"/>
            </w:tcBorders>
            <w:shd w:val="clear" w:color="auto" w:fill="CBECD5"/>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0" w:type="dxa"/>
            <w:vAlign w:val="bottom"/>
            <w:shd w:val="clear" w:color="auto" w:fill="CBECD5"/>
          </w:tcPr>
          <w:p>
            <w:pPr>
              <w:ind w:left="80"/>
              <w:spacing w:after="0" w:line="81" w:lineRule="exact"/>
              <w:rPr>
                <w:sz w:val="20"/>
                <w:szCs w:val="20"/>
                <w:color w:val="auto"/>
              </w:rPr>
            </w:pPr>
            <w:r>
              <w:rPr>
                <w:rFonts w:ascii="Arial" w:cs="Arial" w:eastAsia="Arial" w:hAnsi="Arial"/>
                <w:sz w:val="9"/>
                <w:szCs w:val="9"/>
                <w:color w:val="auto"/>
              </w:rPr>
              <w:t>​</w:t>
            </w:r>
          </w:p>
        </w:tc>
        <w:tc>
          <w:tcPr>
            <w:tcW w:w="5120" w:type="dxa"/>
            <w:vAlign w:val="bottom"/>
            <w:shd w:val="clear" w:color="auto" w:fill="CBECD5"/>
          </w:tcPr>
          <w:p>
            <w:pPr>
              <w:spacing w:after="0"/>
              <w:rPr>
                <w:sz w:val="7"/>
                <w:szCs w:val="7"/>
                <w:color w:val="auto"/>
              </w:rPr>
            </w:pPr>
          </w:p>
        </w:tc>
        <w:tc>
          <w:tcPr>
            <w:tcW w:w="1200" w:type="dxa"/>
            <w:vAlign w:val="bottom"/>
            <w:gridSpan w:val="2"/>
            <w:vMerge w:val="continue"/>
            <w:shd w:val="clear" w:color="auto" w:fill="CBECD5"/>
          </w:tcPr>
          <w:p>
            <w:pPr>
              <w:spacing w:after="0"/>
              <w:rPr>
                <w:sz w:val="7"/>
                <w:szCs w:val="7"/>
                <w:color w:val="auto"/>
              </w:rPr>
            </w:pPr>
          </w:p>
        </w:tc>
        <w:tc>
          <w:tcPr>
            <w:tcW w:w="420" w:type="dxa"/>
            <w:vAlign w:val="bottom"/>
            <w:vMerge w:val="continue"/>
            <w:shd w:val="clear" w:color="auto" w:fill="CBECD5"/>
          </w:tcPr>
          <w:p>
            <w:pPr>
              <w:spacing w:after="0"/>
              <w:rPr>
                <w:sz w:val="7"/>
                <w:szCs w:val="7"/>
                <w:color w:val="auto"/>
              </w:rPr>
            </w:pPr>
          </w:p>
        </w:tc>
        <w:tc>
          <w:tcPr>
            <w:tcW w:w="1080" w:type="dxa"/>
            <w:vAlign w:val="bottom"/>
            <w:tcBorders>
              <w:right w:val="single" w:sz="8" w:color="CBECD5"/>
            </w:tcBorders>
            <w:shd w:val="clear" w:color="auto" w:fill="CBECD5"/>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80"/>
              <w:spacing w:after="0"/>
              <w:rPr>
                <w:sz w:val="20"/>
                <w:szCs w:val="20"/>
                <w:color w:val="auto"/>
              </w:rPr>
            </w:pPr>
            <w:r>
              <w:rPr>
                <w:rFonts w:ascii="Arial" w:cs="Arial" w:eastAsia="Arial" w:hAnsi="Arial"/>
                <w:sz w:val="18"/>
                <w:szCs w:val="18"/>
                <w:color w:val="auto"/>
              </w:rPr>
              <w:t>Audit Committee Retainer</w:t>
            </w:r>
          </w:p>
        </w:tc>
        <w:tc>
          <w:tcPr>
            <w:tcW w:w="46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320" w:type="dxa"/>
            <w:vAlign w:val="bottom"/>
            <w:gridSpan w:val="2"/>
            <w:shd w:val="clear" w:color="auto" w:fill="CBECD5"/>
          </w:tcPr>
          <w:p>
            <w:pPr>
              <w:ind w:left="80"/>
              <w:spacing w:after="0"/>
              <w:rPr>
                <w:sz w:val="20"/>
                <w:szCs w:val="20"/>
                <w:color w:val="auto"/>
              </w:rPr>
            </w:pPr>
            <w:r>
              <w:rPr>
                <w:rFonts w:ascii="Arial" w:cs="Arial" w:eastAsia="Arial" w:hAnsi="Arial"/>
                <w:sz w:val="18"/>
                <w:szCs w:val="18"/>
                <w:color w:val="auto"/>
              </w:rPr>
              <w:t>Compensation and Leadership Development Committee Chair</w:t>
            </w:r>
          </w:p>
        </w:tc>
        <w:tc>
          <w:tcPr>
            <w:tcW w:w="460" w:type="dxa"/>
            <w:vAlign w:val="bottom"/>
            <w:shd w:val="clear" w:color="auto" w:fill="CBECD5"/>
          </w:tcPr>
          <w:p>
            <w:pPr>
              <w:spacing w:after="0"/>
              <w:rPr>
                <w:sz w:val="21"/>
                <w:szCs w:val="21"/>
                <w:color w:val="auto"/>
              </w:rPr>
            </w:pPr>
          </w:p>
        </w:tc>
        <w:tc>
          <w:tcPr>
            <w:tcW w:w="740" w:type="dxa"/>
            <w:vAlign w:val="bottom"/>
            <w:shd w:val="clear" w:color="auto" w:fill="CBECD5"/>
          </w:tcPr>
          <w:p>
            <w:pPr>
              <w:spacing w:after="0"/>
              <w:rPr>
                <w:sz w:val="21"/>
                <w:szCs w:val="21"/>
                <w:color w:val="auto"/>
              </w:rPr>
            </w:pPr>
          </w:p>
        </w:tc>
        <w:tc>
          <w:tcPr>
            <w:tcW w:w="420" w:type="dxa"/>
            <w:vAlign w:val="bottom"/>
            <w:shd w:val="clear" w:color="auto" w:fill="CBECD5"/>
          </w:tcPr>
          <w:p>
            <w:pPr>
              <w:spacing w:after="0"/>
              <w:rPr>
                <w:sz w:val="21"/>
                <w:szCs w:val="21"/>
                <w:color w:val="auto"/>
              </w:rPr>
            </w:pPr>
          </w:p>
        </w:tc>
        <w:tc>
          <w:tcPr>
            <w:tcW w:w="1080" w:type="dxa"/>
            <w:vAlign w:val="bottom"/>
            <w:tcBorders>
              <w:right w:val="single" w:sz="8" w:color="CBECD5"/>
            </w:tcBorders>
            <w:shd w:val="clear" w:color="auto" w:fill="CBECD5"/>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20" w:type="dxa"/>
            <w:vAlign w:val="bottom"/>
            <w:gridSpan w:val="2"/>
            <w:shd w:val="clear" w:color="auto" w:fill="CBECD5"/>
          </w:tcPr>
          <w:p>
            <w:pPr>
              <w:ind w:left="80"/>
              <w:spacing w:after="0"/>
              <w:rPr>
                <w:sz w:val="20"/>
                <w:szCs w:val="20"/>
                <w:color w:val="auto"/>
              </w:rPr>
            </w:pPr>
            <w:r>
              <w:rPr>
                <w:rFonts w:ascii="Arial" w:cs="Arial" w:eastAsia="Arial" w:hAnsi="Arial"/>
                <w:sz w:val="18"/>
                <w:szCs w:val="18"/>
                <w:color w:val="auto"/>
              </w:rPr>
              <w:t>​Retainer</w:t>
            </w:r>
          </w:p>
        </w:tc>
        <w:tc>
          <w:tcPr>
            <w:tcW w:w="1200" w:type="dxa"/>
            <w:vAlign w:val="bottom"/>
            <w:gridSpan w:val="2"/>
            <w:shd w:val="clear" w:color="auto" w:fill="CBECD5"/>
          </w:tcPr>
          <w:p>
            <w:pPr>
              <w:ind w:left="280"/>
              <w:spacing w:after="0"/>
              <w:rPr>
                <w:sz w:val="20"/>
                <w:szCs w:val="20"/>
                <w:color w:val="auto"/>
              </w:rPr>
            </w:pPr>
            <w:r>
              <w:rPr>
                <w:rFonts w:ascii="Arial" w:cs="Arial" w:eastAsia="Arial" w:hAnsi="Arial"/>
                <w:sz w:val="18"/>
                <w:szCs w:val="18"/>
                <w:color w:val="auto"/>
              </w:rPr>
              <w:t>​ ​ $20,000</w:t>
            </w:r>
          </w:p>
        </w:tc>
        <w:tc>
          <w:tcPr>
            <w:tcW w:w="420" w:type="dxa"/>
            <w:vAlign w:val="bottom"/>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right w:val="single" w:sz="8" w:color="CBECD5"/>
            </w:tcBorders>
            <w:shd w:val="clear" w:color="auto" w:fill="CBECD5"/>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80"/>
              <w:spacing w:after="0"/>
              <w:rPr>
                <w:sz w:val="20"/>
                <w:szCs w:val="20"/>
                <w:color w:val="auto"/>
              </w:rPr>
            </w:pPr>
            <w:r>
              <w:rPr>
                <w:rFonts w:ascii="Arial" w:cs="Arial" w:eastAsia="Arial" w:hAnsi="Arial"/>
                <w:sz w:val="18"/>
                <w:szCs w:val="18"/>
                <w:color w:val="auto"/>
              </w:rPr>
              <w:t>Corporate Governance Committee Chair Retainer</w:t>
            </w:r>
          </w:p>
        </w:tc>
        <w:tc>
          <w:tcPr>
            <w:tcW w:w="46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BECD5"/>
          </w:tcPr>
          <w:p>
            <w:pPr>
              <w:ind w:left="80"/>
              <w:spacing w:after="0"/>
              <w:rPr>
                <w:sz w:val="20"/>
                <w:szCs w:val="20"/>
                <w:color w:val="auto"/>
              </w:rPr>
            </w:pPr>
            <w:r>
              <w:rPr>
                <w:rFonts w:ascii="Arial" w:cs="Arial" w:eastAsia="Arial" w:hAnsi="Arial"/>
                <w:sz w:val="18"/>
                <w:szCs w:val="18"/>
                <w:color w:val="auto"/>
              </w:rPr>
              <w:t>Finance Committee Chair Retainer</w:t>
            </w:r>
          </w:p>
        </w:tc>
        <w:tc>
          <w:tcPr>
            <w:tcW w:w="460" w:type="dxa"/>
            <w:vAlign w:val="bottom"/>
            <w:vMerge w:val="restart"/>
            <w:shd w:val="clear" w:color="auto" w:fill="CBECD5"/>
          </w:tcPr>
          <w:p>
            <w:pPr>
              <w:ind w:left="28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vMerge w:val="restart"/>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080" w:type="dxa"/>
            <w:vAlign w:val="bottom"/>
            <w:tcBorders>
              <w:right w:val="single" w:sz="8" w:color="CBECD5"/>
            </w:tcBorders>
            <w:shd w:val="clear" w:color="auto" w:fill="CBECD5"/>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0" w:type="dxa"/>
            <w:vAlign w:val="bottom"/>
            <w:tcBorders>
              <w:bottom w:val="single" w:sz="8" w:color="53C072"/>
            </w:tcBorders>
            <w:shd w:val="clear" w:color="auto" w:fill="CBECD5"/>
          </w:tcPr>
          <w:p>
            <w:pPr>
              <w:ind w:left="80"/>
              <w:spacing w:after="0" w:line="81" w:lineRule="exact"/>
              <w:rPr>
                <w:sz w:val="20"/>
                <w:szCs w:val="20"/>
                <w:color w:val="auto"/>
              </w:rPr>
            </w:pPr>
            <w:r>
              <w:rPr>
                <w:rFonts w:ascii="Arial" w:cs="Arial" w:eastAsia="Arial" w:hAnsi="Arial"/>
                <w:sz w:val="9"/>
                <w:szCs w:val="9"/>
                <w:color w:val="auto"/>
              </w:rPr>
              <w:t>​</w:t>
            </w:r>
          </w:p>
        </w:tc>
        <w:tc>
          <w:tcPr>
            <w:tcW w:w="5120" w:type="dxa"/>
            <w:vAlign w:val="bottom"/>
            <w:tcBorders>
              <w:bottom w:val="single" w:sz="8" w:color="53C072"/>
            </w:tcBorders>
            <w:shd w:val="clear" w:color="auto" w:fill="CBECD5"/>
          </w:tcPr>
          <w:p>
            <w:pPr>
              <w:spacing w:after="0"/>
              <w:rPr>
                <w:sz w:val="7"/>
                <w:szCs w:val="7"/>
                <w:color w:val="auto"/>
              </w:rPr>
            </w:pPr>
          </w:p>
        </w:tc>
        <w:tc>
          <w:tcPr>
            <w:tcW w:w="460" w:type="dxa"/>
            <w:vAlign w:val="bottom"/>
            <w:tcBorders>
              <w:bottom w:val="single" w:sz="8" w:color="53C072"/>
            </w:tcBorders>
            <w:vMerge w:val="continue"/>
            <w:shd w:val="clear" w:color="auto" w:fill="CBECD5"/>
          </w:tcPr>
          <w:p>
            <w:pPr>
              <w:spacing w:after="0"/>
              <w:rPr>
                <w:sz w:val="7"/>
                <w:szCs w:val="7"/>
                <w:color w:val="auto"/>
              </w:rPr>
            </w:pPr>
          </w:p>
        </w:tc>
        <w:tc>
          <w:tcPr>
            <w:tcW w:w="740" w:type="dxa"/>
            <w:vAlign w:val="bottom"/>
            <w:tcBorders>
              <w:bottom w:val="single" w:sz="8" w:color="53C072"/>
            </w:tcBorders>
            <w:shd w:val="clear" w:color="auto" w:fill="CBECD5"/>
          </w:tcPr>
          <w:p>
            <w:pPr>
              <w:spacing w:after="0"/>
              <w:rPr>
                <w:sz w:val="7"/>
                <w:szCs w:val="7"/>
                <w:color w:val="auto"/>
              </w:rPr>
            </w:pPr>
          </w:p>
        </w:tc>
        <w:tc>
          <w:tcPr>
            <w:tcW w:w="420" w:type="dxa"/>
            <w:vAlign w:val="bottom"/>
            <w:tcBorders>
              <w:bottom w:val="single" w:sz="8" w:color="53C072"/>
            </w:tcBorders>
            <w:vMerge w:val="continue"/>
            <w:shd w:val="clear" w:color="auto" w:fill="CBECD5"/>
          </w:tcPr>
          <w:p>
            <w:pPr>
              <w:spacing w:after="0"/>
              <w:rPr>
                <w:sz w:val="7"/>
                <w:szCs w:val="7"/>
                <w:color w:val="auto"/>
              </w:rPr>
            </w:pPr>
          </w:p>
        </w:tc>
        <w:tc>
          <w:tcPr>
            <w:tcW w:w="1080" w:type="dxa"/>
            <w:vAlign w:val="bottom"/>
            <w:tcBorders>
              <w:bottom w:val="single" w:sz="8" w:color="53C072"/>
              <w:right w:val="single" w:sz="8" w:color="CBECD5"/>
            </w:tcBorders>
            <w:shd w:val="clear" w:color="auto" w:fill="CBECD5"/>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080" w:right="219" w:hanging="730"/>
        <w:spacing w:after="0" w:line="258"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Paid in equal quarterly installments, unless the Director elects to defer under the Avnet Deferred Compensation Plan for Outside Directors, which is described in more detail under the caption “Deferred Compensation Plan” below. The amount is prorated for Directors who begin service after January 1.</w:t>
      </w:r>
    </w:p>
    <w:p>
      <w:pPr>
        <w:spacing w:after="0" w:line="41" w:lineRule="exact"/>
        <w:rPr>
          <w:rFonts w:ascii="Arial" w:cs="Arial" w:eastAsia="Arial" w:hAnsi="Arial"/>
          <w:sz w:val="18"/>
          <w:szCs w:val="18"/>
          <w:color w:val="auto"/>
        </w:rPr>
      </w:pPr>
    </w:p>
    <w:p>
      <w:pPr>
        <w:ind w:left="2080" w:right="339" w:hanging="730"/>
        <w:spacing w:after="0" w:line="263"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delivered each January, unless the Director elects to defer under the Avnet Deferred Compensation Plan for Outside Directors. The amount is prorated for Directors who begin service after January 1.</w:t>
      </w:r>
    </w:p>
    <w:p>
      <w:pPr>
        <w:spacing w:after="0" w:line="35" w:lineRule="exact"/>
        <w:rPr>
          <w:rFonts w:ascii="Arial" w:cs="Arial" w:eastAsia="Arial" w:hAnsi="Arial"/>
          <w:sz w:val="18"/>
          <w:szCs w:val="18"/>
          <w:color w:val="auto"/>
        </w:rPr>
      </w:pPr>
    </w:p>
    <w:p>
      <w:pPr>
        <w:ind w:left="2080" w:hanging="730"/>
        <w:spacing w:after="0"/>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Audit Committee Retainer.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28     </w:t>
      </w:r>
      <w:r>
        <w:rPr>
          <w:sz w:val="1"/>
          <w:szCs w:val="1"/>
          <w:color w:val="auto"/>
        </w:rPr>
        <w:drawing>
          <wp:inline distT="0" distB="0" distL="0" distR="0">
            <wp:extent cx="1242695" cy="2400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5"/>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259"/>
        <w:spacing w:after="0" w:line="275" w:lineRule="auto"/>
        <w:rPr>
          <w:sz w:val="20"/>
          <w:szCs w:val="20"/>
          <w:color w:val="auto"/>
        </w:rPr>
      </w:pPr>
      <w:r>
        <w:rPr>
          <w:rFonts w:ascii="Arial" w:cs="Arial" w:eastAsia="Arial" w:hAnsi="Arial"/>
          <w:sz w:val="18"/>
          <w:szCs w:val="18"/>
          <w:color w:val="auto"/>
        </w:rPr>
        <w:t>The following table shows the total dollar value of all fees earned by all non-employee Directors in fiscal 2023 and the grant date fair value of stock awards to non-employee Directors made in fiscal 2023.</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840" w:type="dxa"/>
            <w:vAlign w:val="bottom"/>
            <w:shd w:val="clear" w:color="auto" w:fill="53C072"/>
          </w:tcPr>
          <w:p>
            <w:pPr>
              <w:spacing w:after="0"/>
              <w:rPr>
                <w:sz w:val="16"/>
                <w:szCs w:val="16"/>
                <w:color w:val="auto"/>
              </w:rPr>
            </w:pPr>
          </w:p>
        </w:tc>
        <w:tc>
          <w:tcPr>
            <w:tcW w:w="26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Fees Earned or</w:t>
            </w:r>
          </w:p>
        </w:tc>
        <w:tc>
          <w:tcPr>
            <w:tcW w:w="160" w:type="dxa"/>
            <w:vAlign w:val="bottom"/>
            <w:shd w:val="clear" w:color="auto" w:fill="53C072"/>
          </w:tcPr>
          <w:p>
            <w:pPr>
              <w:spacing w:after="0"/>
              <w:rPr>
                <w:sz w:val="16"/>
                <w:szCs w:val="16"/>
                <w:color w:val="auto"/>
              </w:rPr>
            </w:pPr>
          </w:p>
        </w:tc>
        <w:tc>
          <w:tcPr>
            <w:tcW w:w="520" w:type="dxa"/>
            <w:vAlign w:val="bottom"/>
            <w:shd w:val="clear" w:color="auto" w:fill="53C072"/>
          </w:tcPr>
          <w:p>
            <w:pPr>
              <w:spacing w:after="0"/>
              <w:rPr>
                <w:sz w:val="16"/>
                <w:szCs w:val="16"/>
                <w:color w:val="auto"/>
              </w:rPr>
            </w:pPr>
          </w:p>
        </w:tc>
        <w:tc>
          <w:tcPr>
            <w:tcW w:w="56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r>
      <w:tr>
        <w:trPr>
          <w:trHeight w:val="162"/>
        </w:trPr>
        <w:tc>
          <w:tcPr>
            <w:tcW w:w="3840" w:type="dxa"/>
            <w:vAlign w:val="bottom"/>
            <w:shd w:val="clear" w:color="auto" w:fill="53C072"/>
          </w:tcPr>
          <w:p>
            <w:pPr>
              <w:spacing w:after="0"/>
              <w:rPr>
                <w:sz w:val="14"/>
                <w:szCs w:val="14"/>
                <w:color w:val="auto"/>
              </w:rPr>
            </w:pPr>
          </w:p>
        </w:tc>
        <w:tc>
          <w:tcPr>
            <w:tcW w:w="26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Paid in Cash</w:t>
            </w:r>
          </w:p>
        </w:tc>
        <w:tc>
          <w:tcPr>
            <w:tcW w:w="160" w:type="dxa"/>
            <w:vAlign w:val="bottom"/>
            <w:shd w:val="clear" w:color="auto" w:fill="53C072"/>
          </w:tcPr>
          <w:p>
            <w:pPr>
              <w:spacing w:after="0"/>
              <w:rPr>
                <w:sz w:val="14"/>
                <w:szCs w:val="14"/>
                <w:color w:val="auto"/>
              </w:rPr>
            </w:pPr>
          </w:p>
        </w:tc>
        <w:tc>
          <w:tcPr>
            <w:tcW w:w="1080" w:type="dxa"/>
            <w:vAlign w:val="bottom"/>
            <w:gridSpan w:val="2"/>
            <w:shd w:val="clear" w:color="auto" w:fill="53C072"/>
          </w:tcPr>
          <w:p>
            <w:pPr>
              <w:ind w:left="100"/>
              <w:spacing w:after="0"/>
              <w:rPr>
                <w:sz w:val="20"/>
                <w:szCs w:val="20"/>
                <w:color w:val="auto"/>
              </w:rPr>
            </w:pPr>
            <w:r>
              <w:rPr>
                <w:rFonts w:ascii="Arial" w:cs="Arial" w:eastAsia="Arial" w:hAnsi="Arial"/>
                <w:sz w:val="14"/>
                <w:szCs w:val="14"/>
                <w:b w:val="1"/>
                <w:bCs w:val="1"/>
                <w:color w:val="FEFEFE"/>
              </w:rPr>
              <w:t>Stock Awards</w:t>
            </w:r>
          </w:p>
        </w:tc>
        <w:tc>
          <w:tcPr>
            <w:tcW w:w="14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Total</w:t>
            </w:r>
          </w:p>
        </w:tc>
      </w:tr>
      <w:tr>
        <w:trPr>
          <w:trHeight w:val="189"/>
        </w:trPr>
        <w:tc>
          <w:tcPr>
            <w:tcW w:w="384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Name</w:t>
            </w:r>
          </w:p>
        </w:tc>
        <w:tc>
          <w:tcPr>
            <w:tcW w:w="2120" w:type="dxa"/>
            <w:vAlign w:val="bottom"/>
            <w:shd w:val="clear" w:color="auto" w:fill="53C072"/>
          </w:tcPr>
          <w:p>
            <w:pPr>
              <w:spacing w:after="0"/>
              <w:rPr>
                <w:sz w:val="16"/>
                <w:szCs w:val="16"/>
                <w:color w:val="auto"/>
              </w:rPr>
            </w:pPr>
          </w:p>
        </w:tc>
        <w:tc>
          <w:tcPr>
            <w:tcW w:w="720" w:type="dxa"/>
            <w:vAlign w:val="bottom"/>
            <w:gridSpan w:val="2"/>
            <w:shd w:val="clear" w:color="auto" w:fill="53C072"/>
          </w:tcPr>
          <w:p>
            <w:pPr>
              <w:jc w:val="right"/>
              <w:ind w:right="32"/>
              <w:spacing w:after="0"/>
              <w:rPr>
                <w:sz w:val="20"/>
                <w:szCs w:val="20"/>
                <w:color w:val="auto"/>
              </w:rPr>
            </w:pPr>
            <w:r>
              <w:rPr>
                <w:rFonts w:ascii="Arial" w:cs="Arial" w:eastAsia="Arial" w:hAnsi="Arial"/>
                <w:sz w:val="14"/>
                <w:szCs w:val="14"/>
                <w:b w:val="1"/>
                <w:bCs w:val="1"/>
                <w:color w:val="FEFEFE"/>
              </w:rPr>
              <w:t>($)</w:t>
            </w:r>
          </w:p>
        </w:tc>
        <w:tc>
          <w:tcPr>
            <w:tcW w:w="520" w:type="dxa"/>
            <w:vAlign w:val="bottom"/>
            <w:shd w:val="clear" w:color="auto" w:fill="53C072"/>
          </w:tcPr>
          <w:p>
            <w:pPr>
              <w:spacing w:after="0"/>
              <w:rPr>
                <w:sz w:val="16"/>
                <w:szCs w:val="16"/>
                <w:color w:val="auto"/>
              </w:rPr>
            </w:pPr>
          </w:p>
        </w:tc>
        <w:tc>
          <w:tcPr>
            <w:tcW w:w="5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w:t>
            </w:r>
          </w:p>
        </w:tc>
      </w:tr>
      <w:tr>
        <w:trPr>
          <w:trHeight w:val="230"/>
        </w:trPr>
        <w:tc>
          <w:tcPr>
            <w:tcW w:w="3840" w:type="dxa"/>
            <w:vAlign w:val="bottom"/>
          </w:tcPr>
          <w:p>
            <w:pPr>
              <w:ind w:left="6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(a)</w:t>
            </w:r>
          </w:p>
        </w:tc>
        <w:tc>
          <w:tcPr>
            <w:tcW w:w="2120" w:type="dxa"/>
            <w:vAlign w:val="bottom"/>
          </w:tcPr>
          <w:p>
            <w:pPr>
              <w:ind w:left="18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4"/>
                <w:szCs w:val="14"/>
                <w:b w:val="1"/>
                <w:bCs w:val="1"/>
                <w:color w:val="auto"/>
              </w:rPr>
              <w:t>(h)</w:t>
            </w:r>
          </w:p>
        </w:tc>
      </w:tr>
      <w:tr>
        <w:trPr>
          <w:trHeight w:val="257"/>
        </w:trPr>
        <w:tc>
          <w:tcPr>
            <w:tcW w:w="3840" w:type="dxa"/>
            <w:vAlign w:val="bottom"/>
            <w:shd w:val="clear" w:color="auto" w:fill="CBECD5"/>
          </w:tcPr>
          <w:p>
            <w:pPr>
              <w:ind w:left="60"/>
              <w:spacing w:after="0"/>
              <w:rPr>
                <w:sz w:val="20"/>
                <w:szCs w:val="20"/>
                <w:color w:val="auto"/>
              </w:rPr>
            </w:pPr>
            <w:r>
              <w:rPr>
                <w:rFonts w:ascii="Arial" w:cs="Arial" w:eastAsia="Arial" w:hAnsi="Arial"/>
                <w:sz w:val="18"/>
                <w:szCs w:val="18"/>
                <w:color w:val="auto"/>
              </w:rPr>
              <w:t>​Rodney C. Adkins</w:t>
            </w:r>
          </w:p>
        </w:tc>
        <w:tc>
          <w:tcPr>
            <w:tcW w:w="2680" w:type="dxa"/>
            <w:vAlign w:val="bottom"/>
            <w:gridSpan w:val="2"/>
            <w:shd w:val="clear" w:color="auto" w:fill="CBECD5"/>
          </w:tcPr>
          <w:p>
            <w:pPr>
              <w:ind w:left="1820"/>
              <w:spacing w:after="0"/>
              <w:rPr>
                <w:sz w:val="20"/>
                <w:szCs w:val="20"/>
                <w:color w:val="auto"/>
              </w:rPr>
            </w:pPr>
            <w:r>
              <w:rPr>
                <w:rFonts w:ascii="Arial" w:cs="Arial" w:eastAsia="Arial" w:hAnsi="Arial"/>
                <w:sz w:val="18"/>
                <w:szCs w:val="18"/>
                <w:color w:val="auto"/>
              </w:rPr>
              <w:t>​280,000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460,000</w:t>
            </w:r>
          </w:p>
        </w:tc>
      </w:tr>
      <w:tr>
        <w:trPr>
          <w:trHeight w:val="256"/>
        </w:trPr>
        <w:tc>
          <w:tcPr>
            <w:tcW w:w="3840" w:type="dxa"/>
            <w:vAlign w:val="bottom"/>
          </w:tcPr>
          <w:p>
            <w:pPr>
              <w:ind w:left="60"/>
              <w:spacing w:after="0"/>
              <w:rPr>
                <w:sz w:val="20"/>
                <w:szCs w:val="20"/>
                <w:color w:val="auto"/>
              </w:rPr>
            </w:pPr>
            <w:r>
              <w:rPr>
                <w:rFonts w:ascii="Arial" w:cs="Arial" w:eastAsia="Arial" w:hAnsi="Arial"/>
                <w:sz w:val="18"/>
                <w:szCs w:val="18"/>
                <w:color w:val="auto"/>
              </w:rPr>
              <w:t>​Carlo Bozotti</w:t>
            </w:r>
          </w:p>
        </w:tc>
        <w:tc>
          <w:tcPr>
            <w:tcW w:w="2680" w:type="dxa"/>
            <w:vAlign w:val="bottom"/>
            <w:gridSpan w:val="2"/>
          </w:tcPr>
          <w:p>
            <w:pPr>
              <w:ind w:left="1820"/>
              <w:spacing w:after="0"/>
              <w:rPr>
                <w:sz w:val="20"/>
                <w:szCs w:val="20"/>
                <w:color w:val="auto"/>
              </w:rPr>
            </w:pPr>
            <w:r>
              <w:rPr>
                <w:rFonts w:ascii="Arial" w:cs="Arial" w:eastAsia="Arial" w:hAnsi="Arial"/>
                <w:sz w:val="18"/>
                <w:szCs w:val="18"/>
                <w:color w:val="auto"/>
              </w:rPr>
              <w:t>​125,000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305,000</w:t>
            </w:r>
          </w:p>
        </w:tc>
      </w:tr>
      <w:tr>
        <w:trPr>
          <w:trHeight w:val="257"/>
        </w:trPr>
        <w:tc>
          <w:tcPr>
            <w:tcW w:w="3840" w:type="dxa"/>
            <w:vAlign w:val="bottom"/>
            <w:shd w:val="clear" w:color="auto" w:fill="CBECD5"/>
          </w:tcPr>
          <w:p>
            <w:pPr>
              <w:ind w:left="60"/>
              <w:spacing w:after="0"/>
              <w:rPr>
                <w:sz w:val="20"/>
                <w:szCs w:val="20"/>
                <w:color w:val="auto"/>
              </w:rPr>
            </w:pPr>
            <w:r>
              <w:rPr>
                <w:rFonts w:ascii="Arial" w:cs="Arial" w:eastAsia="Arial" w:hAnsi="Arial"/>
                <w:sz w:val="18"/>
                <w:szCs w:val="18"/>
                <w:color w:val="auto"/>
              </w:rPr>
              <w:t>​Brenda L. Freeman</w:t>
            </w:r>
          </w:p>
        </w:tc>
        <w:tc>
          <w:tcPr>
            <w:tcW w:w="2680" w:type="dxa"/>
            <w:vAlign w:val="bottom"/>
            <w:gridSpan w:val="2"/>
            <w:shd w:val="clear" w:color="auto" w:fill="CBECD5"/>
          </w:tcPr>
          <w:p>
            <w:pPr>
              <w:ind w:left="1820"/>
              <w:spacing w:after="0"/>
              <w:rPr>
                <w:sz w:val="20"/>
                <w:szCs w:val="20"/>
                <w:color w:val="auto"/>
              </w:rPr>
            </w:pPr>
            <w:r>
              <w:rPr>
                <w:rFonts w:ascii="Arial" w:cs="Arial" w:eastAsia="Arial" w:hAnsi="Arial"/>
                <w:sz w:val="18"/>
                <w:szCs w:val="18"/>
                <w:color w:val="auto"/>
              </w:rPr>
              <w:t>​107,500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287,500</w:t>
            </w:r>
          </w:p>
        </w:tc>
      </w:tr>
      <w:tr>
        <w:trPr>
          <w:trHeight w:val="257"/>
        </w:trPr>
        <w:tc>
          <w:tcPr>
            <w:tcW w:w="3840" w:type="dxa"/>
            <w:vAlign w:val="bottom"/>
          </w:tcPr>
          <w:p>
            <w:pPr>
              <w:ind w:left="60"/>
              <w:spacing w:after="0"/>
              <w:rPr>
                <w:sz w:val="20"/>
                <w:szCs w:val="20"/>
                <w:color w:val="auto"/>
              </w:rPr>
            </w:pPr>
            <w:r>
              <w:rPr>
                <w:rFonts w:ascii="Arial" w:cs="Arial" w:eastAsia="Arial" w:hAnsi="Arial"/>
                <w:sz w:val="18"/>
                <w:szCs w:val="18"/>
                <w:color w:val="auto"/>
              </w:rPr>
              <w:t>​Jo Ann Jenkins</w:t>
            </w:r>
          </w:p>
        </w:tc>
        <w:tc>
          <w:tcPr>
            <w:tcW w:w="2680" w:type="dxa"/>
            <w:vAlign w:val="bottom"/>
            <w:gridSpan w:val="2"/>
          </w:tcPr>
          <w:p>
            <w:pPr>
              <w:ind w:left="1820"/>
              <w:spacing w:after="0"/>
              <w:rPr>
                <w:sz w:val="20"/>
                <w:szCs w:val="20"/>
                <w:color w:val="auto"/>
              </w:rPr>
            </w:pPr>
            <w:r>
              <w:rPr>
                <w:rFonts w:ascii="Arial" w:cs="Arial" w:eastAsia="Arial" w:hAnsi="Arial"/>
                <w:sz w:val="18"/>
                <w:szCs w:val="18"/>
                <w:color w:val="auto"/>
              </w:rPr>
              <w:t>​100,000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280,000</w:t>
            </w:r>
          </w:p>
        </w:tc>
      </w:tr>
      <w:tr>
        <w:trPr>
          <w:trHeight w:val="257"/>
        </w:trPr>
        <w:tc>
          <w:tcPr>
            <w:tcW w:w="3840" w:type="dxa"/>
            <w:vAlign w:val="bottom"/>
            <w:shd w:val="clear" w:color="auto" w:fill="CBECD5"/>
          </w:tcPr>
          <w:p>
            <w:pPr>
              <w:ind w:left="60"/>
              <w:spacing w:after="0"/>
              <w:rPr>
                <w:sz w:val="20"/>
                <w:szCs w:val="20"/>
                <w:color w:val="auto"/>
              </w:rPr>
            </w:pPr>
            <w:r>
              <w:rPr>
                <w:rFonts w:ascii="Arial" w:cs="Arial" w:eastAsia="Arial" w:hAnsi="Arial"/>
                <w:sz w:val="18"/>
                <w:szCs w:val="18"/>
                <w:color w:val="auto"/>
              </w:rPr>
              <w:t>​Oleg Khaykin</w:t>
            </w:r>
          </w:p>
        </w:tc>
        <w:tc>
          <w:tcPr>
            <w:tcW w:w="2680" w:type="dxa"/>
            <w:vAlign w:val="bottom"/>
            <w:gridSpan w:val="2"/>
            <w:shd w:val="clear" w:color="auto" w:fill="CBECD5"/>
          </w:tcPr>
          <w:p>
            <w:pPr>
              <w:ind w:left="1820"/>
              <w:spacing w:after="0"/>
              <w:rPr>
                <w:sz w:val="20"/>
                <w:szCs w:val="20"/>
                <w:color w:val="auto"/>
              </w:rPr>
            </w:pPr>
            <w:r>
              <w:rPr>
                <w:rFonts w:ascii="Arial" w:cs="Arial" w:eastAsia="Arial" w:hAnsi="Arial"/>
                <w:sz w:val="18"/>
                <w:szCs w:val="18"/>
                <w:color w:val="auto"/>
              </w:rPr>
              <w:t>​122,500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302,500</w:t>
            </w:r>
          </w:p>
        </w:tc>
      </w:tr>
      <w:tr>
        <w:trPr>
          <w:trHeight w:val="257"/>
        </w:trPr>
        <w:tc>
          <w:tcPr>
            <w:tcW w:w="3840" w:type="dxa"/>
            <w:vAlign w:val="bottom"/>
          </w:tcPr>
          <w:p>
            <w:pPr>
              <w:ind w:left="60"/>
              <w:spacing w:after="0"/>
              <w:rPr>
                <w:sz w:val="20"/>
                <w:szCs w:val="20"/>
                <w:color w:val="auto"/>
              </w:rPr>
            </w:pPr>
            <w:r>
              <w:rPr>
                <w:rFonts w:ascii="Arial" w:cs="Arial" w:eastAsia="Arial" w:hAnsi="Arial"/>
                <w:sz w:val="18"/>
                <w:szCs w:val="18"/>
                <w:color w:val="auto"/>
              </w:rPr>
              <w:t>​James A. Lawrence</w:t>
            </w:r>
          </w:p>
        </w:tc>
        <w:tc>
          <w:tcPr>
            <w:tcW w:w="2680" w:type="dxa"/>
            <w:vAlign w:val="bottom"/>
            <w:gridSpan w:val="2"/>
          </w:tcPr>
          <w:p>
            <w:pPr>
              <w:ind w:left="1820"/>
              <w:spacing w:after="0"/>
              <w:rPr>
                <w:sz w:val="20"/>
                <w:szCs w:val="20"/>
                <w:color w:val="auto"/>
              </w:rPr>
            </w:pPr>
            <w:r>
              <w:rPr>
                <w:rFonts w:ascii="Arial" w:cs="Arial" w:eastAsia="Arial" w:hAnsi="Arial"/>
                <w:sz w:val="18"/>
                <w:szCs w:val="18"/>
                <w:color w:val="auto"/>
              </w:rPr>
              <w:t>​120,000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300,000</w:t>
            </w:r>
          </w:p>
        </w:tc>
      </w:tr>
      <w:tr>
        <w:trPr>
          <w:trHeight w:val="256"/>
        </w:trPr>
        <w:tc>
          <w:tcPr>
            <w:tcW w:w="3840" w:type="dxa"/>
            <w:vAlign w:val="bottom"/>
            <w:shd w:val="clear" w:color="auto" w:fill="CBECD5"/>
          </w:tcPr>
          <w:p>
            <w:pPr>
              <w:ind w:left="60"/>
              <w:spacing w:after="0"/>
              <w:rPr>
                <w:sz w:val="20"/>
                <w:szCs w:val="20"/>
                <w:color w:val="auto"/>
              </w:rPr>
            </w:pPr>
            <w:r>
              <w:rPr>
                <w:rFonts w:ascii="Arial" w:cs="Arial" w:eastAsia="Arial" w:hAnsi="Arial"/>
                <w:sz w:val="18"/>
                <w:szCs w:val="18"/>
                <w:color w:val="auto"/>
              </w:rPr>
              <w:t>​Ernest E. Maddock</w:t>
            </w:r>
          </w:p>
        </w:tc>
        <w:tc>
          <w:tcPr>
            <w:tcW w:w="2680" w:type="dxa"/>
            <w:vAlign w:val="bottom"/>
            <w:gridSpan w:val="2"/>
            <w:shd w:val="clear" w:color="auto" w:fill="CBECD5"/>
          </w:tcPr>
          <w:p>
            <w:pPr>
              <w:ind w:left="1820"/>
              <w:spacing w:after="0"/>
              <w:rPr>
                <w:sz w:val="20"/>
                <w:szCs w:val="20"/>
                <w:color w:val="auto"/>
              </w:rPr>
            </w:pPr>
            <w:r>
              <w:rPr>
                <w:rFonts w:ascii="Arial" w:cs="Arial" w:eastAsia="Arial" w:hAnsi="Arial"/>
                <w:sz w:val="18"/>
                <w:szCs w:val="18"/>
                <w:color w:val="auto"/>
              </w:rPr>
              <w:t>​107,500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287,500</w:t>
            </w:r>
          </w:p>
        </w:tc>
      </w:tr>
      <w:tr>
        <w:trPr>
          <w:trHeight w:val="257"/>
        </w:trPr>
        <w:tc>
          <w:tcPr>
            <w:tcW w:w="3840" w:type="dxa"/>
            <w:vAlign w:val="bottom"/>
          </w:tcPr>
          <w:p>
            <w:pPr>
              <w:ind w:left="60"/>
              <w:spacing w:after="0"/>
              <w:rPr>
                <w:sz w:val="20"/>
                <w:szCs w:val="20"/>
                <w:color w:val="auto"/>
              </w:rPr>
            </w:pPr>
            <w:r>
              <w:rPr>
                <w:rFonts w:ascii="Arial" w:cs="Arial" w:eastAsia="Arial" w:hAnsi="Arial"/>
                <w:sz w:val="18"/>
                <w:szCs w:val="18"/>
                <w:color w:val="auto"/>
              </w:rPr>
              <w:t>​Avid Modjtabai</w:t>
            </w:r>
          </w:p>
        </w:tc>
        <w:tc>
          <w:tcPr>
            <w:tcW w:w="2680" w:type="dxa"/>
            <w:vAlign w:val="bottom"/>
            <w:gridSpan w:val="2"/>
          </w:tcPr>
          <w:p>
            <w:pPr>
              <w:ind w:left="1820"/>
              <w:spacing w:after="0"/>
              <w:rPr>
                <w:sz w:val="20"/>
                <w:szCs w:val="20"/>
                <w:color w:val="auto"/>
              </w:rPr>
            </w:pPr>
            <w:r>
              <w:rPr>
                <w:rFonts w:ascii="Arial" w:cs="Arial" w:eastAsia="Arial" w:hAnsi="Arial"/>
                <w:sz w:val="18"/>
                <w:szCs w:val="18"/>
                <w:color w:val="auto"/>
              </w:rPr>
              <w:t>​115,000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295,000</w:t>
            </w:r>
          </w:p>
        </w:tc>
      </w:tr>
      <w:tr>
        <w:trPr>
          <w:trHeight w:val="257"/>
        </w:trPr>
        <w:tc>
          <w:tcPr>
            <w:tcW w:w="3840" w:type="dxa"/>
            <w:vAlign w:val="bottom"/>
            <w:shd w:val="clear" w:color="auto" w:fill="CBECD5"/>
          </w:tcPr>
          <w:p>
            <w:pPr>
              <w:ind w:left="60"/>
              <w:spacing w:after="0"/>
              <w:rPr>
                <w:sz w:val="20"/>
                <w:szCs w:val="20"/>
                <w:color w:val="auto"/>
              </w:rPr>
            </w:pPr>
            <w:r>
              <w:rPr>
                <w:rFonts w:ascii="Arial" w:cs="Arial" w:eastAsia="Arial" w:hAnsi="Arial"/>
                <w:sz w:val="18"/>
                <w:szCs w:val="18"/>
                <w:color w:val="auto"/>
              </w:rPr>
              <w:t>​Adalio T. Sanchez</w:t>
            </w:r>
          </w:p>
        </w:tc>
        <w:tc>
          <w:tcPr>
            <w:tcW w:w="2680" w:type="dxa"/>
            <w:vAlign w:val="bottom"/>
            <w:gridSpan w:val="2"/>
            <w:shd w:val="clear" w:color="auto" w:fill="CBECD5"/>
          </w:tcPr>
          <w:p>
            <w:pPr>
              <w:ind w:left="182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BECD5"/>
          </w:tcPr>
          <w:p>
            <w:pPr>
              <w:ind w:left="240"/>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280,000</w:t>
            </w:r>
          </w:p>
        </w:tc>
      </w:tr>
      <w:tr>
        <w:trPr>
          <w:trHeight w:val="318"/>
        </w:trPr>
        <w:tc>
          <w:tcPr>
            <w:tcW w:w="3840" w:type="dxa"/>
            <w:vAlign w:val="bottom"/>
            <w:tcBorders>
              <w:bottom w:val="single" w:sz="8" w:color="53C072"/>
            </w:tcBorders>
          </w:tcPr>
          <w:p>
            <w:pPr>
              <w:ind w:left="60"/>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H. Schumann, III</w:t>
            </w:r>
            <w:r>
              <w:rPr>
                <w:rFonts w:ascii="Arial" w:cs="Arial" w:eastAsia="Arial" w:hAnsi="Arial"/>
                <w:sz w:val="23"/>
                <w:szCs w:val="23"/>
                <w:color w:val="auto"/>
                <w:vertAlign w:val="superscript"/>
              </w:rPr>
              <w:t>(1)</w:t>
            </w:r>
          </w:p>
        </w:tc>
        <w:tc>
          <w:tcPr>
            <w:tcW w:w="2680" w:type="dxa"/>
            <w:vAlign w:val="bottom"/>
            <w:tcBorders>
              <w:bottom w:val="single" w:sz="8" w:color="53C072"/>
            </w:tcBorders>
            <w:gridSpan w:val="2"/>
          </w:tcPr>
          <w:p>
            <w:pPr>
              <w:ind w:left="1820"/>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30,625</w:t>
            </w:r>
          </w:p>
        </w:tc>
        <w:tc>
          <w:tcPr>
            <w:tcW w:w="1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53C072"/>
            </w:tcBorders>
          </w:tcPr>
          <w:p>
            <w:pPr>
              <w:ind w:lef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53C072"/>
            </w:tcBorders>
          </w:tcPr>
          <w:p>
            <w:pPr>
              <w:jc w:val="right"/>
              <w:ind w:right="6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30,625</w:t>
            </w:r>
          </w:p>
        </w:tc>
      </w:tr>
    </w:tbl>
    <w:p>
      <w:pPr>
        <w:spacing w:after="0" w:line="55" w:lineRule="exact"/>
        <w:rPr>
          <w:sz w:val="20"/>
          <w:szCs w:val="20"/>
          <w:color w:val="auto"/>
        </w:rPr>
      </w:pPr>
    </w:p>
    <w:p>
      <w:pPr>
        <w:ind w:left="1820" w:right="299" w:hanging="722"/>
        <w:spacing w:after="0" w:line="275"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Schumann received one quarterly cash retainer payment prior to his retirement from the Board on November 17, 2022.</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PROCESS FOR REVIEWING NON-EMPLOYEE DIRECTOR COMPENSATION</w:t>
      </w:r>
    </w:p>
    <w:p>
      <w:pPr>
        <w:spacing w:after="0" w:line="158" w:lineRule="exact"/>
        <w:rPr>
          <w:sz w:val="20"/>
          <w:szCs w:val="20"/>
          <w:color w:val="auto"/>
        </w:rPr>
      </w:pPr>
    </w:p>
    <w:p>
      <w:pPr>
        <w:ind w:left="1000" w:right="359"/>
        <w:spacing w:after="0" w:line="256"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Compensation and Leadership Development Committee, and any changes are generally made effective as of January 1 of the following calendar year. Historically, it has been the practice every two years for the committee to perform a comprehensive benchmarking review of the program, including each element of the program as well as the compensation in total.</w:t>
      </w:r>
    </w:p>
    <w:p>
      <w:pPr>
        <w:spacing w:after="0" w:line="125" w:lineRule="exact"/>
        <w:rPr>
          <w:sz w:val="20"/>
          <w:szCs w:val="20"/>
          <w:color w:val="auto"/>
        </w:rPr>
      </w:pPr>
    </w:p>
    <w:p>
      <w:pPr>
        <w:ind w:left="1000" w:right="259"/>
        <w:spacing w:after="0" w:line="255" w:lineRule="auto"/>
        <w:rPr>
          <w:sz w:val="20"/>
          <w:szCs w:val="20"/>
          <w:color w:val="auto"/>
        </w:rPr>
      </w:pPr>
      <w:r>
        <w:rPr>
          <w:rFonts w:ascii="Arial" w:cs="Arial" w:eastAsia="Arial" w:hAnsi="Arial"/>
          <w:sz w:val="18"/>
          <w:szCs w:val="18"/>
          <w:color w:val="auto"/>
        </w:rPr>
        <w:t>In August 2022, the committee reviewed the results of a benchmarking study of non-employee Director compensation conducted by Meridian, the independent compensation consultant. The study analyzed market practices among the same peer group used by the committee for purposes of benchmarking executive compensation, as well as a summary of practices from a sampling of the Fortune 250. Based on this review, the committee recommended to the Board changes to non-employee Director compensation for fiscal 2023, which the Board approved effective January 2023, as noted in the above table.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DEFERRED COMPENSATION PLAN</w:t>
      </w:r>
    </w:p>
    <w:p>
      <w:pPr>
        <w:spacing w:after="0" w:line="158" w:lineRule="exact"/>
        <w:rPr>
          <w:sz w:val="20"/>
          <w:szCs w:val="20"/>
          <w:color w:val="auto"/>
        </w:rPr>
      </w:pPr>
    </w:p>
    <w:p>
      <w:pPr>
        <w:ind w:left="1000" w:right="179"/>
        <w:spacing w:after="0" w:line="275" w:lineRule="auto"/>
        <w:rPr>
          <w:sz w:val="20"/>
          <w:szCs w:val="20"/>
          <w:color w:val="auto"/>
        </w:rPr>
      </w:pPr>
      <w:r>
        <w:rPr>
          <w:rFonts w:ascii="Arial" w:cs="Arial" w:eastAsia="Arial" w:hAnsi="Arial"/>
          <w:sz w:val="17"/>
          <w:szCs w:val="17"/>
          <w:color w:val="auto"/>
        </w:rPr>
        <w:t>Under the Avnet Deferred Compensation Plan for Outside Directors, a non-employee Director may elect to defer all or a portion of annual equity compensation and receive phantom stock units instead. Each phantom stock unit is the economic equivalent of one share of Common Stock and is settled in Common Stock on a one-for-one basis with fractional shares payable in cash. Phantom stock units will be settled when the Director no longer serves on the Board or upon a change of control of the Company, as provided under the plan.</w:t>
      </w:r>
    </w:p>
    <w:p>
      <w:pPr>
        <w:spacing w:after="0" w:line="109" w:lineRule="exact"/>
        <w:rPr>
          <w:sz w:val="20"/>
          <w:szCs w:val="20"/>
          <w:color w:val="auto"/>
        </w:rPr>
      </w:pPr>
    </w:p>
    <w:p>
      <w:pPr>
        <w:ind w:left="1000" w:right="259"/>
        <w:spacing w:after="0" w:line="258" w:lineRule="auto"/>
        <w:rPr>
          <w:sz w:val="20"/>
          <w:szCs w:val="20"/>
          <w:color w:val="auto"/>
        </w:rPr>
      </w:pPr>
      <w:r>
        <w:rPr>
          <w:rFonts w:ascii="Arial" w:cs="Arial" w:eastAsia="Arial" w:hAnsi="Arial"/>
          <w:sz w:val="18"/>
          <w:szCs w:val="18"/>
          <w:color w:val="auto"/>
        </w:rPr>
        <w:t>The number of phantom stock units is determined by dividing the grant date fair value of the annual equity compensation by the average of the high and low price of the Common Stock on the national stock exchange constituting the primary market for the Common Stock on the first business day in January of each year and then multiplying by the percentage of the equity compensation deferred.</w:t>
      </w:r>
    </w:p>
    <w:p>
      <w:pPr>
        <w:spacing w:after="0" w:line="122" w:lineRule="exact"/>
        <w:rPr>
          <w:sz w:val="20"/>
          <w:szCs w:val="20"/>
          <w:color w:val="auto"/>
        </w:rPr>
      </w:pPr>
    </w:p>
    <w:p>
      <w:pPr>
        <w:ind w:left="1000" w:right="319"/>
        <w:spacing w:after="0" w:line="256" w:lineRule="auto"/>
        <w:rPr>
          <w:sz w:val="20"/>
          <w:szCs w:val="20"/>
          <w:color w:val="auto"/>
        </w:rPr>
      </w:pPr>
      <w:r>
        <w:rPr>
          <w:rFonts w:ascii="Arial" w:cs="Arial" w:eastAsia="Arial" w:hAnsi="Arial"/>
          <w:sz w:val="18"/>
          <w:szCs w:val="18"/>
          <w:color w:val="auto"/>
        </w:rPr>
        <w:t>In addition, under the plan, a non-employee Director may elect to defer all or a portion of cash compensation either as cash or phantom stock units. Cash compensation deferred as cash is credited to a cash account established under the plan for the Director at the beginning of each quarter and earns monthly interest at a rate corresponding to the interest rate on U.S. Treasury 10-year notes on the first day of the month. During fiscal</w:t>
      </w:r>
    </w:p>
    <w:p>
      <w:pPr>
        <w:sectPr>
          <w:pgSz w:w="11900" w:h="16838" w:orient="portrait"/>
          <w:cols w:equalWidth="0" w:num="1">
            <w:col w:w="9879"/>
          </w:cols>
          <w:pgMar w:left="580" w:top="90" w:right="1440" w:bottom="1440" w:gutter="0" w:footer="0" w:header="0"/>
        </w:sectPr>
      </w:pPr>
    </w:p>
    <w:p>
      <w:pPr>
        <w:spacing w:after="0" w:line="13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5"/>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319"/>
        <w:spacing w:after="0" w:line="306" w:lineRule="auto"/>
        <w:rPr>
          <w:sz w:val="20"/>
          <w:szCs w:val="20"/>
          <w:color w:val="auto"/>
        </w:rPr>
      </w:pPr>
      <w:r>
        <w:rPr>
          <w:rFonts w:ascii="Arial" w:cs="Arial" w:eastAsia="Arial" w:hAnsi="Arial"/>
          <w:sz w:val="17"/>
          <w:szCs w:val="17"/>
          <w:color w:val="auto"/>
        </w:rPr>
        <w:t>2023, there were no “above market” earnings. The cash account is payable to the Director when the Director no longer serves on the Board or upon a change of control of the Company, as provided under the plan.</w:t>
      </w:r>
    </w:p>
    <w:p>
      <w:pPr>
        <w:spacing w:after="0" w:line="82"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Except in connection with a change of control, the settlement of phantom stock units with Common Stock and payment of the cash account in cash will be made in ten annual installments unless the Director elects to receive in a single lump sum or annual installments not exceeding ten, with such election made within the timeframes required by the plan. In connection with a change of control, the settlement and payment will be made in a single lump sum.</w:t>
      </w:r>
    </w:p>
    <w:p>
      <w:pPr>
        <w:spacing w:after="0" w:line="1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a Director dies, any remaining payments shall be made to the Director’s designated beneficiary.</w:t>
      </w:r>
    </w:p>
    <w:p>
      <w:pPr>
        <w:spacing w:after="0" w:line="20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D&amp;O INSURANCE</w:t>
      </w:r>
    </w:p>
    <w:p>
      <w:pPr>
        <w:spacing w:after="0" w:line="158" w:lineRule="exact"/>
        <w:rPr>
          <w:sz w:val="20"/>
          <w:szCs w:val="20"/>
          <w:color w:val="auto"/>
        </w:rPr>
      </w:pPr>
    </w:p>
    <w:p>
      <w:pPr>
        <w:ind w:left="1000" w:right="139"/>
        <w:spacing w:after="0" w:line="269" w:lineRule="auto"/>
        <w:rPr>
          <w:sz w:val="20"/>
          <w:szCs w:val="20"/>
          <w:color w:val="auto"/>
        </w:rPr>
      </w:pPr>
      <w:r>
        <w:rPr>
          <w:rFonts w:ascii="Arial" w:cs="Arial" w:eastAsia="Arial" w:hAnsi="Arial"/>
          <w:sz w:val="17"/>
          <w:szCs w:val="17"/>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Travelers Casualty and Surety Company of America, Endurance American Insurance Company, and Lloyd’s of London. The coverage was renewed effective August 1, 2023, for a one-year term. The total premium paid for both primary and excess insurance was $919,595. No claims were made or sums paid out under such insurance policies during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30     </w:t>
      </w:r>
      <w:r>
        <w:rPr>
          <w:sz w:val="1"/>
          <w:szCs w:val="1"/>
          <w:color w:val="auto"/>
        </w:rPr>
        <w:drawing>
          <wp:inline distT="0" distB="0" distL="0" distR="0">
            <wp:extent cx="1242695" cy="24003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Arial" w:cs="Arial" w:eastAsia="Arial" w:hAnsi="Arial"/>
          <w:sz w:val="40"/>
          <w:szCs w:val="40"/>
          <w:b w:val="1"/>
          <w:bCs w:val="1"/>
          <w:color w:val="FEFEFE"/>
        </w:rPr>
        <w:t>EXECUTIVE OFFICERS OF THE COMPANY</w:t>
      </w:r>
      <w:r>
        <w:rPr>
          <w:rFonts w:ascii="Arial" w:cs="Arial" w:eastAsia="Arial" w:hAnsi="Arial"/>
          <w:sz w:val="17"/>
          <w:szCs w:val="17"/>
          <w:color w:val="FEFEFE"/>
        </w:rPr>
        <w:t>​</w:t>
      </w:r>
    </w:p>
    <w:p>
      <w:pPr>
        <w:spacing w:after="0" w:line="354" w:lineRule="exact"/>
        <w:rPr>
          <w:sz w:val="20"/>
          <w:szCs w:val="20"/>
          <w:color w:val="auto"/>
        </w:rPr>
      </w:pPr>
    </w:p>
    <w:p>
      <w:pPr>
        <w:jc w:val="both"/>
        <w:ind w:left="1000" w:right="219"/>
        <w:spacing w:after="0" w:line="270" w:lineRule="auto"/>
        <w:rPr>
          <w:sz w:val="20"/>
          <w:szCs w:val="20"/>
          <w:color w:val="auto"/>
        </w:rPr>
      </w:pPr>
      <w:r>
        <w:rPr>
          <w:rFonts w:ascii="Arial" w:cs="Arial" w:eastAsia="Arial" w:hAnsi="Arial"/>
          <w:sz w:val="18"/>
          <w:szCs w:val="18"/>
          <w:color w:val="auto"/>
        </w:rPr>
        <w:t>Below are the names, ages, and titles of the Company’s current executive officers as of September 18, 2023, as well as a summary of their backgrounds and business experience, except that Mr. Gallagher’s biography is listed earlier under “Proposal 1 Election of Directors — Nominees”.</w:t>
      </w:r>
    </w:p>
    <w:p>
      <w:pPr>
        <w:spacing w:after="0" w:line="125" w:lineRule="exact"/>
        <w:rPr>
          <w:sz w:val="20"/>
          <w:szCs w:val="20"/>
          <w:color w:val="auto"/>
        </w:rPr>
      </w:pPr>
    </w:p>
    <w:p>
      <w:pPr>
        <w:ind w:left="1000" w:right="319"/>
        <w:spacing w:after="0" w:line="270" w:lineRule="auto"/>
        <w:rPr>
          <w:sz w:val="20"/>
          <w:szCs w:val="20"/>
          <w:color w:val="auto"/>
        </w:rPr>
      </w:pPr>
      <w:r>
        <w:rPr>
          <w:rFonts w:ascii="Arial" w:cs="Arial" w:eastAsia="Arial" w:hAnsi="Arial"/>
          <w:sz w:val="18"/>
          <w:szCs w:val="18"/>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165"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2380" w:type="dxa"/>
            <w:vAlign w:val="bottom"/>
            <w:gridSpan w:val="3"/>
            <w:shd w:val="clear" w:color="auto" w:fill="53C072"/>
          </w:tcPr>
          <w:p>
            <w:pPr>
              <w:ind w:left="12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FFFFF"/>
                <w:w w:val="98"/>
              </w:rPr>
              <w:t>Age</w:t>
            </w:r>
          </w:p>
        </w:tc>
        <w:tc>
          <w:tcPr>
            <w:tcW w:w="56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Office</w:t>
            </w:r>
          </w:p>
        </w:tc>
        <w:tc>
          <w:tcPr>
            <w:tcW w:w="140" w:type="dxa"/>
            <w:vAlign w:val="bottom"/>
            <w:shd w:val="clear" w:color="auto" w:fill="53C072"/>
          </w:tcPr>
          <w:p>
            <w:pPr>
              <w:spacing w:after="0"/>
              <w:rPr>
                <w:sz w:val="19"/>
                <w:szCs w:val="19"/>
                <w:color w:val="auto"/>
              </w:rPr>
            </w:pPr>
          </w:p>
        </w:tc>
      </w:tr>
      <w:tr>
        <w:trPr>
          <w:trHeight w:val="257"/>
        </w:trPr>
        <w:tc>
          <w:tcPr>
            <w:tcW w:w="2380" w:type="dxa"/>
            <w:vAlign w:val="bottom"/>
            <w:gridSpan w:val="3"/>
          </w:tcPr>
          <w:p>
            <w:pPr>
              <w:ind w:left="120"/>
              <w:spacing w:after="0"/>
              <w:rPr>
                <w:sz w:val="20"/>
                <w:szCs w:val="20"/>
                <w:color w:val="auto"/>
              </w:rPr>
            </w:pPr>
            <w:r>
              <w:rPr>
                <w:rFonts w:ascii="Arial" w:cs="Arial" w:eastAsia="Arial" w:hAnsi="Arial"/>
                <w:sz w:val="18"/>
                <w:szCs w:val="18"/>
                <w:color w:val="auto"/>
              </w:rPr>
              <w:t>Philip R. Gallagher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680" w:type="dxa"/>
            <w:vAlign w:val="bottom"/>
          </w:tcPr>
          <w:p>
            <w:pPr>
              <w:ind w:left="100"/>
              <w:spacing w:after="0"/>
              <w:rPr>
                <w:sz w:val="20"/>
                <w:szCs w:val="20"/>
                <w:color w:val="auto"/>
              </w:rPr>
            </w:pPr>
            <w:r>
              <w:rPr>
                <w:rFonts w:ascii="Arial" w:cs="Arial" w:eastAsia="Arial" w:hAnsi="Arial"/>
                <w:sz w:val="18"/>
                <w:szCs w:val="18"/>
                <w:color w:val="auto"/>
              </w:rPr>
              <w:t>Chief Executive Officer and President, Electronic Components</w:t>
            </w:r>
          </w:p>
        </w:tc>
        <w:tc>
          <w:tcPr>
            <w:tcW w:w="140" w:type="dxa"/>
            <w:vAlign w:val="bottom"/>
          </w:tcPr>
          <w:p>
            <w:pPr>
              <w:spacing w:after="0"/>
              <w:rPr>
                <w:sz w:val="22"/>
                <w:szCs w:val="22"/>
                <w:color w:val="auto"/>
              </w:rPr>
            </w:pPr>
          </w:p>
        </w:tc>
      </w:tr>
      <w:tr>
        <w:trPr>
          <w:trHeight w:val="257"/>
        </w:trPr>
        <w:tc>
          <w:tcPr>
            <w:tcW w:w="2380" w:type="dxa"/>
            <w:vAlign w:val="bottom"/>
            <w:gridSpan w:val="3"/>
            <w:shd w:val="clear" w:color="auto" w:fill="CBECD5"/>
          </w:tcPr>
          <w:p>
            <w:pPr>
              <w:ind w:left="120"/>
              <w:spacing w:after="0"/>
              <w:rPr>
                <w:sz w:val="20"/>
                <w:szCs w:val="20"/>
                <w:color w:val="auto"/>
              </w:rPr>
            </w:pPr>
            <w:r>
              <w:rPr>
                <w:rFonts w:ascii="Arial" w:cs="Arial" w:eastAsia="Arial" w:hAnsi="Arial"/>
                <w:sz w:val="18"/>
                <w:szCs w:val="18"/>
                <w:color w:val="auto"/>
              </w:rPr>
              <w:t>Kenneth A. Jacobson</w:t>
            </w:r>
          </w:p>
        </w:tc>
        <w:tc>
          <w:tcPr>
            <w:tcW w:w="5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89"/>
              </w:rPr>
              <w:t>45</w:t>
            </w:r>
          </w:p>
        </w:tc>
        <w:tc>
          <w:tcPr>
            <w:tcW w:w="56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Chief Financial Officer</w:t>
            </w:r>
          </w:p>
        </w:tc>
        <w:tc>
          <w:tcPr>
            <w:tcW w:w="140" w:type="dxa"/>
            <w:vAlign w:val="bottom"/>
            <w:shd w:val="clear" w:color="auto" w:fill="CBECD5"/>
          </w:tcPr>
          <w:p>
            <w:pPr>
              <w:spacing w:after="0"/>
              <w:rPr>
                <w:sz w:val="22"/>
                <w:szCs w:val="22"/>
                <w:color w:val="auto"/>
              </w:rPr>
            </w:pPr>
          </w:p>
        </w:tc>
      </w:tr>
      <w:tr>
        <w:trPr>
          <w:trHeight w:val="257"/>
        </w:trPr>
        <w:tc>
          <w:tcPr>
            <w:tcW w:w="2380" w:type="dxa"/>
            <w:vAlign w:val="bottom"/>
            <w:gridSpan w:val="3"/>
          </w:tcPr>
          <w:p>
            <w:pPr>
              <w:ind w:left="120"/>
              <w:spacing w:after="0"/>
              <w:rPr>
                <w:sz w:val="20"/>
                <w:szCs w:val="20"/>
                <w:color w:val="auto"/>
              </w:rPr>
            </w:pPr>
            <w:r>
              <w:rPr>
                <w:rFonts w:ascii="Arial" w:cs="Arial" w:eastAsia="Arial" w:hAnsi="Arial"/>
                <w:sz w:val="18"/>
                <w:szCs w:val="18"/>
                <w:color w:val="auto"/>
              </w:rPr>
              <w:t>Ken E. Arnold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680" w:type="dxa"/>
            <w:vAlign w:val="bottom"/>
          </w:tcPr>
          <w:p>
            <w:pPr>
              <w:ind w:left="100"/>
              <w:spacing w:after="0"/>
              <w:rPr>
                <w:sz w:val="20"/>
                <w:szCs w:val="20"/>
                <w:color w:val="auto"/>
              </w:rPr>
            </w:pPr>
            <w:r>
              <w:rPr>
                <w:rFonts w:ascii="Arial" w:cs="Arial" w:eastAsia="Arial" w:hAnsi="Arial"/>
                <w:sz w:val="18"/>
                <w:szCs w:val="18"/>
                <w:color w:val="auto"/>
              </w:rPr>
              <w:t>Senior Vice President and Chief People Officer</w:t>
            </w:r>
          </w:p>
        </w:tc>
        <w:tc>
          <w:tcPr>
            <w:tcW w:w="140" w:type="dxa"/>
            <w:vAlign w:val="bottom"/>
          </w:tcPr>
          <w:p>
            <w:pPr>
              <w:spacing w:after="0"/>
              <w:rPr>
                <w:sz w:val="22"/>
                <w:szCs w:val="22"/>
                <w:color w:val="auto"/>
              </w:rPr>
            </w:pPr>
          </w:p>
        </w:tc>
      </w:tr>
      <w:tr>
        <w:trPr>
          <w:trHeight w:val="256"/>
        </w:trPr>
        <w:tc>
          <w:tcPr>
            <w:tcW w:w="2380" w:type="dxa"/>
            <w:vAlign w:val="bottom"/>
            <w:gridSpan w:val="3"/>
            <w:shd w:val="clear" w:color="auto" w:fill="CBECD5"/>
          </w:tcPr>
          <w:p>
            <w:pPr>
              <w:ind w:left="120"/>
              <w:spacing w:after="0"/>
              <w:rPr>
                <w:sz w:val="20"/>
                <w:szCs w:val="20"/>
                <w:color w:val="auto"/>
              </w:rPr>
            </w:pPr>
            <w:r>
              <w:rPr>
                <w:rFonts w:ascii="Arial" w:cs="Arial" w:eastAsia="Arial" w:hAnsi="Arial"/>
                <w:sz w:val="18"/>
                <w:szCs w:val="18"/>
                <w:color w:val="auto"/>
              </w:rPr>
              <w:t>Michael R. McCoy</w:t>
            </w:r>
          </w:p>
        </w:tc>
        <w:tc>
          <w:tcPr>
            <w:tcW w:w="5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89"/>
              </w:rPr>
              <w:t>47</w:t>
            </w:r>
          </w:p>
        </w:tc>
        <w:tc>
          <w:tcPr>
            <w:tcW w:w="56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Senior Vice President, General Counsel and Chief Legal Officer</w:t>
            </w:r>
          </w:p>
        </w:tc>
        <w:tc>
          <w:tcPr>
            <w:tcW w:w="140" w:type="dxa"/>
            <w:vAlign w:val="bottom"/>
            <w:shd w:val="clear" w:color="auto" w:fill="CBECD5"/>
          </w:tcPr>
          <w:p>
            <w:pPr>
              <w:spacing w:after="0"/>
              <w:rPr>
                <w:sz w:val="22"/>
                <w:szCs w:val="22"/>
                <w:color w:val="auto"/>
              </w:rPr>
            </w:pPr>
          </w:p>
        </w:tc>
      </w:tr>
      <w:tr>
        <w:trPr>
          <w:trHeight w:val="257"/>
        </w:trPr>
        <w:tc>
          <w:tcPr>
            <w:tcW w:w="2380" w:type="dxa"/>
            <w:vAlign w:val="bottom"/>
            <w:gridSpan w:val="3"/>
          </w:tcPr>
          <w:p>
            <w:pPr>
              <w:ind w:left="120"/>
              <w:spacing w:after="0"/>
              <w:rPr>
                <w:sz w:val="20"/>
                <w:szCs w:val="20"/>
                <w:color w:val="auto"/>
              </w:rPr>
            </w:pPr>
            <w:r>
              <w:rPr>
                <w:rFonts w:ascii="Arial" w:cs="Arial" w:eastAsia="Arial" w:hAnsi="Arial"/>
                <w:sz w:val="18"/>
                <w:szCs w:val="18"/>
                <w:color w:val="auto"/>
              </w:rPr>
              <w:t>Leng Jin (Max) Chan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680" w:type="dxa"/>
            <w:vAlign w:val="bottom"/>
          </w:tcPr>
          <w:p>
            <w:pPr>
              <w:ind w:left="100"/>
              <w:spacing w:after="0"/>
              <w:rPr>
                <w:sz w:val="20"/>
                <w:szCs w:val="20"/>
                <w:color w:val="auto"/>
              </w:rPr>
            </w:pPr>
            <w:r>
              <w:rPr>
                <w:rFonts w:ascii="Arial" w:cs="Arial" w:eastAsia="Arial" w:hAnsi="Arial"/>
                <w:sz w:val="18"/>
                <w:szCs w:val="18"/>
                <w:color w:val="auto"/>
              </w:rPr>
              <w:t>Senior Vice President and Chief Information Officer</w:t>
            </w:r>
          </w:p>
        </w:tc>
        <w:tc>
          <w:tcPr>
            <w:tcW w:w="140" w:type="dxa"/>
            <w:vAlign w:val="bottom"/>
          </w:tcPr>
          <w:p>
            <w:pPr>
              <w:spacing w:after="0"/>
              <w:rPr>
                <w:sz w:val="22"/>
                <w:szCs w:val="22"/>
                <w:color w:val="auto"/>
              </w:rPr>
            </w:pPr>
          </w:p>
        </w:tc>
      </w:tr>
      <w:tr>
        <w:trPr>
          <w:trHeight w:val="257"/>
        </w:trPr>
        <w:tc>
          <w:tcPr>
            <w:tcW w:w="2380" w:type="dxa"/>
            <w:vAlign w:val="bottom"/>
            <w:gridSpan w:val="3"/>
            <w:shd w:val="clear" w:color="auto" w:fill="CBECD5"/>
          </w:tcPr>
          <w:p>
            <w:pPr>
              <w:ind w:left="120"/>
              <w:spacing w:after="0"/>
              <w:rPr>
                <w:sz w:val="20"/>
                <w:szCs w:val="20"/>
                <w:color w:val="auto"/>
              </w:rPr>
            </w:pPr>
            <w:r>
              <w:rPr>
                <w:rFonts w:ascii="Arial" w:cs="Arial" w:eastAsia="Arial" w:hAnsi="Arial"/>
                <w:sz w:val="18"/>
                <w:szCs w:val="18"/>
                <w:color w:val="auto"/>
              </w:rPr>
              <w:t>Elizabeth A. McMullen</w:t>
            </w:r>
          </w:p>
        </w:tc>
        <w:tc>
          <w:tcPr>
            <w:tcW w:w="5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89"/>
              </w:rPr>
              <w:t>62</w:t>
            </w:r>
          </w:p>
        </w:tc>
        <w:tc>
          <w:tcPr>
            <w:tcW w:w="56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Senior Vice President, Operations</w:t>
            </w:r>
          </w:p>
        </w:tc>
        <w:tc>
          <w:tcPr>
            <w:tcW w:w="140" w:type="dxa"/>
            <w:vAlign w:val="bottom"/>
            <w:shd w:val="clear" w:color="auto" w:fill="CBECD5"/>
          </w:tcPr>
          <w:p>
            <w:pPr>
              <w:spacing w:after="0"/>
              <w:rPr>
                <w:sz w:val="22"/>
                <w:szCs w:val="22"/>
                <w:color w:val="auto"/>
              </w:rPr>
            </w:pPr>
          </w:p>
        </w:tc>
      </w:tr>
      <w:tr>
        <w:trPr>
          <w:trHeight w:val="230"/>
        </w:trPr>
        <w:tc>
          <w:tcPr>
            <w:tcW w:w="2380" w:type="dxa"/>
            <w:vAlign w:val="bottom"/>
            <w:gridSpan w:val="3"/>
          </w:tcPr>
          <w:p>
            <w:pPr>
              <w:ind w:left="120"/>
              <w:spacing w:after="0"/>
              <w:rPr>
                <w:sz w:val="20"/>
                <w:szCs w:val="20"/>
                <w:color w:val="auto"/>
              </w:rPr>
            </w:pPr>
            <w:r>
              <w:rPr>
                <w:rFonts w:ascii="Arial" w:cs="Arial" w:eastAsia="Arial" w:hAnsi="Arial"/>
                <w:sz w:val="18"/>
                <w:szCs w:val="18"/>
                <w:color w:val="auto"/>
              </w:rPr>
              <w:t>Rebeca Obregon-Jimenez</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680" w:type="dxa"/>
            <w:vAlign w:val="bottom"/>
          </w:tcPr>
          <w:p>
            <w:pPr>
              <w:ind w:left="100"/>
              <w:spacing w:after="0"/>
              <w:rPr>
                <w:sz w:val="20"/>
                <w:szCs w:val="20"/>
                <w:color w:val="auto"/>
              </w:rPr>
            </w:pPr>
            <w:r>
              <w:rPr>
                <w:rFonts w:ascii="Arial" w:cs="Arial" w:eastAsia="Arial" w:hAnsi="Arial"/>
                <w:sz w:val="18"/>
                <w:szCs w:val="18"/>
                <w:color w:val="auto"/>
              </w:rPr>
              <w:t>Senior Vice President, Strategic Business Engagements and Supplier</w:t>
            </w:r>
          </w:p>
        </w:tc>
        <w:tc>
          <w:tcPr>
            <w:tcW w:w="140" w:type="dxa"/>
            <w:vAlign w:val="bottom"/>
          </w:tcPr>
          <w:p>
            <w:pPr>
              <w:spacing w:after="0"/>
              <w:rPr>
                <w:sz w:val="20"/>
                <w:szCs w:val="20"/>
                <w:color w:val="auto"/>
              </w:rPr>
            </w:pPr>
          </w:p>
        </w:tc>
      </w:tr>
      <w:tr>
        <w:trPr>
          <w:trHeight w:val="229"/>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Arial" w:cs="Arial" w:eastAsia="Arial" w:hAnsi="Arial"/>
                <w:sz w:val="18"/>
                <w:szCs w:val="18"/>
                <w:color w:val="auto"/>
              </w:rPr>
              <w:t>Management</w:t>
            </w:r>
          </w:p>
        </w:tc>
        <w:tc>
          <w:tcPr>
            <w:tcW w:w="140" w:type="dxa"/>
            <w:vAlign w:val="bottom"/>
          </w:tcPr>
          <w:p>
            <w:pPr>
              <w:spacing w:after="0"/>
              <w:rPr>
                <w:sz w:val="19"/>
                <w:szCs w:val="19"/>
                <w:color w:val="auto"/>
              </w:rPr>
            </w:pPr>
          </w:p>
        </w:tc>
      </w:tr>
      <w:tr>
        <w:trPr>
          <w:trHeight w:val="236"/>
        </w:trPr>
        <w:tc>
          <w:tcPr>
            <w:tcW w:w="2080" w:type="dxa"/>
            <w:vAlign w:val="bottom"/>
            <w:tcBorders>
              <w:bottom w:val="single" w:sz="8" w:color="53C072"/>
            </w:tcBorders>
          </w:tcPr>
          <w:p>
            <w:pPr>
              <w:spacing w:after="0"/>
              <w:rPr>
                <w:sz w:val="20"/>
                <w:szCs w:val="20"/>
                <w:color w:val="auto"/>
              </w:rPr>
            </w:pPr>
          </w:p>
        </w:tc>
        <w:tc>
          <w:tcPr>
            <w:tcW w:w="100" w:type="dxa"/>
            <w:vAlign w:val="bottom"/>
            <w:tcBorders>
              <w:bottom w:val="single" w:sz="8" w:color="53C072"/>
            </w:tcBorders>
          </w:tcPr>
          <w:p>
            <w:pPr>
              <w:spacing w:after="0"/>
              <w:rPr>
                <w:sz w:val="20"/>
                <w:szCs w:val="20"/>
                <w:color w:val="auto"/>
              </w:rPr>
            </w:pPr>
          </w:p>
        </w:tc>
        <w:tc>
          <w:tcPr>
            <w:tcW w:w="6440" w:type="dxa"/>
            <w:vAlign w:val="bottom"/>
            <w:tcBorders>
              <w:bottom w:val="single" w:sz="8" w:color="53C072"/>
            </w:tcBorders>
            <w:gridSpan w:val="3"/>
          </w:tcPr>
          <w:p>
            <w:pPr>
              <w:spacing w:after="0"/>
              <w:rPr>
                <w:sz w:val="20"/>
                <w:szCs w:val="20"/>
                <w:color w:val="auto"/>
              </w:rPr>
            </w:pPr>
          </w:p>
        </w:tc>
        <w:tc>
          <w:tcPr>
            <w:tcW w:w="140" w:type="dxa"/>
            <w:vAlign w:val="bottom"/>
            <w:tcBorders>
              <w:bottom w:val="single" w:sz="8" w:color="53C072"/>
            </w:tcBorders>
          </w:tcPr>
          <w:p>
            <w:pPr>
              <w:spacing w:after="0"/>
              <w:rPr>
                <w:sz w:val="20"/>
                <w:szCs w:val="20"/>
                <w:color w:val="auto"/>
              </w:rPr>
            </w:pPr>
          </w:p>
        </w:tc>
      </w:tr>
      <w:tr>
        <w:trPr>
          <w:trHeight w:val="282"/>
        </w:trPr>
        <w:tc>
          <w:tcPr>
            <w:tcW w:w="2080" w:type="dxa"/>
            <w:vAlign w:val="bottom"/>
          </w:tcPr>
          <w:p>
            <w:pPr>
              <w:ind w:left="2020"/>
              <w:spacing w:after="0"/>
              <w:rPr>
                <w:sz w:val="20"/>
                <w:szCs w:val="20"/>
                <w:color w:val="auto"/>
              </w:rPr>
            </w:pPr>
            <w:r>
              <w:rPr>
                <w:rFonts w:ascii="Arial" w:cs="Arial" w:eastAsia="Arial" w:hAnsi="Arial"/>
                <w:sz w:val="17"/>
                <w:szCs w:val="17"/>
                <w:color w:val="auto"/>
              </w:rPr>
              <w:t>​</w:t>
            </w:r>
          </w:p>
        </w:tc>
        <w:tc>
          <w:tcPr>
            <w:tcW w:w="100" w:type="dxa"/>
            <w:vAlign w:val="bottom"/>
            <w:shd w:val="clear" w:color="auto" w:fill="53C072"/>
          </w:tcPr>
          <w:p>
            <w:pPr>
              <w:ind w:left="60"/>
              <w:spacing w:after="0"/>
              <w:rPr>
                <w:sz w:val="20"/>
                <w:szCs w:val="20"/>
                <w:color w:val="auto"/>
              </w:rPr>
            </w:pPr>
            <w:r>
              <w:rPr>
                <w:rFonts w:ascii="Arial" w:cs="Arial" w:eastAsia="Arial" w:hAnsi="Arial"/>
                <w:sz w:val="17"/>
                <w:szCs w:val="17"/>
                <w:color w:val="auto"/>
              </w:rPr>
              <w:t>​</w:t>
            </w:r>
          </w:p>
        </w:tc>
        <w:tc>
          <w:tcPr>
            <w:tcW w:w="6440" w:type="dxa"/>
            <w:vAlign w:val="bottom"/>
            <w:gridSpan w:val="3"/>
          </w:tcPr>
          <w:p>
            <w:pPr>
              <w:spacing w:after="0"/>
              <w:rPr>
                <w:sz w:val="20"/>
                <w:szCs w:val="20"/>
                <w:color w:val="auto"/>
              </w:rPr>
            </w:pPr>
            <w:r>
              <w:rPr>
                <w:rFonts w:ascii="Arial" w:cs="Arial" w:eastAsia="Arial" w:hAnsi="Arial"/>
                <w:sz w:val="18"/>
                <w:szCs w:val="18"/>
                <w:b w:val="1"/>
                <w:bCs w:val="1"/>
                <w:color w:val="FEFEFE"/>
              </w:rPr>
              <w:t>KENNETH A. JACOBSON</w:t>
            </w:r>
            <w:r>
              <w:rPr>
                <w:rFonts w:ascii="Arial" w:cs="Arial" w:eastAsia="Arial" w:hAnsi="Arial"/>
                <w:sz w:val="17"/>
                <w:szCs w:val="17"/>
                <w:color w:val="FEFEFE"/>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r>
      <w:tr>
        <w:trPr>
          <w:trHeight w:val="42"/>
        </w:trPr>
        <w:tc>
          <w:tcPr>
            <w:tcW w:w="2080" w:type="dxa"/>
            <w:vAlign w:val="bottom"/>
          </w:tcPr>
          <w:p>
            <w:pPr>
              <w:spacing w:after="0"/>
              <w:rPr>
                <w:sz w:val="3"/>
                <w:szCs w:val="3"/>
                <w:color w:val="auto"/>
              </w:rPr>
            </w:pPr>
          </w:p>
        </w:tc>
        <w:tc>
          <w:tcPr>
            <w:tcW w:w="100" w:type="dxa"/>
            <w:vAlign w:val="bottom"/>
            <w:shd w:val="clear" w:color="auto" w:fill="53C07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80" w:type="dxa"/>
            <w:vAlign w:val="bottom"/>
          </w:tcPr>
          <w:p>
            <w:pPr>
              <w:spacing w:after="0"/>
              <w:rPr>
                <w:sz w:val="3"/>
                <w:szCs w:val="3"/>
                <w:color w:val="auto"/>
              </w:rPr>
            </w:pPr>
          </w:p>
        </w:tc>
        <w:tc>
          <w:tcPr>
            <w:tcW w:w="1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-222250</wp:posOffset>
            </wp:positionV>
            <wp:extent cx="5554980" cy="1680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54980" cy="1680210"/>
                    </a:xfrm>
                    <a:prstGeom prst="rect">
                      <a:avLst/>
                    </a:prstGeom>
                    <a:noFill/>
                  </pic:spPr>
                </pic:pic>
              </a:graphicData>
            </a:graphic>
          </wp:anchor>
        </w:drawing>
      </w:r>
    </w:p>
    <w:p>
      <w:pPr>
        <w:spacing w:after="0" w:line="43" w:lineRule="exact"/>
        <w:rPr>
          <w:sz w:val="20"/>
          <w:szCs w:val="20"/>
          <w:color w:val="auto"/>
        </w:rPr>
      </w:pPr>
    </w:p>
    <w:p>
      <w:pPr>
        <w:ind w:left="3160" w:right="299"/>
        <w:spacing w:after="0" w:line="270" w:lineRule="auto"/>
        <w:rPr>
          <w:sz w:val="20"/>
          <w:szCs w:val="20"/>
          <w:color w:val="auto"/>
        </w:rPr>
      </w:pPr>
      <w:r>
        <w:rPr>
          <w:rFonts w:ascii="Arial" w:cs="Arial" w:eastAsia="Arial" w:hAnsi="Arial"/>
          <w:sz w:val="16"/>
          <w:szCs w:val="16"/>
          <w:color w:val="auto"/>
        </w:rPr>
        <w:t>Kenneth A. Jacobson has served as Chief Financial Officer since September 6, 2022. Prior to that he had served as the Corporate Controller since 2013 and Principal Accounting Officer since February 2018. From August 2017 to January 2018,</w:t>
      </w:r>
    </w:p>
    <w:p>
      <w:pPr>
        <w:spacing w:after="0" w:line="1" w:lineRule="exact"/>
        <w:rPr>
          <w:sz w:val="20"/>
          <w:szCs w:val="20"/>
          <w:color w:val="auto"/>
        </w:rPr>
      </w:pPr>
    </w:p>
    <w:p>
      <w:pPr>
        <w:ind w:left="3160" w:right="319"/>
        <w:spacing w:after="0" w:line="267" w:lineRule="auto"/>
        <w:rPr>
          <w:sz w:val="20"/>
          <w:szCs w:val="20"/>
          <w:color w:val="auto"/>
        </w:rPr>
      </w:pPr>
      <w:r>
        <w:rPr>
          <w:rFonts w:ascii="Arial" w:cs="Arial" w:eastAsia="Arial" w:hAnsi="Arial"/>
          <w:sz w:val="16"/>
          <w:szCs w:val="16"/>
          <w:color w:val="auto"/>
        </w:rPr>
        <w:t>Mr. Jacobson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w:t>
      </w:r>
    </w:p>
    <w:p>
      <w:pPr>
        <w:spacing w:after="0" w:line="3" w:lineRule="exact"/>
        <w:rPr>
          <w:sz w:val="20"/>
          <w:szCs w:val="20"/>
          <w:color w:val="auto"/>
        </w:rPr>
      </w:pPr>
    </w:p>
    <w:p>
      <w:pPr>
        <w:ind w:left="3160" w:right="539"/>
        <w:spacing w:after="0" w:line="262" w:lineRule="auto"/>
        <w:rPr>
          <w:sz w:val="20"/>
          <w:szCs w:val="20"/>
          <w:color w:val="auto"/>
        </w:rPr>
      </w:pPr>
      <w:r>
        <w:rPr>
          <w:rFonts w:ascii="Arial" w:cs="Arial" w:eastAsia="Arial" w:hAnsi="Arial"/>
          <w:sz w:val="17"/>
          <w:szCs w:val="17"/>
          <w:color w:val="auto"/>
        </w:rPr>
        <w:t>Mr. Jacobson began his career in public accounting with PricewaterhouseCoopers (PwC) for ten years, where he worked with a variety of clients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231775</wp:posOffset>
            </wp:positionV>
            <wp:extent cx="5554980" cy="1131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54980" cy="1131570"/>
                    </a:xfrm>
                    <a:prstGeom prst="rect">
                      <a:avLst/>
                    </a:prstGeom>
                    <a:noFill/>
                  </pic:spPr>
                </pic:pic>
              </a:graphicData>
            </a:graphic>
          </wp:anchor>
        </w:drawing>
      </w:r>
    </w:p>
    <w:p>
      <w:pPr>
        <w:spacing w:after="0" w:line="354"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KEN E. ARNOLD</w:t>
      </w:r>
      <w:r>
        <w:rPr>
          <w:rFonts w:ascii="Arial" w:cs="Arial" w:eastAsia="Arial" w:hAnsi="Arial"/>
          <w:sz w:val="17"/>
          <w:szCs w:val="17"/>
          <w:color w:val="FEFEFE"/>
        </w:rPr>
        <w:t>​</w:t>
      </w:r>
      <w:r>
        <w:rPr>
          <w:sz w:val="20"/>
          <w:szCs w:val="20"/>
          <w:color w:val="auto"/>
        </w:rPr>
        <w:tab/>
      </w:r>
      <w:r>
        <w:rPr>
          <w:rFonts w:ascii="Arial" w:cs="Arial" w:eastAsia="Arial" w:hAnsi="Arial"/>
          <w:sz w:val="34"/>
          <w:szCs w:val="34"/>
          <w:color w:val="auto"/>
          <w:vertAlign w:val="superscript"/>
        </w:rPr>
        <w:t>​</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Ken E. Arnold has served as Senior Vice President and Chief People Officer since</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February 2019. He previously served in various human resource leadership roles with</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the Company, including as Vice President, Human Resources from 2009 to</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February 2019 and Director, Human Resources — Talent Acquisition and HR Services</w:t>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from 2007 to 2009.</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0"/>
        </w:trPr>
        <w:tc>
          <w:tcPr>
            <w:tcW w:w="4960" w:type="dxa"/>
            <w:vAlign w:val="bottom"/>
          </w:tcPr>
          <w:p>
            <w:pPr>
              <w:spacing w:after="0"/>
              <w:rPr>
                <w:sz w:val="20"/>
                <w:szCs w:val="20"/>
                <w:color w:val="auto"/>
              </w:rPr>
            </w:pPr>
            <w:r>
              <w:rPr>
                <w:rFonts w:ascii="Arial" w:cs="Arial" w:eastAsia="Arial" w:hAnsi="Arial"/>
                <w:sz w:val="14"/>
                <w:szCs w:val="14"/>
                <w:color w:val="003366"/>
              </w:rPr>
              <w:t>TABLE OF CONTENTS</w:t>
            </w:r>
          </w:p>
        </w:tc>
        <w:tc>
          <w:tcPr>
            <w:tcW w:w="4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6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780" w:type="dxa"/>
            <w:vAlign w:val="bottom"/>
            <w:vMerge w:val="restart"/>
          </w:tcPr>
          <w:p>
            <w:pPr>
              <w:ind w:left="2580"/>
              <w:spacing w:after="0"/>
              <w:rPr>
                <w:sz w:val="20"/>
                <w:szCs w:val="20"/>
                <w:color w:val="auto"/>
              </w:rPr>
            </w:pPr>
            <w:r>
              <w:rPr>
                <w:rFonts w:ascii="Arial" w:cs="Arial" w:eastAsia="Arial" w:hAnsi="Arial"/>
                <w:sz w:val="14"/>
                <w:szCs w:val="14"/>
                <w:color w:val="auto"/>
              </w:rPr>
              <w:t>Executive Officers of the Company</w:t>
            </w:r>
          </w:p>
        </w:tc>
        <w:tc>
          <w:tcPr>
            <w:tcW w:w="0" w:type="dxa"/>
            <w:vAlign w:val="bottom"/>
          </w:tcPr>
          <w:p>
            <w:pPr>
              <w:spacing w:after="0"/>
              <w:rPr>
                <w:sz w:val="1"/>
                <w:szCs w:val="1"/>
                <w:color w:val="auto"/>
              </w:rPr>
            </w:pPr>
          </w:p>
        </w:tc>
      </w:tr>
      <w:tr>
        <w:trPr>
          <w:trHeight w:val="85"/>
        </w:trPr>
        <w:tc>
          <w:tcPr>
            <w:tcW w:w="49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6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128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54980" cy="12858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040"/>
        <w:spacing w:after="0"/>
        <w:tabs>
          <w:tab w:leader="none" w:pos="294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w:t>
      </w:r>
      <w:r>
        <w:rPr>
          <w:sz w:val="1"/>
          <w:szCs w:val="1"/>
          <w:color w:val="auto"/>
        </w:rPr>
        <w:drawing>
          <wp:inline distT="0" distB="0" distL="0" distR="0">
            <wp:extent cx="51435" cy="22288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222885"/>
                    </a:xfrm>
                    <a:prstGeom prst="rect">
                      <a:avLst/>
                    </a:prstGeom>
                    <a:noFill/>
                    <a:ln>
                      <a:noFill/>
                    </a:ln>
                  </pic:spPr>
                </pic:pic>
              </a:graphicData>
            </a:graphic>
          </wp:inline>
        </w:drawing>
      </w:r>
      <w:r>
        <w:rPr>
          <w:rFonts w:ascii="Arial" w:cs="Arial" w:eastAsia="Arial" w:hAnsi="Arial"/>
          <w:sz w:val="18"/>
          <w:szCs w:val="18"/>
          <w:b w:val="1"/>
          <w:bCs w:val="1"/>
          <w:color w:val="FEFEFE"/>
        </w:rPr>
        <w:t>MICHAEL R. MCCOY</w:t>
      </w:r>
      <w:r>
        <w:rPr>
          <w:rFonts w:ascii="Arial" w:cs="Arial" w:eastAsia="Arial" w:hAnsi="Arial"/>
          <w:sz w:val="17"/>
          <w:szCs w:val="17"/>
          <w:color w:val="FEFEFE"/>
        </w:rPr>
        <w:t>​</w:t>
      </w:r>
    </w:p>
    <w:p>
      <w:pPr>
        <w:spacing w:after="0" w:line="3" w:lineRule="exact"/>
        <w:rPr>
          <w:sz w:val="20"/>
          <w:szCs w:val="20"/>
          <w:color w:val="auto"/>
        </w:rPr>
      </w:pPr>
    </w:p>
    <w:p>
      <w:pPr>
        <w:ind w:left="3100" w:right="279"/>
        <w:spacing w:after="0" w:line="253" w:lineRule="auto"/>
        <w:rPr>
          <w:sz w:val="20"/>
          <w:szCs w:val="20"/>
          <w:color w:val="auto"/>
        </w:rPr>
      </w:pPr>
      <w:r>
        <w:rPr>
          <w:rFonts w:ascii="Arial" w:cs="Arial" w:eastAsia="Arial" w:hAnsi="Arial"/>
          <w:sz w:val="17"/>
          <w:szCs w:val="17"/>
          <w:color w:val="auto"/>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236855</wp:posOffset>
            </wp:positionV>
            <wp:extent cx="5554980" cy="1551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pacing w:after="0" w:line="353" w:lineRule="exact"/>
        <w:rPr>
          <w:sz w:val="20"/>
          <w:szCs w:val="20"/>
          <w:color w:val="auto"/>
        </w:rPr>
      </w:pPr>
    </w:p>
    <w:p>
      <w:pPr>
        <w:ind w:left="1040"/>
        <w:spacing w:after="0"/>
        <w:tabs>
          <w:tab w:leader="none" w:pos="294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w:t>
      </w:r>
      <w:r>
        <w:rPr>
          <w:sz w:val="1"/>
          <w:szCs w:val="1"/>
          <w:color w:val="auto"/>
        </w:rPr>
        <w:drawing>
          <wp:inline distT="0" distB="0" distL="0" distR="0">
            <wp:extent cx="51435" cy="22288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222885"/>
                    </a:xfrm>
                    <a:prstGeom prst="rect">
                      <a:avLst/>
                    </a:prstGeom>
                    <a:noFill/>
                    <a:ln>
                      <a:noFill/>
                    </a:ln>
                  </pic:spPr>
                </pic:pic>
              </a:graphicData>
            </a:graphic>
          </wp:inline>
        </w:drawing>
      </w:r>
      <w:r>
        <w:rPr>
          <w:rFonts w:ascii="Arial" w:cs="Arial" w:eastAsia="Arial" w:hAnsi="Arial"/>
          <w:sz w:val="18"/>
          <w:szCs w:val="18"/>
          <w:b w:val="1"/>
          <w:bCs w:val="1"/>
          <w:color w:val="FEFEFE"/>
        </w:rPr>
        <w:t>LENG JIN (MAX) CHAN</w:t>
      </w:r>
    </w:p>
    <w:p>
      <w:pPr>
        <w:spacing w:after="0" w:line="3" w:lineRule="exact"/>
        <w:rPr>
          <w:sz w:val="20"/>
          <w:szCs w:val="20"/>
          <w:color w:val="auto"/>
        </w:rPr>
      </w:pPr>
    </w:p>
    <w:p>
      <w:pPr>
        <w:ind w:left="3100" w:right="279"/>
        <w:spacing w:after="0" w:line="254" w:lineRule="auto"/>
        <w:rPr>
          <w:sz w:val="20"/>
          <w:szCs w:val="20"/>
          <w:color w:val="auto"/>
        </w:rPr>
      </w:pPr>
      <w:r>
        <w:rPr>
          <w:rFonts w:ascii="Arial" w:cs="Arial" w:eastAsia="Arial" w:hAnsi="Arial"/>
          <w:sz w:val="17"/>
          <w:szCs w:val="17"/>
          <w:color w:val="auto"/>
        </w:rPr>
        <w:t>Max Chan has served as the Chief Information Officer since 2019 and as Senior Vice President since 2021. Since joining the Company in 2013, he has served in various roles including Vice President, Information Technology Global Supply Chain from 2016 to 2019 and Vice President of Information for Avnet Technology Solutions (a former business unit of the Company) in Asia from 2013 to 2016. Prior to joining the Company, Mr. Chan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236220</wp:posOffset>
            </wp:positionV>
            <wp:extent cx="5554980" cy="1183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54980" cy="1183005"/>
                    </a:xfrm>
                    <a:prstGeom prst="rect">
                      <a:avLst/>
                    </a:prstGeom>
                    <a:noFill/>
                  </pic:spPr>
                </pic:pic>
              </a:graphicData>
            </a:graphic>
          </wp:anchor>
        </w:drawing>
      </w:r>
    </w:p>
    <w:p>
      <w:pPr>
        <w:spacing w:after="0" w:line="346" w:lineRule="exact"/>
        <w:rPr>
          <w:sz w:val="20"/>
          <w:szCs w:val="20"/>
          <w:color w:val="auto"/>
        </w:rPr>
      </w:pPr>
    </w:p>
    <w:p>
      <w:pPr>
        <w:ind w:left="1040"/>
        <w:spacing w:after="0"/>
        <w:tabs>
          <w:tab w:leader="none" w:pos="294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w:t>
      </w:r>
      <w:r>
        <w:rPr>
          <w:sz w:val="1"/>
          <w:szCs w:val="1"/>
          <w:color w:val="auto"/>
        </w:rPr>
        <w:drawing>
          <wp:inline distT="0" distB="0" distL="0" distR="0">
            <wp:extent cx="51435" cy="24828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248285"/>
                    </a:xfrm>
                    <a:prstGeom prst="rect">
                      <a:avLst/>
                    </a:prstGeom>
                    <a:noFill/>
                    <a:ln>
                      <a:noFill/>
                    </a:ln>
                  </pic:spPr>
                </pic:pic>
              </a:graphicData>
            </a:graphic>
          </wp:inline>
        </w:drawing>
      </w:r>
      <w:r>
        <w:rPr>
          <w:rFonts w:ascii="Arial" w:cs="Arial" w:eastAsia="Arial" w:hAnsi="Arial"/>
          <w:sz w:val="18"/>
          <w:szCs w:val="18"/>
          <w:b w:val="1"/>
          <w:bCs w:val="1"/>
          <w:color w:val="FEFEFE"/>
        </w:rPr>
        <w:t>ELIZABETH A. MCMULLEN</w:t>
      </w:r>
    </w:p>
    <w:p>
      <w:pPr>
        <w:ind w:left="3100" w:right="359"/>
        <w:spacing w:after="0" w:line="255" w:lineRule="auto"/>
        <w:rPr>
          <w:sz w:val="20"/>
          <w:szCs w:val="20"/>
          <w:color w:val="auto"/>
        </w:rPr>
      </w:pPr>
      <w:r>
        <w:rPr>
          <w:rFonts w:ascii="Arial" w:cs="Arial" w:eastAsia="Arial" w:hAnsi="Arial"/>
          <w:sz w:val="17"/>
          <w:szCs w:val="17"/>
          <w:color w:val="auto"/>
        </w:rPr>
        <w:t>Elizabeth A. McMullen has served as the Senior Vice President, Operations since 2021. Since joining the Company in 2010, she has served in various leadership roles, including Global Vice President, Operations from 2020 to 2021; and Vice President, Global Business Operations from 2018 to 2020. Prior to joining the Company,</w:t>
      </w:r>
    </w:p>
    <w:p>
      <w:pPr>
        <w:spacing w:after="0" w:line="2" w:lineRule="exact"/>
        <w:rPr>
          <w:sz w:val="20"/>
          <w:szCs w:val="20"/>
          <w:color w:val="auto"/>
        </w:rPr>
      </w:pPr>
    </w:p>
    <w:p>
      <w:pPr>
        <w:ind w:left="3100" w:right="1039"/>
        <w:spacing w:after="0" w:line="259" w:lineRule="auto"/>
        <w:rPr>
          <w:sz w:val="20"/>
          <w:szCs w:val="20"/>
          <w:color w:val="auto"/>
        </w:rPr>
      </w:pPr>
      <w:r>
        <w:rPr>
          <w:rFonts w:ascii="Arial" w:cs="Arial" w:eastAsia="Arial" w:hAnsi="Arial"/>
          <w:sz w:val="17"/>
          <w:szCs w:val="17"/>
          <w:color w:val="auto"/>
        </w:rPr>
        <w:t>Ms. McMullen held senior leadership positions at Deutsche Post DHL Group (OTCMKTS: DPSGY) and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233045</wp:posOffset>
            </wp:positionV>
            <wp:extent cx="5554980" cy="2194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54980" cy="2194560"/>
                    </a:xfrm>
                    <a:prstGeom prst="rect">
                      <a:avLst/>
                    </a:prstGeom>
                    <a:noFill/>
                  </pic:spPr>
                </pic:pic>
              </a:graphicData>
            </a:graphic>
          </wp:anchor>
        </w:drawing>
      </w:r>
    </w:p>
    <w:p>
      <w:pPr>
        <w:spacing w:after="0" w:line="347" w:lineRule="exact"/>
        <w:rPr>
          <w:sz w:val="20"/>
          <w:szCs w:val="20"/>
          <w:color w:val="auto"/>
        </w:rPr>
      </w:pPr>
    </w:p>
    <w:p>
      <w:pPr>
        <w:ind w:left="1040"/>
        <w:spacing w:after="0"/>
        <w:tabs>
          <w:tab w:leader="none" w:pos="294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w:t>
      </w:r>
      <w:r>
        <w:rPr>
          <w:sz w:val="1"/>
          <w:szCs w:val="1"/>
          <w:color w:val="auto"/>
        </w:rPr>
        <w:drawing>
          <wp:inline distT="0" distB="0" distL="0" distR="0">
            <wp:extent cx="51435" cy="22288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222885"/>
                    </a:xfrm>
                    <a:prstGeom prst="rect">
                      <a:avLst/>
                    </a:prstGeom>
                    <a:noFill/>
                    <a:ln>
                      <a:noFill/>
                    </a:ln>
                  </pic:spPr>
                </pic:pic>
              </a:graphicData>
            </a:graphic>
          </wp:inline>
        </w:drawing>
      </w:r>
      <w:r>
        <w:rPr>
          <w:rFonts w:ascii="Arial" w:cs="Arial" w:eastAsia="Arial" w:hAnsi="Arial"/>
          <w:sz w:val="18"/>
          <w:szCs w:val="18"/>
          <w:b w:val="1"/>
          <w:bCs w:val="1"/>
          <w:color w:val="FEFEFE"/>
        </w:rPr>
        <w:t>REBECA OBREGON-JIMENEZ</w:t>
      </w:r>
    </w:p>
    <w:p>
      <w:pPr>
        <w:spacing w:after="0" w:line="3" w:lineRule="exact"/>
        <w:rPr>
          <w:sz w:val="20"/>
          <w:szCs w:val="20"/>
          <w:color w:val="auto"/>
        </w:rPr>
      </w:pPr>
    </w:p>
    <w:p>
      <w:pPr>
        <w:ind w:left="3100" w:right="239"/>
        <w:spacing w:after="0" w:line="253" w:lineRule="auto"/>
        <w:rPr>
          <w:sz w:val="20"/>
          <w:szCs w:val="20"/>
          <w:color w:val="auto"/>
        </w:rPr>
      </w:pPr>
      <w:r>
        <w:rPr>
          <w:rFonts w:ascii="Arial" w:cs="Arial" w:eastAsia="Arial" w:hAnsi="Arial"/>
          <w:sz w:val="17"/>
          <w:szCs w:val="17"/>
          <w:color w:val="auto"/>
        </w:rPr>
        <w:t>Rebeca Obregon-Jimenez has served as the Senior Vice President of Strategic Business Engagements and Supplier Management since December 2022. She has over 30 years of experience in the semiconductor industry and has built teams and businesses from inception to profitable worldwide market leaders. Prior to joining Avnet, she served in various roles at Amkor Technology, Inc. (NASDAQ: AMKR), including from January 2020 to December 2022 as Corporate Vice President of Advanced System in Package Business Unit; from December 2015 to January 2020 as Corporate Vice President of Sales, US East Region; from January 2015 to December 2015 as Senior Vice President of Strategic Program Management; and from August 2014 to December 2014 as Senior Vice President of Operations Finance. Prior to that she served in various leadership roles at Integrated Device Technology (NASDAQ: IDTI) from May 1999 to 2014 and Motorola, Semiconductor Products Sector from 1990 to 1999. She has also served since 2019 as Board Director at FormFactor (NASDAQ: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529590</wp:posOffset>
            </wp:positionV>
            <wp:extent cx="1242695"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426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283845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660" w:right="260"/>
        <w:spacing w:after="0" w:line="340" w:lineRule="auto"/>
        <w:rPr>
          <w:sz w:val="20"/>
          <w:szCs w:val="20"/>
          <w:color w:val="auto"/>
        </w:rPr>
      </w:pPr>
      <w:r>
        <w:rPr>
          <w:rFonts w:ascii="Arial" w:cs="Arial" w:eastAsia="Arial" w:hAnsi="Arial"/>
          <w:sz w:val="37"/>
          <w:szCs w:val="37"/>
          <w:b w:val="1"/>
          <w:bCs w:val="1"/>
          <w:color w:val="FEFEFE"/>
        </w:rPr>
        <w:t>SECURITY OWNERSHIP OF CERTAIN BENEFICIAL OWNERS AND MANAGEMENT</w:t>
      </w:r>
      <w:r>
        <w:rPr>
          <w:rFonts w:ascii="Arial" w:cs="Arial" w:eastAsia="Arial" w:hAnsi="Arial"/>
          <w:sz w:val="16"/>
          <w:szCs w:val="16"/>
          <w:color w:val="FEFEFE"/>
        </w:rPr>
        <w:t>​</w:t>
      </w:r>
    </w:p>
    <w:p>
      <w:pPr>
        <w:spacing w:after="0" w:line="162" w:lineRule="exact"/>
        <w:rPr>
          <w:sz w:val="20"/>
          <w:szCs w:val="20"/>
          <w:color w:val="auto"/>
        </w:rPr>
      </w:pPr>
    </w:p>
    <w:p>
      <w:pPr>
        <w:ind w:left="1000" w:right="179"/>
        <w:spacing w:after="0" w:line="243" w:lineRule="auto"/>
        <w:rPr>
          <w:sz w:val="20"/>
          <w:szCs w:val="20"/>
          <w:color w:val="auto"/>
        </w:rPr>
      </w:pPr>
      <w:r>
        <w:rPr>
          <w:rFonts w:ascii="Arial" w:cs="Arial" w:eastAsia="Arial" w:hAnsi="Arial"/>
          <w:sz w:val="18"/>
          <w:szCs w:val="18"/>
          <w:color w:val="auto"/>
        </w:rPr>
        <w:t>Unless otherwise stated, the following table sets forth information with respect to the Company’s Common Stock beneficially owned as of September 1, 2023 or, in respect of any 5% Holder, the date of such holder’s most recent Schedule 13D or Schedule 13G filed with the SEC as of September 1, 2023, by: (a) persons that, to the Company’s knowledge, were the beneficial owners of more than 5% of the Company’s outstanding Common Stock (“5% Holders”), (b) each current Director and director nominee of the Company, (c) each of the executive officers named in the Summary Compensation Table in this Proxy Statement (“NEO”), and (d) all Directors and NEOs of the Company as a group. Except where specifically noted in the table, all the shares listed for a person or the group are directly held by such person or group members, with sole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104775</wp:posOffset>
            </wp:positionV>
            <wp:extent cx="5554980" cy="531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54980" cy="5314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FEFEFE"/>
        </w:rPr>
        <w:t>Name of Beneficial Owner</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5% Holders</w:t>
      </w:r>
    </w:p>
    <w:p>
      <w:pPr>
        <w:spacing w:after="0" w:line="2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(1)</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50 Hudson Yards</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New York, NY 10001</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Dimensional Fund Advisors LP</w:t>
      </w:r>
      <w:r>
        <w:rPr>
          <w:rFonts w:ascii="Arial" w:cs="Arial" w:eastAsia="Arial" w:hAnsi="Arial"/>
          <w:sz w:val="17"/>
          <w:szCs w:val="17"/>
          <w:color w:val="auto"/>
          <w:vertAlign w:val="superscript"/>
        </w:rPr>
        <w:t>(2)</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6300 Bee Cave Road, Bldg One</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Austin, TX 78746</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Pzena Investment Management LLC.</w:t>
      </w:r>
      <w:r>
        <w:rPr>
          <w:rFonts w:ascii="Arial" w:cs="Arial" w:eastAsia="Arial" w:hAnsi="Arial"/>
          <w:sz w:val="17"/>
          <w:szCs w:val="17"/>
          <w:color w:val="auto"/>
          <w:vertAlign w:val="superscript"/>
        </w:rPr>
        <w:t>(3)</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320 Park Avenue, 8th Floor</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New York, NY 10022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Total</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FEFEFE"/>
              </w:rPr>
              <w:t>Stock</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Common</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FEFEFE"/>
              </w:rPr>
              <w:t>Options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Stock</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Percent</w:t>
            </w:r>
          </w:p>
        </w:tc>
      </w:tr>
      <w:tr>
        <w:trPr>
          <w:trHeight w:val="162"/>
        </w:trPr>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FEFEFE"/>
                <w:w w:val="98"/>
              </w:rPr>
              <w:t>Common</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FEFEFE"/>
              </w:rPr>
              <w:t>Exercisable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Beneficially</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FEFEFE"/>
              </w:rPr>
              <w:t>of</w:t>
            </w:r>
          </w:p>
        </w:tc>
      </w:tr>
      <w:tr>
        <w:trPr>
          <w:trHeight w:val="148"/>
        </w:trPr>
        <w:tc>
          <w:tcPr>
            <w:tcW w:w="7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FEFEFE"/>
              </w:rPr>
              <w:t>Stock</w:t>
            </w:r>
            <w:r>
              <w:rPr>
                <w:rFonts w:ascii="Arial" w:cs="Arial" w:eastAsia="Arial" w:hAnsi="Arial"/>
                <w:sz w:val="17"/>
                <w:szCs w:val="17"/>
                <w:b w:val="1"/>
                <w:bCs w:val="1"/>
                <w:color w:val="FEFEFE"/>
                <w:vertAlign w:val="superscript"/>
              </w:rPr>
              <w:t>(a)</w:t>
            </w: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FEFEFE"/>
              </w:rPr>
              <w:t>Within 60 Days</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Owned</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Class</w:t>
            </w:r>
            <w:r>
              <w:rPr>
                <w:rFonts w:ascii="Arial" w:cs="Arial" w:eastAsia="Arial" w:hAnsi="Arial"/>
                <w:sz w:val="17"/>
                <w:szCs w:val="17"/>
                <w:b w:val="1"/>
                <w:bCs w:val="1"/>
                <w:color w:val="FEFEFE"/>
                <w:vertAlign w:val="superscript"/>
              </w:rPr>
              <w:t>(b)</w:t>
            </w:r>
          </w:p>
        </w:tc>
      </w:tr>
      <w:tr>
        <w:trPr>
          <w:trHeight w:val="200"/>
        </w:trPr>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r>
      <w:tr>
        <w:trPr>
          <w:trHeight w:val="28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9,243,635</w:t>
            </w:r>
          </w:p>
        </w:tc>
        <w:tc>
          <w:tcPr>
            <w:tcW w:w="1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9,243,635</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10.1%</w:t>
            </w:r>
          </w:p>
        </w:tc>
      </w:tr>
      <w:tr>
        <w:trPr>
          <w:trHeight w:val="60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5,934,049</w:t>
            </w:r>
          </w:p>
        </w:tc>
        <w:tc>
          <w:tcPr>
            <w:tcW w:w="1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5,934,049</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6.5%</w:t>
            </w:r>
          </w:p>
        </w:tc>
      </w:tr>
      <w:tr>
        <w:trPr>
          <w:trHeight w:val="60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9,282,603</w:t>
            </w:r>
          </w:p>
        </w:tc>
        <w:tc>
          <w:tcPr>
            <w:tcW w:w="1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9,282,603</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-932815</wp:posOffset>
            </wp:positionV>
            <wp:extent cx="5554980"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54980" cy="386080"/>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-161290</wp:posOffset>
            </wp:positionV>
            <wp:extent cx="5554980" cy="386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54980" cy="38608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5080" w:space="720"/>
            <w:col w:w="4079"/>
          </w:cols>
          <w:pgMar w:left="580" w:top="90" w:right="1440" w:bottom="1440" w:gutter="0" w:footer="0" w:header="0"/>
          <w:type w:val="continuous"/>
        </w:sectPr>
      </w:pPr>
    </w:p>
    <w:tbl>
      <w:tblPr>
        <w:tblLayout w:type="fixed"/>
        <w:tblInd w:w="980" w:type="dxa"/>
        <w:tblCellMar>
          <w:top w:w="0" w:type="dxa"/>
          <w:left w:w="0" w:type="dxa"/>
          <w:bottom w:w="0" w:type="dxa"/>
          <w:right w:w="0" w:type="dxa"/>
        </w:tblCellMar>
      </w:tblPr>
      <w:tr>
        <w:trPr>
          <w:trHeight w:val="210"/>
        </w:trPr>
        <w:tc>
          <w:tcPr>
            <w:tcW w:w="4640" w:type="dxa"/>
            <w:vAlign w:val="bottom"/>
          </w:tcPr>
          <w:p>
            <w:pPr>
              <w:ind w:left="6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7"/>
                <w:szCs w:val="17"/>
                <w:color w:val="auto"/>
                <w:vertAlign w:val="superscript"/>
              </w:rPr>
              <w:t>(4)</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10,224,425</w:t>
            </w:r>
          </w:p>
        </w:tc>
        <w:tc>
          <w:tcPr>
            <w:tcW w:w="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10,224,425</w:t>
            </w:r>
          </w:p>
        </w:tc>
        <w:tc>
          <w:tcPr>
            <w:tcW w:w="1000" w:type="dxa"/>
            <w:vAlign w:val="bottom"/>
          </w:tcPr>
          <w:p>
            <w:pPr>
              <w:jc w:val="right"/>
              <w:ind w:right="90"/>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75"/>
        </w:trPr>
        <w:tc>
          <w:tcPr>
            <w:tcW w:w="4640" w:type="dxa"/>
            <w:vAlign w:val="bottom"/>
          </w:tcPr>
          <w:p>
            <w:pPr>
              <w:ind w:left="200"/>
              <w:spacing w:after="0"/>
              <w:rPr>
                <w:sz w:val="20"/>
                <w:szCs w:val="20"/>
                <w:color w:val="auto"/>
              </w:rPr>
            </w:pPr>
            <w:r>
              <w:rPr>
                <w:rFonts w:ascii="Arial" w:cs="Arial" w:eastAsia="Arial" w:hAnsi="Arial"/>
                <w:sz w:val="14"/>
                <w:szCs w:val="14"/>
                <w:color w:val="auto"/>
              </w:rPr>
              <w:t>100 Vanguard Blvd.</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200"/>
              <w:spacing w:after="0"/>
              <w:rPr>
                <w:sz w:val="20"/>
                <w:szCs w:val="20"/>
                <w:color w:val="auto"/>
              </w:rPr>
            </w:pPr>
            <w:r>
              <w:rPr>
                <w:rFonts w:ascii="Arial" w:cs="Arial" w:eastAsia="Arial" w:hAnsi="Arial"/>
                <w:sz w:val="14"/>
                <w:szCs w:val="14"/>
                <w:color w:val="auto"/>
              </w:rPr>
              <w:t>Malvern, PA 19355</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60"/>
              <w:spacing w:after="0"/>
              <w:rPr>
                <w:sz w:val="20"/>
                <w:szCs w:val="20"/>
                <w:color w:val="auto"/>
              </w:rPr>
            </w:pPr>
            <w:r>
              <w:rPr>
                <w:rFonts w:ascii="Arial" w:cs="Arial" w:eastAsia="Arial" w:hAnsi="Arial"/>
                <w:sz w:val="14"/>
                <w:szCs w:val="14"/>
                <w:b w:val="1"/>
                <w:bCs w:val="1"/>
                <w:color w:val="auto"/>
              </w:rPr>
              <w:t>Directors, Director Nominees and Named Executive Officers</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Rodney C. Adkins, Chair</w:t>
            </w:r>
          </w:p>
        </w:tc>
        <w:tc>
          <w:tcPr>
            <w:tcW w:w="116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33,417</w:t>
            </w:r>
            <w:r>
              <w:rPr>
                <w:rFonts w:ascii="Arial" w:cs="Arial" w:eastAsia="Arial" w:hAnsi="Arial"/>
                <w:sz w:val="17"/>
                <w:szCs w:val="17"/>
                <w:color w:val="auto"/>
                <w:vertAlign w:val="superscript"/>
              </w:rPr>
              <w:t>(5)</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33,417</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rPr>
                <w:sz w:val="20"/>
                <w:szCs w:val="20"/>
                <w:color w:val="auto"/>
              </w:rPr>
            </w:pPr>
            <w:r>
              <w:rPr>
                <w:rFonts w:ascii="Arial" w:cs="Arial" w:eastAsia="Arial" w:hAnsi="Arial"/>
                <w:sz w:val="14"/>
                <w:szCs w:val="14"/>
                <w:color w:val="auto"/>
              </w:rPr>
              <w:t>Carlo Bozotti, Director</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16,936</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16,936</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Brenda L. Freeman, Director</w:t>
            </w:r>
          </w:p>
        </w:tc>
        <w:tc>
          <w:tcPr>
            <w:tcW w:w="116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22,868</w:t>
            </w:r>
            <w:r>
              <w:rPr>
                <w:rFonts w:ascii="Arial" w:cs="Arial" w:eastAsia="Arial" w:hAnsi="Arial"/>
                <w:sz w:val="17"/>
                <w:szCs w:val="17"/>
                <w:color w:val="auto"/>
                <w:vertAlign w:val="superscript"/>
              </w:rPr>
              <w:t>(6)</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22,868</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rPr>
                <w:sz w:val="20"/>
                <w:szCs w:val="20"/>
                <w:color w:val="auto"/>
              </w:rPr>
            </w:pPr>
            <w:r>
              <w:rPr>
                <w:rFonts w:ascii="Arial" w:cs="Arial" w:eastAsia="Arial" w:hAnsi="Arial"/>
                <w:sz w:val="14"/>
                <w:szCs w:val="14"/>
                <w:color w:val="auto"/>
              </w:rPr>
              <w:t>Jo Ann Jenkins, Director</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21,994</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21,994</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Oleg Khaykin, Director</w:t>
            </w:r>
          </w:p>
        </w:tc>
        <w:tc>
          <w:tcPr>
            <w:tcW w:w="116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44,752</w:t>
            </w:r>
            <w:r>
              <w:rPr>
                <w:rFonts w:ascii="Arial" w:cs="Arial" w:eastAsia="Arial" w:hAnsi="Arial"/>
                <w:sz w:val="17"/>
                <w:szCs w:val="17"/>
                <w:color w:val="auto"/>
                <w:vertAlign w:val="superscript"/>
              </w:rPr>
              <w:t>(7)</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44,752</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rPr>
                <w:sz w:val="20"/>
                <w:szCs w:val="20"/>
                <w:color w:val="auto"/>
              </w:rPr>
            </w:pPr>
            <w:r>
              <w:rPr>
                <w:rFonts w:ascii="Arial" w:cs="Arial" w:eastAsia="Arial" w:hAnsi="Arial"/>
                <w:sz w:val="14"/>
                <w:szCs w:val="14"/>
                <w:color w:val="auto"/>
              </w:rPr>
              <w:t>James A. Lawrence, Director</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15,100</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15,100</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Ernest E. Maddock, Director</w:t>
            </w:r>
          </w:p>
        </w:tc>
        <w:tc>
          <w:tcPr>
            <w:tcW w:w="116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9,656</w:t>
            </w:r>
            <w:r>
              <w:rPr>
                <w:rFonts w:ascii="Arial" w:cs="Arial" w:eastAsia="Arial" w:hAnsi="Arial"/>
                <w:sz w:val="17"/>
                <w:szCs w:val="17"/>
                <w:color w:val="auto"/>
                <w:vertAlign w:val="superscript"/>
              </w:rPr>
              <w:t>(8)</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9,656</w:t>
            </w:r>
          </w:p>
        </w:tc>
        <w:tc>
          <w:tcPr>
            <w:tcW w:w="1000" w:type="dxa"/>
            <w:vAlign w:val="bottom"/>
            <w:shd w:val="clear" w:color="auto" w:fill="CBEC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rPr>
                <w:sz w:val="20"/>
                <w:szCs w:val="20"/>
                <w:color w:val="auto"/>
              </w:rPr>
            </w:pPr>
            <w:r>
              <w:rPr>
                <w:rFonts w:ascii="Arial" w:cs="Arial" w:eastAsia="Arial" w:hAnsi="Arial"/>
                <w:sz w:val="14"/>
                <w:szCs w:val="14"/>
                <w:color w:val="auto"/>
              </w:rPr>
              <w:t>Avid Modjtabai, Director</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34,615</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34,615</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Adalio T. Sanchez, Director</w:t>
            </w:r>
          </w:p>
        </w:tc>
        <w:tc>
          <w:tcPr>
            <w:tcW w:w="11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16,936</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16,936</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4640" w:type="dxa"/>
            <w:vAlign w:val="bottom"/>
          </w:tcPr>
          <w:p>
            <w:pPr>
              <w:ind w:left="60"/>
              <w:spacing w:after="0"/>
              <w:rPr>
                <w:sz w:val="20"/>
                <w:szCs w:val="20"/>
                <w:color w:val="auto"/>
              </w:rPr>
            </w:pPr>
            <w:r>
              <w:rPr>
                <w:rFonts w:ascii="Arial" w:cs="Arial" w:eastAsia="Arial" w:hAnsi="Arial"/>
                <w:sz w:val="14"/>
                <w:szCs w:val="14"/>
                <w:color w:val="auto"/>
              </w:rPr>
              <w:t>Philip R. Gallagher, Chief Executive Officer, President, Electronic</w:t>
            </w:r>
          </w:p>
        </w:tc>
        <w:tc>
          <w:tcPr>
            <w:tcW w:w="1160" w:type="dxa"/>
            <w:vAlign w:val="bottom"/>
          </w:tcPr>
          <w:p>
            <w:pPr>
              <w:jc w:val="right"/>
              <w:ind w:right="128"/>
              <w:spacing w:after="0" w:line="184" w:lineRule="exact"/>
              <w:rPr>
                <w:sz w:val="20"/>
                <w:szCs w:val="20"/>
                <w:color w:val="auto"/>
              </w:rPr>
            </w:pPr>
            <w:r>
              <w:rPr>
                <w:rFonts w:ascii="Arial" w:cs="Arial" w:eastAsia="Arial" w:hAnsi="Arial"/>
                <w:sz w:val="14"/>
                <w:szCs w:val="14"/>
                <w:color w:val="auto"/>
              </w:rPr>
              <w:t>335,478</w:t>
            </w:r>
            <w:r>
              <w:rPr>
                <w:rFonts w:ascii="Arial" w:cs="Arial" w:eastAsia="Arial" w:hAnsi="Arial"/>
                <w:sz w:val="17"/>
                <w:szCs w:val="17"/>
                <w:color w:val="auto"/>
                <w:vertAlign w:val="superscript"/>
              </w:rPr>
              <w:t>(9)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293,070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628,548</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4640" w:type="dxa"/>
            <w:vAlign w:val="bottom"/>
          </w:tcPr>
          <w:p>
            <w:pPr>
              <w:ind w:left="200"/>
              <w:spacing w:after="0"/>
              <w:rPr>
                <w:sz w:val="20"/>
                <w:szCs w:val="20"/>
                <w:color w:val="auto"/>
              </w:rPr>
            </w:pPr>
            <w:r>
              <w:rPr>
                <w:rFonts w:ascii="Arial" w:cs="Arial" w:eastAsia="Arial" w:hAnsi="Arial"/>
                <w:sz w:val="14"/>
                <w:szCs w:val="14"/>
                <w:color w:val="auto"/>
              </w:rPr>
              <w:t>Components and Director</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Kenneth A. Jacobson, Chief Financial Officer</w:t>
            </w:r>
          </w:p>
        </w:tc>
        <w:tc>
          <w:tcPr>
            <w:tcW w:w="1160" w:type="dxa"/>
            <w:vAlign w:val="bottom"/>
            <w:shd w:val="clear" w:color="auto" w:fill="CBECD5"/>
          </w:tcPr>
          <w:p>
            <w:pPr>
              <w:jc w:val="right"/>
              <w:ind w:right="68"/>
              <w:spacing w:after="0"/>
              <w:rPr>
                <w:sz w:val="20"/>
                <w:szCs w:val="20"/>
                <w:color w:val="auto"/>
              </w:rPr>
            </w:pPr>
            <w:r>
              <w:rPr>
                <w:rFonts w:ascii="Arial" w:cs="Arial" w:eastAsia="Arial" w:hAnsi="Arial"/>
                <w:sz w:val="14"/>
                <w:szCs w:val="14"/>
                <w:color w:val="auto"/>
              </w:rPr>
              <w:t>66,021</w:t>
            </w:r>
            <w:r>
              <w:rPr>
                <w:rFonts w:ascii="Arial" w:cs="Arial" w:eastAsia="Arial" w:hAnsi="Arial"/>
                <w:sz w:val="17"/>
                <w:szCs w:val="17"/>
                <w:color w:val="auto"/>
                <w:vertAlign w:val="superscript"/>
              </w:rPr>
              <w:t>(10)</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66,021</w:t>
            </w:r>
          </w:p>
        </w:tc>
        <w:tc>
          <w:tcPr>
            <w:tcW w:w="1000" w:type="dxa"/>
            <w:vAlign w:val="bottom"/>
            <w:shd w:val="clear" w:color="auto" w:fill="CBECD5"/>
          </w:tcPr>
          <w:p>
            <w:pPr>
              <w:ind w:left="7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60"/>
              <w:spacing w:after="0"/>
              <w:rPr>
                <w:sz w:val="20"/>
                <w:szCs w:val="20"/>
                <w:color w:val="auto"/>
              </w:rPr>
            </w:pPr>
            <w:r>
              <w:rPr>
                <w:rFonts w:ascii="Arial" w:cs="Arial" w:eastAsia="Arial" w:hAnsi="Arial"/>
                <w:sz w:val="14"/>
                <w:szCs w:val="14"/>
                <w:color w:val="auto"/>
              </w:rPr>
              <w:t>Ken E. Arnold, SVP, Chief People Officer</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51,304</w:t>
            </w:r>
            <w:r>
              <w:rPr>
                <w:rFonts w:ascii="Arial" w:cs="Arial" w:eastAsia="Arial" w:hAnsi="Arial"/>
                <w:sz w:val="17"/>
                <w:szCs w:val="17"/>
                <w:color w:val="auto"/>
                <w:vertAlign w:val="superscript"/>
              </w:rPr>
              <w:t>(11)</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52,654</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103,958</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Michael R. McCoy, SVP, General Counsel</w:t>
            </w:r>
          </w:p>
        </w:tc>
        <w:tc>
          <w:tcPr>
            <w:tcW w:w="1160" w:type="dxa"/>
            <w:vAlign w:val="bottom"/>
            <w:shd w:val="clear" w:color="auto" w:fill="CBECD5"/>
          </w:tcPr>
          <w:p>
            <w:pPr>
              <w:jc w:val="right"/>
              <w:ind w:right="68"/>
              <w:spacing w:after="0"/>
              <w:rPr>
                <w:sz w:val="20"/>
                <w:szCs w:val="20"/>
                <w:color w:val="auto"/>
              </w:rPr>
            </w:pPr>
            <w:r>
              <w:rPr>
                <w:rFonts w:ascii="Arial" w:cs="Arial" w:eastAsia="Arial" w:hAnsi="Arial"/>
                <w:sz w:val="14"/>
                <w:szCs w:val="14"/>
                <w:color w:val="auto"/>
              </w:rPr>
              <w:t>57,460</w:t>
            </w:r>
            <w:r>
              <w:rPr>
                <w:rFonts w:ascii="Arial" w:cs="Arial" w:eastAsia="Arial" w:hAnsi="Arial"/>
                <w:sz w:val="17"/>
                <w:szCs w:val="17"/>
                <w:color w:val="auto"/>
                <w:vertAlign w:val="superscript"/>
              </w:rPr>
              <w:t>(12)</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34,172</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91,632</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4640" w:type="dxa"/>
            <w:vAlign w:val="bottom"/>
          </w:tcPr>
          <w:p>
            <w:pPr>
              <w:ind w:left="60"/>
              <w:spacing w:after="0"/>
              <w:rPr>
                <w:sz w:val="20"/>
                <w:szCs w:val="20"/>
                <w:color w:val="auto"/>
              </w:rPr>
            </w:pPr>
            <w:r>
              <w:rPr>
                <w:rFonts w:ascii="Arial" w:cs="Arial" w:eastAsia="Arial" w:hAnsi="Arial"/>
                <w:sz w:val="14"/>
                <w:szCs w:val="14"/>
                <w:color w:val="auto"/>
              </w:rPr>
              <w:t>Rebeca Obregon-Jimenez, SVP Strategic Business Engagements and</w:t>
            </w:r>
          </w:p>
        </w:tc>
        <w:tc>
          <w:tcPr>
            <w:tcW w:w="1160" w:type="dxa"/>
            <w:vAlign w:val="bottom"/>
          </w:tcPr>
          <w:p>
            <w:pPr>
              <w:jc w:val="right"/>
              <w:ind w:right="68"/>
              <w:spacing w:after="0" w:line="184" w:lineRule="exact"/>
              <w:rPr>
                <w:sz w:val="20"/>
                <w:szCs w:val="20"/>
                <w:color w:val="auto"/>
              </w:rPr>
            </w:pPr>
            <w:r>
              <w:rPr>
                <w:rFonts w:ascii="Arial" w:cs="Arial" w:eastAsia="Arial" w:hAnsi="Arial"/>
                <w:sz w:val="14"/>
                <w:szCs w:val="14"/>
                <w:color w:val="auto"/>
              </w:rPr>
              <w:t>17,438</w:t>
            </w:r>
            <w:r>
              <w:rPr>
                <w:rFonts w:ascii="Arial" w:cs="Arial" w:eastAsia="Arial" w:hAnsi="Arial"/>
                <w:sz w:val="17"/>
                <w:szCs w:val="17"/>
                <w:color w:val="auto"/>
                <w:vertAlign w:val="superscript"/>
              </w:rPr>
              <w:t>(13)</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17,438</w:t>
            </w:r>
          </w:p>
        </w:tc>
        <w:tc>
          <w:tcPr>
            <w:tcW w:w="10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4640" w:type="dxa"/>
            <w:vAlign w:val="bottom"/>
          </w:tcPr>
          <w:p>
            <w:pPr>
              <w:ind w:left="60"/>
              <w:spacing w:after="0"/>
              <w:rPr>
                <w:sz w:val="20"/>
                <w:szCs w:val="20"/>
                <w:color w:val="auto"/>
              </w:rPr>
            </w:pPr>
            <w:r>
              <w:rPr>
                <w:rFonts w:ascii="Arial" w:cs="Arial" w:eastAsia="Arial" w:hAnsi="Arial"/>
                <w:sz w:val="14"/>
                <w:szCs w:val="14"/>
                <w:color w:val="auto"/>
              </w:rPr>
              <w:t>Supplier Management</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BECD5"/>
          </w:tcPr>
          <w:p>
            <w:pPr>
              <w:ind w:left="60"/>
              <w:spacing w:after="0"/>
              <w:rPr>
                <w:sz w:val="20"/>
                <w:szCs w:val="20"/>
                <w:color w:val="auto"/>
              </w:rPr>
            </w:pPr>
            <w:r>
              <w:rPr>
                <w:rFonts w:ascii="Arial" w:cs="Arial" w:eastAsia="Arial" w:hAnsi="Arial"/>
                <w:sz w:val="14"/>
                <w:szCs w:val="14"/>
                <w:color w:val="auto"/>
              </w:rPr>
              <w:t>Thomas Liguori, Former Chief Financial Officer</w:t>
            </w:r>
            <w:r>
              <w:rPr>
                <w:rFonts w:ascii="Arial" w:cs="Arial" w:eastAsia="Arial" w:hAnsi="Arial"/>
                <w:sz w:val="17"/>
                <w:szCs w:val="17"/>
                <w:color w:val="auto"/>
                <w:vertAlign w:val="superscript"/>
              </w:rPr>
              <w:t>(14)</w:t>
            </w:r>
          </w:p>
        </w:tc>
        <w:tc>
          <w:tcPr>
            <w:tcW w:w="1160" w:type="dxa"/>
            <w:vAlign w:val="bottom"/>
            <w:shd w:val="clear" w:color="auto" w:fill="CBECD5"/>
          </w:tcPr>
          <w:p>
            <w:pPr>
              <w:jc w:val="right"/>
              <w:ind w:right="68"/>
              <w:spacing w:after="0"/>
              <w:rPr>
                <w:sz w:val="20"/>
                <w:szCs w:val="20"/>
                <w:color w:val="auto"/>
              </w:rPr>
            </w:pPr>
            <w:r>
              <w:rPr>
                <w:rFonts w:ascii="Arial" w:cs="Arial" w:eastAsia="Arial" w:hAnsi="Arial"/>
                <w:sz w:val="14"/>
                <w:szCs w:val="14"/>
                <w:color w:val="auto"/>
              </w:rPr>
              <w:t>36,552</w:t>
            </w:r>
            <w:r>
              <w:rPr>
                <w:rFonts w:ascii="Arial" w:cs="Arial" w:eastAsia="Arial" w:hAnsi="Arial"/>
                <w:sz w:val="17"/>
                <w:szCs w:val="17"/>
                <w:color w:val="auto"/>
                <w:vertAlign w:val="superscript"/>
              </w:rPr>
              <w:t>(14)</w:t>
            </w:r>
          </w:p>
        </w:tc>
        <w:tc>
          <w:tcPr>
            <w:tcW w:w="960" w:type="dxa"/>
            <w:vAlign w:val="bottom"/>
            <w:shd w:val="clear" w:color="auto" w:fill="CBECD5"/>
          </w:tcPr>
          <w:p>
            <w:pPr>
              <w:jc w:val="right"/>
              <w:ind w:right="228"/>
              <w:spacing w:after="0"/>
              <w:rPr>
                <w:sz w:val="20"/>
                <w:szCs w:val="20"/>
                <w:color w:val="auto"/>
              </w:rPr>
            </w:pPr>
            <w:r>
              <w:rPr>
                <w:rFonts w:ascii="Arial" w:cs="Arial" w:eastAsia="Arial" w:hAnsi="Arial"/>
                <w:sz w:val="14"/>
                <w:szCs w:val="14"/>
                <w:color w:val="auto"/>
              </w:rPr>
              <w:t>32,180</w:t>
            </w:r>
          </w:p>
        </w:tc>
        <w:tc>
          <w:tcPr>
            <w:tcW w:w="100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68,732</w:t>
            </w:r>
          </w:p>
        </w:tc>
        <w:tc>
          <w:tcPr>
            <w:tcW w:w="1000" w:type="dxa"/>
            <w:vAlign w:val="bottom"/>
            <w:shd w:val="clear" w:color="auto" w:fill="CBECD5"/>
          </w:tcPr>
          <w:p>
            <w:pPr>
              <w:ind w:left="7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4640" w:type="dxa"/>
            <w:vAlign w:val="bottom"/>
          </w:tcPr>
          <w:p>
            <w:pPr>
              <w:ind w:left="60"/>
              <w:spacing w:after="0"/>
              <w:rPr>
                <w:sz w:val="20"/>
                <w:szCs w:val="20"/>
                <w:color w:val="auto"/>
              </w:rPr>
            </w:pPr>
            <w:r>
              <w:rPr>
                <w:rFonts w:ascii="Arial" w:cs="Arial" w:eastAsia="Arial" w:hAnsi="Arial"/>
                <w:sz w:val="14"/>
                <w:szCs w:val="14"/>
                <w:b w:val="1"/>
                <w:bCs w:val="1"/>
                <w:color w:val="auto"/>
              </w:rPr>
              <w:t>All Directors and named executive officers as a group</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ind w:left="6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53C072"/>
            </w:tcBorders>
          </w:tcPr>
          <w:p>
            <w:pPr>
              <w:ind w:left="200"/>
              <w:spacing w:after="0"/>
              <w:rPr>
                <w:sz w:val="20"/>
                <w:szCs w:val="20"/>
                <w:color w:val="auto"/>
              </w:rPr>
            </w:pPr>
            <w:r>
              <w:rPr>
                <w:rFonts w:ascii="Arial" w:cs="Arial" w:eastAsia="Arial" w:hAnsi="Arial"/>
                <w:sz w:val="14"/>
                <w:szCs w:val="14"/>
                <w:b w:val="1"/>
                <w:bCs w:val="1"/>
                <w:color w:val="auto"/>
              </w:rPr>
              <w:t>(15 persons)</w:t>
            </w:r>
            <w:r>
              <w:rPr>
                <w:rFonts w:ascii="Arial" w:cs="Arial" w:eastAsia="Arial" w:hAnsi="Arial"/>
                <w:sz w:val="17"/>
                <w:szCs w:val="17"/>
                <w:b w:val="1"/>
                <w:bCs w:val="1"/>
                <w:color w:val="auto"/>
                <w:vertAlign w:val="superscript"/>
              </w:rPr>
              <w:t>(15)</w:t>
            </w:r>
          </w:p>
        </w:tc>
        <w:tc>
          <w:tcPr>
            <w:tcW w:w="1160" w:type="dxa"/>
            <w:vAlign w:val="bottom"/>
            <w:tcBorders>
              <w:bottom w:val="single" w:sz="8" w:color="53C072"/>
            </w:tcBorders>
          </w:tcPr>
          <w:p>
            <w:pPr>
              <w:jc w:val="right"/>
              <w:ind w:right="228"/>
              <w:spacing w:after="0"/>
              <w:rPr>
                <w:sz w:val="20"/>
                <w:szCs w:val="20"/>
                <w:color w:val="auto"/>
              </w:rPr>
            </w:pPr>
            <w:r>
              <w:rPr>
                <w:rFonts w:ascii="Arial" w:cs="Arial" w:eastAsia="Arial" w:hAnsi="Arial"/>
                <w:sz w:val="14"/>
                <w:szCs w:val="14"/>
                <w:b w:val="1"/>
                <w:bCs w:val="1"/>
                <w:color w:val="auto"/>
              </w:rPr>
              <w:t>780,527</w:t>
            </w:r>
          </w:p>
        </w:tc>
        <w:tc>
          <w:tcPr>
            <w:tcW w:w="960" w:type="dxa"/>
            <w:vAlign w:val="bottom"/>
            <w:tcBorders>
              <w:bottom w:val="single" w:sz="8" w:color="53C072"/>
            </w:tcBorders>
          </w:tcPr>
          <w:p>
            <w:pPr>
              <w:jc w:val="right"/>
              <w:ind w:right="228"/>
              <w:spacing w:after="0"/>
              <w:rPr>
                <w:sz w:val="20"/>
                <w:szCs w:val="20"/>
                <w:color w:val="auto"/>
              </w:rPr>
            </w:pPr>
            <w:r>
              <w:rPr>
                <w:rFonts w:ascii="Arial" w:cs="Arial" w:eastAsia="Arial" w:hAnsi="Arial"/>
                <w:sz w:val="14"/>
                <w:szCs w:val="14"/>
                <w:b w:val="1"/>
                <w:bCs w:val="1"/>
                <w:color w:val="auto"/>
              </w:rPr>
              <w:t>412,076</w:t>
            </w:r>
          </w:p>
        </w:tc>
        <w:tc>
          <w:tcPr>
            <w:tcW w:w="100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rPr>
              <w:t>1,192,603</w:t>
            </w:r>
          </w:p>
        </w:tc>
        <w:tc>
          <w:tcPr>
            <w:tcW w:w="1000" w:type="dxa"/>
            <w:vAlign w:val="bottom"/>
            <w:tcBorders>
              <w:bottom w:val="single" w:sz="8" w:color="53C072"/>
            </w:tcBorders>
          </w:tcPr>
          <w:p>
            <w:pPr>
              <w:jc w:val="right"/>
              <w:ind w:right="90"/>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780" w:hanging="718"/>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less than 1%.</w:t>
      </w:r>
    </w:p>
    <w:p>
      <w:pPr>
        <w:sectPr>
          <w:pgSz w:w="11900" w:h="16838" w:orient="portrait"/>
          <w:cols w:equalWidth="0" w:num="1">
            <w:col w:w="9879"/>
          </w:cols>
          <w:pgMar w:left="580" w:top="90" w:right="1440" w:bottom="1440" w:gutter="0" w:footer="0" w:header="0"/>
          <w:type w:val="continuous"/>
        </w:sectPr>
      </w:pPr>
    </w:p>
    <w:p>
      <w:pPr>
        <w:spacing w:after="0" w:line="17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20"/>
                <w:szCs w:val="20"/>
                <w:color w:val="auto"/>
              </w:rPr>
            </w:pPr>
            <w:r>
              <w:rPr>
                <w:rFonts w:ascii="Arial" w:cs="Arial" w:eastAsia="Arial" w:hAnsi="Arial"/>
                <w:sz w:val="14"/>
                <w:szCs w:val="14"/>
                <w:color w:val="003366"/>
              </w:rPr>
              <w:t>TABLE OF CONTENTS</w:t>
            </w: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3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5820" w:type="dxa"/>
            <w:vAlign w:val="bottom"/>
            <w:vMerge w:val="restart"/>
          </w:tcPr>
          <w:p>
            <w:pPr>
              <w:ind w:left="1580"/>
              <w:spacing w:after="0"/>
              <w:rPr>
                <w:sz w:val="20"/>
                <w:szCs w:val="20"/>
                <w:color w:val="auto"/>
              </w:rPr>
            </w:pPr>
            <w:r>
              <w:rPr>
                <w:rFonts w:ascii="Arial" w:cs="Arial" w:eastAsia="Arial" w:hAnsi="Arial"/>
                <w:sz w:val="14"/>
                <w:szCs w:val="14"/>
                <w:color w:val="auto"/>
              </w:rPr>
              <w:t>Security Ownership of Certain Beneficial Owners and Management</w:t>
            </w:r>
          </w:p>
        </w:tc>
        <w:tc>
          <w:tcPr>
            <w:tcW w:w="0" w:type="dxa"/>
            <w:vAlign w:val="bottom"/>
          </w:tcPr>
          <w:p>
            <w:pPr>
              <w:spacing w:after="0"/>
              <w:rPr>
                <w:sz w:val="1"/>
                <w:szCs w:val="1"/>
                <w:color w:val="auto"/>
              </w:rPr>
            </w:pPr>
          </w:p>
        </w:tc>
      </w:tr>
      <w:tr>
        <w:trPr>
          <w:trHeight w:val="85"/>
        </w:trPr>
        <w:tc>
          <w:tcPr>
            <w:tcW w:w="3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920" w:type="dxa"/>
            <w:vAlign w:val="bottom"/>
            <w:vMerge w:val="continue"/>
          </w:tcPr>
          <w:p>
            <w:pPr>
              <w:spacing w:after="0"/>
              <w:rPr>
                <w:sz w:val="11"/>
                <w:szCs w:val="11"/>
                <w:color w:val="auto"/>
              </w:rPr>
            </w:pP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780" w:right="219" w:hanging="718"/>
        <w:spacing w:after="0" w:line="275"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106" w:lineRule="exact"/>
        <w:rPr>
          <w:rFonts w:ascii="Arial" w:cs="Arial" w:eastAsia="Arial" w:hAnsi="Arial"/>
          <w:sz w:val="18"/>
          <w:szCs w:val="18"/>
          <w:color w:val="auto"/>
        </w:rPr>
      </w:pPr>
    </w:p>
    <w:p>
      <w:pPr>
        <w:ind w:left="1780" w:right="1259" w:hanging="718"/>
        <w:spacing w:after="0" w:line="275"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91,540,663 shares of Common Stock outstanding (net of treasury shares) at September 1, 2023.</w:t>
      </w:r>
    </w:p>
    <w:p>
      <w:pPr>
        <w:spacing w:after="0" w:line="106" w:lineRule="exact"/>
        <w:rPr>
          <w:sz w:val="20"/>
          <w:szCs w:val="20"/>
          <w:color w:val="auto"/>
        </w:rPr>
      </w:pPr>
    </w:p>
    <w:p>
      <w:pPr>
        <w:jc w:val="both"/>
        <w:ind w:left="1780" w:right="239" w:hanging="718"/>
        <w:spacing w:after="0" w:line="263"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2 to a Schedule 13G filed with the SEC on June 8, 2023 by BlackRock, Inc., which reports sole voting power with respect to 8,854,574 shares and sole dispositive power with respect to 9,243,635 shares.</w:t>
      </w:r>
    </w:p>
    <w:p>
      <w:pPr>
        <w:spacing w:after="0" w:line="102" w:lineRule="exact"/>
        <w:rPr>
          <w:rFonts w:ascii="Arial" w:cs="Arial" w:eastAsia="Arial" w:hAnsi="Arial"/>
          <w:sz w:val="18"/>
          <w:szCs w:val="18"/>
          <w:color w:val="auto"/>
        </w:rPr>
      </w:pPr>
    </w:p>
    <w:p>
      <w:pPr>
        <w:ind w:left="1780" w:right="179" w:hanging="718"/>
        <w:spacing w:after="0" w:line="263"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solely on information provided in a Schedule 13G filed with the SEC on February 10, 2023 by Dimensional Fund Advisors LP, which reports sole voting power with respect to 5,870,676 shares and sole dispositive power with respect to 5,934,049 shares.</w:t>
      </w:r>
    </w:p>
    <w:p>
      <w:pPr>
        <w:spacing w:after="0" w:line="116" w:lineRule="exact"/>
        <w:rPr>
          <w:rFonts w:ascii="Arial" w:cs="Arial" w:eastAsia="Arial" w:hAnsi="Arial"/>
          <w:sz w:val="18"/>
          <w:szCs w:val="18"/>
          <w:color w:val="auto"/>
        </w:rPr>
      </w:pPr>
    </w:p>
    <w:p>
      <w:pPr>
        <w:ind w:left="1780" w:right="239" w:hanging="718"/>
        <w:spacing w:after="0" w:line="263"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6 to a Schedule 13G filed with the SEC on January 20, 2023 by Pzena Investment Management, LLC, which reports sole voting power with respect to 7,013,480 shares and sole dispositive power with respect to 9,282,603 shares.</w:t>
      </w:r>
    </w:p>
    <w:p>
      <w:pPr>
        <w:spacing w:after="0" w:line="116" w:lineRule="exact"/>
        <w:rPr>
          <w:rFonts w:ascii="Arial" w:cs="Arial" w:eastAsia="Arial" w:hAnsi="Arial"/>
          <w:sz w:val="18"/>
          <w:szCs w:val="18"/>
          <w:color w:val="auto"/>
        </w:rPr>
      </w:pPr>
    </w:p>
    <w:p>
      <w:pPr>
        <w:ind w:left="1780" w:right="379" w:hanging="718"/>
        <w:spacing w:after="0" w:line="258"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12 to a Schedule 13G filed with the SEC on February 9, 2023, by The Vanguard Group, which reports sole voting power with respect to 0 shares, shared voting power with respect to 39,698 shares, sole dispositive power with respect to 10,092,753 shares and shared dispositive power with respect to 131,672 shares.</w:t>
      </w:r>
    </w:p>
    <w:p>
      <w:pPr>
        <w:spacing w:after="0" w:line="108" w:lineRule="exact"/>
        <w:rPr>
          <w:rFonts w:ascii="Arial" w:cs="Arial" w:eastAsia="Arial" w:hAnsi="Arial"/>
          <w:sz w:val="18"/>
          <w:szCs w:val="18"/>
          <w:color w:val="auto"/>
        </w:rPr>
      </w:pPr>
    </w:p>
    <w:p>
      <w:pPr>
        <w:ind w:left="1780" w:hanging="718"/>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Adkins’ ownership includes 5,026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Ownership consists solely of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Khaykin’s ownership includes 35,752 Phantom Stock Units.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Maddock’s ownership includes 4,391 Phantom Stock Units.</w:t>
      </w:r>
    </w:p>
    <w:p>
      <w:pPr>
        <w:spacing w:after="0" w:line="157" w:lineRule="exact"/>
        <w:rPr>
          <w:rFonts w:ascii="Arial" w:cs="Arial" w:eastAsia="Arial" w:hAnsi="Arial"/>
          <w:sz w:val="18"/>
          <w:szCs w:val="18"/>
          <w:color w:val="auto"/>
        </w:rPr>
      </w:pPr>
    </w:p>
    <w:p>
      <w:pPr>
        <w:jc w:val="both"/>
        <w:ind w:left="1780" w:right="359" w:hanging="718"/>
        <w:spacing w:after="0" w:line="263"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Gallagher’s information includes 53,562 Common Stock owned by the Gallagher Family Trust, 171,827 Restricted Stock Units allocated but not yet vested, and 35,594 Performance Stock Units earned but not yet vested.</w:t>
      </w:r>
    </w:p>
    <w:p>
      <w:pPr>
        <w:spacing w:after="0" w:line="116" w:lineRule="exact"/>
        <w:rPr>
          <w:rFonts w:ascii="Arial" w:cs="Arial" w:eastAsia="Arial" w:hAnsi="Arial"/>
          <w:sz w:val="18"/>
          <w:szCs w:val="18"/>
          <w:color w:val="auto"/>
        </w:rPr>
      </w:pPr>
    </w:p>
    <w:p>
      <w:pPr>
        <w:ind w:left="1780" w:right="359" w:hanging="718"/>
        <w:spacing w:after="0" w:line="275"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Jacobson’s ownership includes 35,346 Restricted Stock Units allocated but not yet vested and 6,845 Performance Stock Units earned but not yet vested.</w:t>
      </w:r>
    </w:p>
    <w:p>
      <w:pPr>
        <w:spacing w:after="0" w:line="92" w:lineRule="exact"/>
        <w:rPr>
          <w:rFonts w:ascii="Arial" w:cs="Arial" w:eastAsia="Arial" w:hAnsi="Arial"/>
          <w:sz w:val="18"/>
          <w:szCs w:val="18"/>
          <w:color w:val="auto"/>
        </w:rPr>
      </w:pPr>
    </w:p>
    <w:p>
      <w:pPr>
        <w:ind w:left="1780" w:right="599" w:hanging="718"/>
        <w:spacing w:after="0" w:line="275"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Arnold’s ownership includes 27,758 Restricted Stock Units allocated but not yet vested and 5,201 Performance Stock Units earned but not yet vested.</w:t>
      </w:r>
    </w:p>
    <w:p>
      <w:pPr>
        <w:spacing w:after="0" w:line="106" w:lineRule="exact"/>
        <w:rPr>
          <w:rFonts w:ascii="Arial" w:cs="Arial" w:eastAsia="Arial" w:hAnsi="Arial"/>
          <w:sz w:val="18"/>
          <w:szCs w:val="18"/>
          <w:color w:val="auto"/>
        </w:rPr>
      </w:pPr>
    </w:p>
    <w:p>
      <w:pPr>
        <w:ind w:left="1780" w:right="559" w:hanging="718"/>
        <w:spacing w:after="0" w:line="275"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McCoy’s ownership includes 30,992 Restricted Stock Units allocated but not yet vested and 5,750 Performance Stock Units earned but not yet vested.</w:t>
      </w:r>
    </w:p>
    <w:p>
      <w:pPr>
        <w:spacing w:after="0" w:line="106" w:lineRule="exact"/>
        <w:rPr>
          <w:rFonts w:ascii="Arial" w:cs="Arial" w:eastAsia="Arial" w:hAnsi="Arial"/>
          <w:sz w:val="18"/>
          <w:szCs w:val="18"/>
          <w:color w:val="auto"/>
        </w:rPr>
      </w:pPr>
    </w:p>
    <w:p>
      <w:pPr>
        <w:ind w:left="1780" w:right="599" w:hanging="718"/>
        <w:spacing w:after="0" w:line="275"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Obregon-Jimenez’s ownership includes 15,118 Restricted Stock Units allocated but not yet vested.</w:t>
      </w:r>
    </w:p>
    <w:p>
      <w:pPr>
        <w:spacing w:after="0" w:line="92" w:lineRule="exact"/>
        <w:rPr>
          <w:rFonts w:ascii="Arial" w:cs="Arial" w:eastAsia="Arial" w:hAnsi="Arial"/>
          <w:sz w:val="18"/>
          <w:szCs w:val="18"/>
          <w:color w:val="auto"/>
        </w:rPr>
      </w:pPr>
    </w:p>
    <w:p>
      <w:pPr>
        <w:jc w:val="both"/>
        <w:ind w:left="1780" w:right="359" w:hanging="718"/>
        <w:spacing w:after="0" w:line="263"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Liguori’s information is as of September 6, 2022, when he transitioned to a senior advisor. His ownership included 30,066 Restricted Stock Units allocated but not yet vested as of September 6, 2022.</w:t>
      </w:r>
    </w:p>
    <w:p>
      <w:pPr>
        <w:spacing w:after="0" w:line="116" w:lineRule="exact"/>
        <w:rPr>
          <w:rFonts w:ascii="Arial" w:cs="Arial" w:eastAsia="Arial" w:hAnsi="Arial"/>
          <w:sz w:val="18"/>
          <w:szCs w:val="18"/>
          <w:color w:val="auto"/>
        </w:rPr>
      </w:pPr>
    </w:p>
    <w:p>
      <w:pPr>
        <w:ind w:left="1780" w:right="659" w:hanging="718"/>
        <w:spacing w:after="0" w:line="275"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representations by Directors and Officers, none of the shares have been pledged as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34     </w:t>
      </w:r>
      <w:r>
        <w:rPr>
          <w:sz w:val="1"/>
          <w:szCs w:val="1"/>
          <w:color w:val="auto"/>
        </w:rPr>
        <w:drawing>
          <wp:inline distT="0" distB="0" distL="0" distR="0">
            <wp:extent cx="1242695" cy="24003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00"/>
        <w:spacing w:after="0"/>
        <w:rPr>
          <w:sz w:val="20"/>
          <w:szCs w:val="20"/>
          <w:color w:val="auto"/>
        </w:rPr>
      </w:pPr>
      <w:r>
        <w:rPr>
          <w:rFonts w:ascii="Arial" w:cs="Arial" w:eastAsia="Arial" w:hAnsi="Arial"/>
          <w:sz w:val="40"/>
          <w:szCs w:val="40"/>
          <w:b w:val="1"/>
          <w:bCs w:val="1"/>
          <w:color w:val="FEFEFE"/>
        </w:rPr>
        <w:t>DELINQUENT SECTION 16(a) REPORTS</w:t>
      </w:r>
      <w:r>
        <w:rPr>
          <w:rFonts w:ascii="Arial" w:cs="Arial" w:eastAsia="Arial" w:hAnsi="Arial"/>
          <w:sz w:val="17"/>
          <w:szCs w:val="17"/>
          <w:color w:val="FEFEFE"/>
        </w:rPr>
        <w:t>​</w:t>
      </w:r>
    </w:p>
    <w:p>
      <w:pPr>
        <w:spacing w:after="0" w:line="354"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Section 16(a) of the Exchange Act (“Section 16(a)”) requires that the Company’s Directors and executive officers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Directors and executive officers with these reporting requirements. The Company is required to disclose whether it has knowledge that any person required to file such reports may have failed to do so in a timely manner.</w:t>
      </w:r>
    </w:p>
    <w:p>
      <w:pPr>
        <w:spacing w:after="0" w:line="124" w:lineRule="exact"/>
        <w:rPr>
          <w:sz w:val="20"/>
          <w:szCs w:val="20"/>
          <w:color w:val="auto"/>
        </w:rPr>
      </w:pPr>
    </w:p>
    <w:p>
      <w:pPr>
        <w:ind w:left="1000" w:right="299"/>
        <w:spacing w:after="0" w:line="258" w:lineRule="auto"/>
        <w:rPr>
          <w:sz w:val="20"/>
          <w:szCs w:val="20"/>
          <w:color w:val="auto"/>
        </w:rPr>
      </w:pPr>
      <w:r>
        <w:rPr>
          <w:rFonts w:ascii="Arial" w:cs="Arial" w:eastAsia="Arial" w:hAnsi="Arial"/>
          <w:sz w:val="18"/>
          <w:szCs w:val="18"/>
          <w:color w:val="auto"/>
        </w:rPr>
        <w:t>Based solely on a review of the copies of the fiscal year 2023 Section 16(a) reports in the Company’s possession and on written representations from the Company’s Directors and executive officers that no other reports were required during the year ended July 1, 2023, the Company believes that during the fiscal year ended July 1, 2023, all Section 16(a) filings were timely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146050</wp:posOffset>
            </wp:positionV>
            <wp:extent cx="5554980" cy="325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40"/>
          <w:szCs w:val="40"/>
          <w:b w:val="1"/>
          <w:bCs w:val="1"/>
          <w:color w:val="FEFEFE"/>
        </w:rPr>
        <w:t>RELATED PERSON TRANSACTIONS</w:t>
      </w:r>
      <w:r>
        <w:rPr>
          <w:rFonts w:ascii="Arial" w:cs="Arial" w:eastAsia="Arial" w:hAnsi="Arial"/>
          <w:sz w:val="17"/>
          <w:szCs w:val="17"/>
          <w:color w:val="FEFEFE"/>
        </w:rPr>
        <w:t>​</w:t>
      </w:r>
    </w:p>
    <w:p>
      <w:pPr>
        <w:spacing w:after="0" w:line="354" w:lineRule="exact"/>
        <w:rPr>
          <w:sz w:val="20"/>
          <w:szCs w:val="20"/>
          <w:color w:val="auto"/>
        </w:rPr>
      </w:pPr>
    </w:p>
    <w:p>
      <w:pPr>
        <w:ind w:left="1000" w:right="219"/>
        <w:spacing w:after="0" w:line="258" w:lineRule="auto"/>
        <w:rPr>
          <w:sz w:val="20"/>
          <w:szCs w:val="20"/>
          <w:color w:val="auto"/>
        </w:rPr>
      </w:pPr>
      <w:r>
        <w:rPr>
          <w:rFonts w:ascii="Arial" w:cs="Arial" w:eastAsia="Arial" w:hAnsi="Arial"/>
          <w:sz w:val="18"/>
          <w:szCs w:val="18"/>
          <w:color w:val="auto"/>
        </w:rPr>
        <w:t>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22"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The Company has a variety of policies and procedures for identifying and reviewing related person transactions. 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must be pre-approved in writing.</w:t>
      </w:r>
    </w:p>
    <w:p>
      <w:pPr>
        <w:spacing w:after="0" w:line="125"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Company’s disclosure committee reviews whether there are any related person transactions that should be disclosed in the Company’s SEC filings. In addition,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600" w:right="280"/>
        <w:spacing w:after="0" w:line="340" w:lineRule="auto"/>
        <w:rPr>
          <w:sz w:val="20"/>
          <w:szCs w:val="20"/>
          <w:color w:val="auto"/>
        </w:rPr>
      </w:pPr>
      <w:r>
        <w:rPr>
          <w:rFonts w:ascii="Arial" w:cs="Arial" w:eastAsia="Arial" w:hAnsi="Arial"/>
          <w:sz w:val="37"/>
          <w:szCs w:val="37"/>
          <w:b w:val="1"/>
          <w:bCs w:val="1"/>
          <w:color w:val="FEFEFE"/>
        </w:rPr>
        <w:t>PROPOSAL 2: ADVISORY VOTE ON NAMED EXECUTIVE OFFICER COMPENSATION</w:t>
      </w:r>
      <w:r>
        <w:rPr>
          <w:rFonts w:ascii="Arial" w:cs="Arial" w:eastAsia="Arial" w:hAnsi="Arial"/>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42545</wp:posOffset>
            </wp:positionV>
            <wp:extent cx="5554980" cy="788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54980" cy="788670"/>
                    </a:xfrm>
                    <a:prstGeom prst="rect">
                      <a:avLst/>
                    </a:prstGeom>
                    <a:noFill/>
                  </pic:spPr>
                </pic:pic>
              </a:graphicData>
            </a:graphic>
          </wp:anchor>
        </w:drawing>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FEFEFE"/>
        </w:rPr>
        <w:t>RECOMMENDATION OF THE BOARD</w:t>
      </w:r>
    </w:p>
    <w:p>
      <w:pPr>
        <w:spacing w:after="0" w:line="210" w:lineRule="exact"/>
        <w:rPr>
          <w:sz w:val="20"/>
          <w:szCs w:val="20"/>
          <w:color w:val="auto"/>
        </w:rPr>
      </w:pPr>
    </w:p>
    <w:p>
      <w:pPr>
        <w:ind w:left="2480" w:right="839"/>
        <w:spacing w:after="0" w:line="275"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the advisory vote on the compensation of the Named Executive Officers as disclosed in this Proxy Statement.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18" w:lineRule="exact"/>
        <w:rPr>
          <w:sz w:val="20"/>
          <w:szCs w:val="20"/>
          <w:color w:val="auto"/>
        </w:rPr>
      </w:pPr>
    </w:p>
    <w:p>
      <w:pPr>
        <w:ind w:left="1000" w:right="199"/>
        <w:spacing w:after="0" w:line="244"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requests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51" w:lineRule="exact"/>
        <w:rPr>
          <w:sz w:val="20"/>
          <w:szCs w:val="20"/>
          <w:color w:val="auto"/>
        </w:rPr>
      </w:pPr>
    </w:p>
    <w:p>
      <w:pPr>
        <w:ind w:left="1000" w:right="239"/>
        <w:spacing w:after="0" w:line="257" w:lineRule="auto"/>
        <w:rPr>
          <w:sz w:val="20"/>
          <w:szCs w:val="20"/>
          <w:color w:val="auto"/>
        </w:rPr>
      </w:pPr>
      <w:r>
        <w:rPr>
          <w:rFonts w:ascii="Arial" w:cs="Arial" w:eastAsia="Arial" w:hAnsi="Arial"/>
          <w:sz w:val="20"/>
          <w:szCs w:val="20"/>
          <w:b w:val="1"/>
          <w:bCs w:val="1"/>
          <w:color w:val="auto"/>
        </w:rPr>
        <w:t>Shareholders are urged to read the “Compensation Discussion and Analysis” along with the compensation tables and narrative discussion that follows, which discuss how the compensation program is implemented with respect to the NEOs.</w:t>
      </w:r>
    </w:p>
    <w:p>
      <w:pPr>
        <w:spacing w:after="0" w:line="32" w:lineRule="exact"/>
        <w:rPr>
          <w:sz w:val="20"/>
          <w:szCs w:val="20"/>
          <w:color w:val="auto"/>
        </w:rPr>
      </w:pPr>
    </w:p>
    <w:p>
      <w:pPr>
        <w:ind w:left="1000" w:right="339"/>
        <w:spacing w:after="0" w:line="275" w:lineRule="auto"/>
        <w:rPr>
          <w:sz w:val="20"/>
          <w:szCs w:val="20"/>
          <w:color w:val="auto"/>
        </w:rPr>
      </w:pPr>
      <w:r>
        <w:rPr>
          <w:rFonts w:ascii="Arial" w:cs="Arial" w:eastAsia="Arial" w:hAnsi="Arial"/>
          <w:sz w:val="18"/>
          <w:szCs w:val="18"/>
          <w:color w:val="auto"/>
        </w:rPr>
        <w:t>The Board believes that the NEO’s compensation as described in this Proxy Statement was appropriate and recommends a vote “FOR” the following resolution:</w:t>
      </w:r>
    </w:p>
    <w:p>
      <w:pPr>
        <w:spacing w:after="0" w:line="39" w:lineRule="exact"/>
        <w:rPr>
          <w:sz w:val="20"/>
          <w:szCs w:val="20"/>
          <w:color w:val="auto"/>
        </w:rPr>
      </w:pPr>
    </w:p>
    <w:p>
      <w:pPr>
        <w:ind w:left="1340" w:right="319"/>
        <w:spacing w:after="0" w:line="267"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2023 Annual Meeting of Shareholders, pursuant to the compensation disclosure rules of the SEC, including the Compensation Discussion and Analysis, compensation tables, and narrative discussion.</w:t>
      </w:r>
    </w:p>
    <w:p>
      <w:pPr>
        <w:spacing w:after="0" w:line="21"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Although the vote is non-binding, the Compensation and Leadership Development Committee and the Board value shareholder opinions. If a significant number of votes are cast against the disclosed NEO compensation,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p>
    <w:p>
      <w:pPr>
        <w:spacing w:after="0" w:line="64" w:lineRule="exact"/>
        <w:rPr>
          <w:sz w:val="20"/>
          <w:szCs w:val="20"/>
          <w:color w:val="auto"/>
        </w:rPr>
      </w:pPr>
    </w:p>
    <w:p>
      <w:pPr>
        <w:ind w:left="1000" w:right="279"/>
        <w:spacing w:after="0" w:line="275"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2024 Annual Meeting of Shareholders.</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04" w:lineRule="exact"/>
        <w:rPr>
          <w:sz w:val="20"/>
          <w:szCs w:val="20"/>
          <w:color w:val="auto"/>
        </w:rPr>
      </w:pPr>
    </w:p>
    <w:p>
      <w:pPr>
        <w:ind w:left="1000" w:right="259"/>
        <w:spacing w:after="0" w:line="244" w:lineRule="auto"/>
        <w:rPr>
          <w:sz w:val="20"/>
          <w:szCs w:val="20"/>
          <w:color w:val="auto"/>
        </w:rPr>
      </w:pPr>
      <w:r>
        <w:rPr>
          <w:rFonts w:ascii="Arial" w:cs="Arial" w:eastAsia="Arial" w:hAnsi="Arial"/>
          <w:sz w:val="18"/>
          <w:szCs w:val="18"/>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04" w:lineRule="exact"/>
        <w:rPr>
          <w:sz w:val="20"/>
          <w:szCs w:val="20"/>
          <w:color w:val="auto"/>
        </w:rPr>
      </w:pPr>
    </w:p>
    <w:p>
      <w:pPr>
        <w:ind w:left="1000" w:right="259"/>
        <w:spacing w:after="0" w:line="255"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approval of the compensation of the Named Executive Officers as disclosed in this Proxy Statement.</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36     </w:t>
      </w:r>
      <w:r>
        <w:rPr>
          <w:sz w:val="1"/>
          <w:szCs w:val="1"/>
          <w:color w:val="auto"/>
        </w:rPr>
        <w:drawing>
          <wp:inline distT="0" distB="0" distL="0" distR="0">
            <wp:extent cx="1242695" cy="24003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60"/>
        <w:spacing w:after="0"/>
        <w:rPr>
          <w:sz w:val="20"/>
          <w:szCs w:val="20"/>
          <w:color w:val="auto"/>
        </w:rPr>
      </w:pPr>
      <w:r>
        <w:rPr>
          <w:rFonts w:ascii="Arial" w:cs="Arial" w:eastAsia="Arial" w:hAnsi="Arial"/>
          <w:sz w:val="38"/>
          <w:szCs w:val="38"/>
          <w:b w:val="1"/>
          <w:bCs w:val="1"/>
          <w:color w:val="FEFEFE"/>
        </w:rPr>
        <w:t>COMPENSATION DISCUSSION AND</w:t>
      </w:r>
    </w:p>
    <w:p>
      <w:pPr>
        <w:spacing w:after="0" w:line="86"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ANALYSIS</w:t>
      </w:r>
      <w:r>
        <w:rPr>
          <w:rFonts w:ascii="Arial" w:cs="Arial" w:eastAsia="Arial" w:hAnsi="Arial"/>
          <w:sz w:val="17"/>
          <w:szCs w:val="17"/>
          <w:color w:val="FEFEFE"/>
        </w:rPr>
        <w:t>​</w:t>
      </w:r>
    </w:p>
    <w:p>
      <w:pPr>
        <w:sectPr>
          <w:pgSz w:w="11900" w:h="16838" w:orient="portrait"/>
          <w:cols w:equalWidth="0" w:num="1">
            <w:col w:w="9879"/>
          </w:cols>
          <w:pgMar w:left="580" w:top="90" w:right="1440" w:bottom="1440" w:gutter="0" w:footer="0" w:header="0"/>
        </w:sectPr>
      </w:pPr>
    </w:p>
    <w:p>
      <w:pPr>
        <w:spacing w:after="0" w:line="290" w:lineRule="exact"/>
        <w:rPr>
          <w:sz w:val="20"/>
          <w:szCs w:val="20"/>
          <w:color w:val="auto"/>
        </w:rPr>
      </w:pPr>
    </w:p>
    <w:tbl>
      <w:tblPr>
        <w:tblLayout w:type="fixed"/>
        <w:tblInd w:w="990" w:type="dxa"/>
        <w:tblCellMar>
          <w:top w:w="0" w:type="dxa"/>
          <w:left w:w="0" w:type="dxa"/>
          <w:bottom w:w="0" w:type="dxa"/>
          <w:right w:w="0" w:type="dxa"/>
        </w:tblCellMar>
      </w:tblPr>
      <w:tr>
        <w:trPr>
          <w:trHeight w:val="270"/>
        </w:trPr>
        <w:tc>
          <w:tcPr>
            <w:tcW w:w="120" w:type="dxa"/>
            <w:vAlign w:val="bottom"/>
            <w:tcBorders>
              <w:left w:val="single" w:sz="8" w:color="53C072"/>
            </w:tcBorders>
            <w:shd w:val="clear" w:color="auto" w:fill="53C072"/>
          </w:tcPr>
          <w:p>
            <w:pPr>
              <w:spacing w:after="0"/>
              <w:rPr>
                <w:sz w:val="23"/>
                <w:szCs w:val="23"/>
                <w:color w:val="auto"/>
              </w:rPr>
            </w:pPr>
          </w:p>
        </w:tc>
        <w:tc>
          <w:tcPr>
            <w:tcW w:w="3480" w:type="dxa"/>
            <w:vAlign w:val="bottom"/>
            <w:gridSpan w:val="27"/>
            <w:shd w:val="clear" w:color="auto" w:fill="53C072"/>
          </w:tcPr>
          <w:p>
            <w:pPr>
              <w:spacing w:after="0"/>
              <w:rPr>
                <w:sz w:val="20"/>
                <w:szCs w:val="20"/>
                <w:color w:val="auto"/>
              </w:rPr>
            </w:pPr>
            <w:r>
              <w:rPr>
                <w:rFonts w:ascii="Arial" w:cs="Arial" w:eastAsia="Arial" w:hAnsi="Arial"/>
                <w:sz w:val="20"/>
                <w:szCs w:val="20"/>
                <w:b w:val="1"/>
                <w:bCs w:val="1"/>
                <w:color w:val="FFFFFF"/>
              </w:rPr>
              <w:t>Table of Contents</w:t>
            </w:r>
          </w:p>
        </w:tc>
        <w:tc>
          <w:tcPr>
            <w:tcW w:w="680" w:type="dxa"/>
            <w:vAlign w:val="bottom"/>
            <w:tcBorders>
              <w:right w:val="single" w:sz="8" w:color="53C072"/>
            </w:tcBorders>
            <w:gridSpan w:val="2"/>
            <w:shd w:val="clear" w:color="auto" w:fill="53C072"/>
          </w:tcPr>
          <w:p>
            <w:pPr>
              <w:jc w:val="right"/>
              <w:spacing w:after="0"/>
              <w:rPr>
                <w:sz w:val="20"/>
                <w:szCs w:val="20"/>
                <w:color w:val="auto"/>
              </w:rPr>
            </w:pPr>
            <w:r>
              <w:rPr>
                <w:rFonts w:ascii="Arial" w:cs="Arial" w:eastAsia="Arial" w:hAnsi="Arial"/>
                <w:sz w:val="16"/>
                <w:szCs w:val="16"/>
                <w:b w:val="1"/>
                <w:bCs w:val="1"/>
                <w:color w:val="FFFFFF"/>
              </w:rPr>
              <w:t>Page</w:t>
            </w:r>
            <w:r>
              <w:rPr>
                <w:rFonts w:ascii="Arial" w:cs="Arial" w:eastAsia="Arial" w:hAnsi="Arial"/>
                <w:sz w:val="19"/>
                <w:szCs w:val="19"/>
                <w:b w:val="1"/>
                <w:bCs w:val="1"/>
                <w:color w:val="FFFFFF"/>
              </w:rPr>
              <w:t>​</w:t>
            </w:r>
          </w:p>
        </w:tc>
      </w:tr>
      <w:tr>
        <w:trPr>
          <w:trHeight w:val="175"/>
        </w:trPr>
        <w:tc>
          <w:tcPr>
            <w:tcW w:w="120" w:type="dxa"/>
            <w:vAlign w:val="bottom"/>
            <w:tcBorders>
              <w:left w:val="single" w:sz="8" w:color="53C072"/>
            </w:tcBorders>
            <w:shd w:val="clear" w:color="auto" w:fill="CBECD5"/>
          </w:tcPr>
          <w:p>
            <w:pPr>
              <w:spacing w:after="0"/>
              <w:rPr>
                <w:sz w:val="15"/>
                <w:szCs w:val="15"/>
                <w:color w:val="auto"/>
              </w:rPr>
            </w:pPr>
          </w:p>
        </w:tc>
        <w:tc>
          <w:tcPr>
            <w:tcW w:w="3480" w:type="dxa"/>
            <w:vAlign w:val="bottom"/>
            <w:gridSpan w:val="27"/>
            <w:shd w:val="clear" w:color="auto" w:fill="CBECD5"/>
          </w:tcPr>
          <w:p>
            <w:pPr>
              <w:spacing w:after="0" w:line="175" w:lineRule="exact"/>
              <w:rPr>
                <w:sz w:val="20"/>
                <w:szCs w:val="20"/>
                <w:color w:val="auto"/>
              </w:rPr>
            </w:pPr>
            <w:r>
              <w:rPr>
                <w:rFonts w:ascii="Arial" w:cs="Arial" w:eastAsia="Arial" w:hAnsi="Arial"/>
                <w:sz w:val="16"/>
                <w:szCs w:val="16"/>
                <w:b w:val="1"/>
                <w:bCs w:val="1"/>
                <w:color w:val="0000EE"/>
              </w:rPr>
              <w:t>Executive Summary</w:t>
            </w:r>
          </w:p>
        </w:tc>
        <w:tc>
          <w:tcPr>
            <w:tcW w:w="680" w:type="dxa"/>
            <w:vAlign w:val="bottom"/>
            <w:tcBorders>
              <w:right w:val="single" w:sz="8" w:color="53C072"/>
            </w:tcBorders>
            <w:gridSpan w:val="2"/>
            <w:shd w:val="clear" w:color="auto" w:fill="CBECD5"/>
          </w:tcPr>
          <w:p>
            <w:pPr>
              <w:jc w:val="right"/>
              <w:spacing w:after="0" w:line="175" w:lineRule="exact"/>
              <w:rPr>
                <w:sz w:val="20"/>
                <w:szCs w:val="20"/>
                <w:color w:val="auto"/>
              </w:rPr>
            </w:pPr>
            <w:r>
              <w:rPr>
                <w:rFonts w:ascii="Arial" w:cs="Arial" w:eastAsia="Arial" w:hAnsi="Arial"/>
                <w:sz w:val="16"/>
                <w:szCs w:val="16"/>
                <w:color w:val="0000EE"/>
              </w:rPr>
              <w:t>37</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right w:val="single" w:sz="8" w:color="CBECD5"/>
            </w:tcBorders>
            <w:shd w:val="clear" w:color="auto" w:fill="0000EE"/>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120" w:type="dxa"/>
            <w:vAlign w:val="bottom"/>
            <w:tcBorders>
              <w:right w:val="single" w:sz="8" w:color="CBECD5"/>
            </w:tcBorders>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30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Named Executive Officers (NEOs)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37</w:t>
            </w:r>
          </w:p>
        </w:tc>
      </w:tr>
      <w:tr>
        <w:trPr>
          <w:trHeight w:val="210"/>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CBECD5"/>
            </w:tcBorders>
            <w:shd w:val="clear" w:color="auto" w:fill="CBECD5"/>
          </w:tcPr>
          <w:p>
            <w:pPr>
              <w:spacing w:after="0"/>
              <w:rPr>
                <w:sz w:val="18"/>
                <w:szCs w:val="18"/>
                <w:color w:val="auto"/>
              </w:rPr>
            </w:pPr>
          </w:p>
        </w:tc>
        <w:tc>
          <w:tcPr>
            <w:tcW w:w="2440" w:type="dxa"/>
            <w:vAlign w:val="bottom"/>
            <w:tcBorders>
              <w:top w:val="single" w:sz="8" w:color="0000EE"/>
            </w:tcBorders>
            <w:gridSpan w:val="18"/>
            <w:shd w:val="clear" w:color="auto" w:fill="CBECD5"/>
          </w:tcPr>
          <w:p>
            <w:pPr>
              <w:spacing w:after="0"/>
              <w:rPr>
                <w:sz w:val="20"/>
                <w:szCs w:val="20"/>
                <w:color w:val="auto"/>
              </w:rPr>
            </w:pPr>
            <w:r>
              <w:rPr>
                <w:rFonts w:ascii="Arial" w:cs="Arial" w:eastAsia="Arial" w:hAnsi="Arial"/>
                <w:sz w:val="16"/>
                <w:szCs w:val="16"/>
                <w:color w:val="0000EE"/>
              </w:rPr>
              <w:t>Business Performance</w:t>
            </w:r>
          </w:p>
        </w:tc>
        <w:tc>
          <w:tcPr>
            <w:tcW w:w="880" w:type="dxa"/>
            <w:vAlign w:val="bottom"/>
            <w:tcBorders>
              <w:top w:val="single" w:sz="8" w:color="CBECD5"/>
            </w:tcBorders>
            <w:gridSpan w:val="8"/>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38</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30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Summary of Incentive Compensation Design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89"/>
        </w:trPr>
        <w:tc>
          <w:tcPr>
            <w:tcW w:w="120" w:type="dxa"/>
            <w:vAlign w:val="bottom"/>
            <w:tcBorders>
              <w:top w:val="single" w:sz="8" w:color="CBECD5"/>
              <w:left w:val="single" w:sz="8" w:color="53C072"/>
              <w:bottom w:val="single" w:sz="8" w:color="CBECD5"/>
            </w:tcBorders>
            <w:shd w:val="clear" w:color="auto" w:fill="CBECD5"/>
          </w:tcPr>
          <w:p>
            <w:pPr>
              <w:spacing w:after="0"/>
              <w:rPr>
                <w:sz w:val="16"/>
                <w:szCs w:val="16"/>
                <w:color w:val="auto"/>
              </w:rPr>
            </w:pPr>
          </w:p>
        </w:tc>
        <w:tc>
          <w:tcPr>
            <w:tcW w:w="160" w:type="dxa"/>
            <w:vAlign w:val="bottom"/>
            <w:tcBorders>
              <w:top w:val="single" w:sz="8" w:color="CBECD5"/>
              <w:bottom w:val="single" w:sz="8" w:color="CBECD5"/>
            </w:tcBorders>
            <w:shd w:val="clear" w:color="auto" w:fill="CBECD5"/>
          </w:tcPr>
          <w:p>
            <w:pPr>
              <w:spacing w:after="0"/>
              <w:rPr>
                <w:sz w:val="16"/>
                <w:szCs w:val="16"/>
                <w:color w:val="auto"/>
              </w:rPr>
            </w:pPr>
          </w:p>
        </w:tc>
        <w:tc>
          <w:tcPr>
            <w:tcW w:w="2000" w:type="dxa"/>
            <w:vAlign w:val="bottom"/>
            <w:tcBorders>
              <w:top w:val="single" w:sz="8" w:color="0000EE"/>
              <w:bottom w:val="single" w:sz="8" w:color="0000EE"/>
            </w:tcBorders>
            <w:gridSpan w:val="12"/>
            <w:shd w:val="clear" w:color="auto" w:fill="CBECD5"/>
          </w:tcPr>
          <w:p>
            <w:pPr>
              <w:spacing w:after="0" w:line="155" w:lineRule="exact"/>
              <w:rPr>
                <w:sz w:val="20"/>
                <w:szCs w:val="20"/>
                <w:color w:val="auto"/>
              </w:rPr>
            </w:pPr>
            <w:r>
              <w:rPr>
                <w:rFonts w:ascii="Arial" w:cs="Arial" w:eastAsia="Arial" w:hAnsi="Arial"/>
                <w:sz w:val="16"/>
                <w:szCs w:val="16"/>
                <w:color w:val="0000EE"/>
                <w:w w:val="99"/>
              </w:rPr>
              <w:t>and Payouts for Fiscal 2023</w:t>
            </w:r>
          </w:p>
        </w:tc>
        <w:tc>
          <w:tcPr>
            <w:tcW w:w="1180" w:type="dxa"/>
            <w:vAlign w:val="bottom"/>
            <w:tcBorders>
              <w:top w:val="single" w:sz="8" w:color="0000EE"/>
              <w:bottom w:val="single" w:sz="8" w:color="CBECD5"/>
            </w:tcBorders>
            <w:gridSpan w:val="12"/>
            <w:shd w:val="clear" w:color="auto" w:fill="CBECD5"/>
          </w:tcPr>
          <w:p>
            <w:pPr>
              <w:spacing w:after="0"/>
              <w:rPr>
                <w:sz w:val="16"/>
                <w:szCs w:val="16"/>
                <w:color w:val="auto"/>
              </w:rPr>
            </w:pPr>
          </w:p>
        </w:tc>
        <w:tc>
          <w:tcPr>
            <w:tcW w:w="140" w:type="dxa"/>
            <w:vAlign w:val="bottom"/>
            <w:tcBorders>
              <w:top w:val="single" w:sz="8" w:color="CBECD5"/>
              <w:bottom w:val="single" w:sz="8" w:color="CBECD5"/>
            </w:tcBorders>
            <w:gridSpan w:val="2"/>
            <w:shd w:val="clear" w:color="auto" w:fill="CBECD5"/>
          </w:tcPr>
          <w:p>
            <w:pPr>
              <w:spacing w:after="0"/>
              <w:rPr>
                <w:sz w:val="16"/>
                <w:szCs w:val="16"/>
                <w:color w:val="auto"/>
              </w:rPr>
            </w:pPr>
          </w:p>
        </w:tc>
        <w:tc>
          <w:tcPr>
            <w:tcW w:w="420" w:type="dxa"/>
            <w:vAlign w:val="bottom"/>
            <w:tcBorders>
              <w:top w:val="single" w:sz="8" w:color="CBECD5"/>
              <w:bottom w:val="single" w:sz="8" w:color="CBECD5"/>
            </w:tcBorders>
            <w:shd w:val="clear" w:color="auto" w:fill="CBECD5"/>
          </w:tcPr>
          <w:p>
            <w:pPr>
              <w:spacing w:after="0"/>
              <w:rPr>
                <w:sz w:val="16"/>
                <w:szCs w:val="16"/>
                <w:color w:val="auto"/>
              </w:rPr>
            </w:pPr>
          </w:p>
        </w:tc>
        <w:tc>
          <w:tcPr>
            <w:tcW w:w="260" w:type="dxa"/>
            <w:vAlign w:val="bottom"/>
            <w:tcBorders>
              <w:top w:val="single" w:sz="8" w:color="CBECD5"/>
              <w:bottom w:val="single" w:sz="8" w:color="0000EE"/>
              <w:right w:val="single" w:sz="8" w:color="53C072"/>
            </w:tcBorders>
            <w:shd w:val="clear" w:color="auto" w:fill="CBECD5"/>
          </w:tcPr>
          <w:p>
            <w:pPr>
              <w:jc w:val="right"/>
              <w:spacing w:after="0" w:line="155" w:lineRule="exact"/>
              <w:rPr>
                <w:sz w:val="20"/>
                <w:szCs w:val="20"/>
                <w:color w:val="auto"/>
              </w:rPr>
            </w:pPr>
            <w:r>
              <w:rPr>
                <w:rFonts w:ascii="Arial" w:cs="Arial" w:eastAsia="Arial" w:hAnsi="Arial"/>
                <w:sz w:val="16"/>
                <w:szCs w:val="16"/>
                <w:color w:val="0000EE"/>
                <w:w w:val="89"/>
              </w:rPr>
              <w:t>39</w:t>
            </w:r>
          </w:p>
        </w:tc>
      </w:tr>
      <w:tr>
        <w:trPr>
          <w:trHeight w:val="203"/>
        </w:trPr>
        <w:tc>
          <w:tcPr>
            <w:tcW w:w="120" w:type="dxa"/>
            <w:vAlign w:val="bottom"/>
            <w:tcBorders>
              <w:left w:val="single" w:sz="8" w:color="53C072"/>
              <w:bottom w:val="single" w:sz="8" w:color="CBECD5"/>
            </w:tcBorders>
            <w:shd w:val="clear" w:color="auto" w:fill="CBECD5"/>
          </w:tcPr>
          <w:p>
            <w:pPr>
              <w:spacing w:after="0"/>
              <w:rPr>
                <w:sz w:val="17"/>
                <w:szCs w:val="17"/>
                <w:color w:val="auto"/>
              </w:rPr>
            </w:pPr>
          </w:p>
        </w:tc>
        <w:tc>
          <w:tcPr>
            <w:tcW w:w="160" w:type="dxa"/>
            <w:vAlign w:val="bottom"/>
            <w:tcBorders>
              <w:bottom w:val="single" w:sz="8" w:color="CBECD5"/>
            </w:tcBorders>
            <w:shd w:val="clear" w:color="auto" w:fill="CBECD5"/>
          </w:tcPr>
          <w:p>
            <w:pPr>
              <w:spacing w:after="0"/>
              <w:rPr>
                <w:sz w:val="17"/>
                <w:szCs w:val="17"/>
                <w:color w:val="auto"/>
              </w:rPr>
            </w:pPr>
          </w:p>
        </w:tc>
        <w:tc>
          <w:tcPr>
            <w:tcW w:w="1900" w:type="dxa"/>
            <w:vAlign w:val="bottom"/>
            <w:tcBorders>
              <w:bottom w:val="single" w:sz="8" w:color="0000EE"/>
            </w:tcBorders>
            <w:gridSpan w:val="11"/>
            <w:shd w:val="clear" w:color="auto" w:fill="CBECD5"/>
          </w:tcPr>
          <w:p>
            <w:pPr>
              <w:spacing w:after="0"/>
              <w:rPr>
                <w:sz w:val="20"/>
                <w:szCs w:val="20"/>
                <w:color w:val="auto"/>
              </w:rPr>
            </w:pPr>
            <w:r>
              <w:rPr>
                <w:rFonts w:ascii="Arial" w:cs="Arial" w:eastAsia="Arial" w:hAnsi="Arial"/>
                <w:sz w:val="16"/>
                <w:szCs w:val="16"/>
                <w:color w:val="0000EE"/>
                <w:w w:val="99"/>
              </w:rPr>
              <w:t>Philosophy and Objectives</w:t>
            </w:r>
          </w:p>
        </w:tc>
        <w:tc>
          <w:tcPr>
            <w:tcW w:w="1420" w:type="dxa"/>
            <w:vAlign w:val="bottom"/>
            <w:tcBorders>
              <w:bottom w:val="single" w:sz="8" w:color="CBECD5"/>
            </w:tcBorders>
            <w:gridSpan w:val="15"/>
            <w:shd w:val="clear" w:color="auto" w:fill="CBECD5"/>
          </w:tcPr>
          <w:p>
            <w:pPr>
              <w:spacing w:after="0"/>
              <w:rPr>
                <w:sz w:val="17"/>
                <w:szCs w:val="17"/>
                <w:color w:val="auto"/>
              </w:rPr>
            </w:pPr>
          </w:p>
        </w:tc>
        <w:tc>
          <w:tcPr>
            <w:tcW w:w="420" w:type="dxa"/>
            <w:vAlign w:val="bottom"/>
            <w:tcBorders>
              <w:bottom w:val="single" w:sz="8" w:color="CBECD5"/>
            </w:tcBorders>
            <w:shd w:val="clear" w:color="auto" w:fill="CBECD5"/>
          </w:tcPr>
          <w:p>
            <w:pPr>
              <w:spacing w:after="0"/>
              <w:rPr>
                <w:sz w:val="17"/>
                <w:szCs w:val="17"/>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39</w:t>
            </w: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2360" w:type="dxa"/>
            <w:vAlign w:val="bottom"/>
            <w:tcBorders>
              <w:bottom w:val="single" w:sz="8" w:color="0000EE"/>
            </w:tcBorders>
            <w:gridSpan w:val="15"/>
            <w:shd w:val="clear" w:color="auto" w:fill="CBECD5"/>
          </w:tcPr>
          <w:p>
            <w:pPr>
              <w:spacing w:after="0"/>
              <w:rPr>
                <w:sz w:val="20"/>
                <w:szCs w:val="20"/>
                <w:color w:val="auto"/>
              </w:rPr>
            </w:pPr>
            <w:r>
              <w:rPr>
                <w:rFonts w:ascii="Arial" w:cs="Arial" w:eastAsia="Arial" w:hAnsi="Arial"/>
                <w:sz w:val="16"/>
                <w:szCs w:val="16"/>
                <w:color w:val="0000EE"/>
                <w:w w:val="99"/>
              </w:rPr>
              <w:t>2022 Advisory Vote on Executive</w:t>
            </w:r>
          </w:p>
        </w:tc>
        <w:tc>
          <w:tcPr>
            <w:tcW w:w="960" w:type="dxa"/>
            <w:vAlign w:val="bottom"/>
            <w:tcBorders>
              <w:bottom w:val="single" w:sz="8" w:color="CBECD5"/>
            </w:tcBorders>
            <w:gridSpan w:val="11"/>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CBECD5"/>
              <w:right w:val="single" w:sz="8" w:color="53C072"/>
            </w:tcBorders>
            <w:shd w:val="clear" w:color="auto" w:fill="CBECD5"/>
          </w:tcPr>
          <w:p>
            <w:pPr>
              <w:spacing w:after="0"/>
              <w:rPr>
                <w:sz w:val="18"/>
                <w:szCs w:val="18"/>
                <w:color w:val="auto"/>
              </w:rPr>
            </w:pPr>
          </w:p>
        </w:tc>
      </w:tr>
      <w:tr>
        <w:trPr>
          <w:trHeight w:val="169"/>
        </w:trPr>
        <w:tc>
          <w:tcPr>
            <w:tcW w:w="120" w:type="dxa"/>
            <w:vAlign w:val="bottom"/>
            <w:tcBorders>
              <w:left w:val="single" w:sz="8" w:color="53C072"/>
            </w:tcBorders>
            <w:shd w:val="clear" w:color="auto" w:fill="CBECD5"/>
          </w:tcPr>
          <w:p>
            <w:pPr>
              <w:spacing w:after="0"/>
              <w:rPr>
                <w:sz w:val="14"/>
                <w:szCs w:val="14"/>
                <w:color w:val="auto"/>
              </w:rPr>
            </w:pPr>
          </w:p>
        </w:tc>
        <w:tc>
          <w:tcPr>
            <w:tcW w:w="160" w:type="dxa"/>
            <w:vAlign w:val="bottom"/>
            <w:shd w:val="clear" w:color="auto" w:fill="CBECD5"/>
          </w:tcPr>
          <w:p>
            <w:pPr>
              <w:spacing w:after="0"/>
              <w:rPr>
                <w:sz w:val="14"/>
                <w:szCs w:val="14"/>
                <w:color w:val="auto"/>
              </w:rPr>
            </w:pPr>
          </w:p>
        </w:tc>
        <w:tc>
          <w:tcPr>
            <w:tcW w:w="3320" w:type="dxa"/>
            <w:vAlign w:val="bottom"/>
            <w:gridSpan w:val="26"/>
            <w:shd w:val="clear" w:color="auto" w:fill="CBECD5"/>
          </w:tcPr>
          <w:p>
            <w:pPr>
              <w:spacing w:after="0" w:line="155" w:lineRule="exact"/>
              <w:rPr>
                <w:sz w:val="20"/>
                <w:szCs w:val="20"/>
                <w:color w:val="auto"/>
              </w:rPr>
            </w:pPr>
            <w:r>
              <w:rPr>
                <w:rFonts w:ascii="Arial" w:cs="Arial" w:eastAsia="Arial" w:hAnsi="Arial"/>
                <w:sz w:val="16"/>
                <w:szCs w:val="16"/>
                <w:color w:val="0000EE"/>
              </w:rPr>
              <w:t>Compensation</w:t>
            </w:r>
          </w:p>
        </w:tc>
        <w:tc>
          <w:tcPr>
            <w:tcW w:w="680" w:type="dxa"/>
            <w:vAlign w:val="bottom"/>
            <w:tcBorders>
              <w:right w:val="single" w:sz="8" w:color="53C072"/>
            </w:tcBorders>
            <w:gridSpan w:val="2"/>
            <w:shd w:val="clear" w:color="auto" w:fill="CBECD5"/>
          </w:tcPr>
          <w:p>
            <w:pPr>
              <w:jc w:val="right"/>
              <w:spacing w:after="0" w:line="155" w:lineRule="exact"/>
              <w:rPr>
                <w:sz w:val="20"/>
                <w:szCs w:val="20"/>
                <w:color w:val="auto"/>
              </w:rPr>
            </w:pPr>
            <w:r>
              <w:rPr>
                <w:rFonts w:ascii="Arial" w:cs="Arial" w:eastAsia="Arial" w:hAnsi="Arial"/>
                <w:sz w:val="16"/>
                <w:szCs w:val="16"/>
                <w:color w:val="0000EE"/>
              </w:rPr>
              <w:t>39</w:t>
            </w:r>
          </w:p>
        </w:tc>
      </w:tr>
      <w:tr>
        <w:trPr>
          <w:trHeight w:val="27"/>
        </w:trPr>
        <w:tc>
          <w:tcPr>
            <w:tcW w:w="120" w:type="dxa"/>
            <w:vAlign w:val="bottom"/>
            <w:tcBorders>
              <w:left w:val="single" w:sz="8" w:color="53C072"/>
            </w:tcBorders>
            <w:shd w:val="clear" w:color="auto" w:fill="CBECD5"/>
          </w:tcPr>
          <w:p>
            <w:pPr>
              <w:spacing w:after="0"/>
              <w:rPr>
                <w:sz w:val="2"/>
                <w:szCs w:val="2"/>
                <w:color w:val="auto"/>
              </w:rPr>
            </w:pPr>
          </w:p>
        </w:tc>
        <w:tc>
          <w:tcPr>
            <w:tcW w:w="160" w:type="dxa"/>
            <w:vAlign w:val="bottom"/>
            <w:shd w:val="clear" w:color="auto" w:fill="CBECD5"/>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tcBorders>
              <w:right w:val="single" w:sz="8" w:color="CBECD5"/>
            </w:tcBorders>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120" w:type="dxa"/>
            <w:vAlign w:val="bottom"/>
            <w:tcBorders>
              <w:right w:val="single" w:sz="8" w:color="CBECD5"/>
            </w:tcBorders>
            <w:shd w:val="clear" w:color="auto" w:fill="CBECD5"/>
          </w:tcPr>
          <w:p>
            <w:pPr>
              <w:spacing w:after="0"/>
              <w:rPr>
                <w:sz w:val="2"/>
                <w:szCs w:val="2"/>
                <w:color w:val="auto"/>
              </w:rPr>
            </w:pPr>
          </w:p>
        </w:tc>
        <w:tc>
          <w:tcPr>
            <w:tcW w:w="80" w:type="dxa"/>
            <w:vAlign w:val="bottom"/>
            <w:shd w:val="clear" w:color="auto" w:fill="CBECD5"/>
          </w:tcPr>
          <w:p>
            <w:pPr>
              <w:spacing w:after="0"/>
              <w:rPr>
                <w:sz w:val="2"/>
                <w:szCs w:val="2"/>
                <w:color w:val="auto"/>
              </w:rPr>
            </w:pPr>
          </w:p>
        </w:tc>
        <w:tc>
          <w:tcPr>
            <w:tcW w:w="40" w:type="dxa"/>
            <w:vAlign w:val="bottom"/>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180" w:type="dxa"/>
            <w:vAlign w:val="bottom"/>
            <w:gridSpan w:val="3"/>
            <w:shd w:val="clear" w:color="auto" w:fill="CBECD5"/>
          </w:tcPr>
          <w:p>
            <w:pPr>
              <w:spacing w:after="0"/>
              <w:rPr>
                <w:sz w:val="2"/>
                <w:szCs w:val="2"/>
                <w:color w:val="auto"/>
              </w:rPr>
            </w:pPr>
          </w:p>
        </w:tc>
        <w:tc>
          <w:tcPr>
            <w:tcW w:w="80" w:type="dxa"/>
            <w:vAlign w:val="bottom"/>
            <w:shd w:val="clear" w:color="auto" w:fill="CBECD5"/>
          </w:tcPr>
          <w:p>
            <w:pPr>
              <w:spacing w:after="0"/>
              <w:rPr>
                <w:sz w:val="2"/>
                <w:szCs w:val="2"/>
                <w:color w:val="auto"/>
              </w:rPr>
            </w:pPr>
          </w:p>
        </w:tc>
        <w:tc>
          <w:tcPr>
            <w:tcW w:w="280" w:type="dxa"/>
            <w:vAlign w:val="bottom"/>
            <w:gridSpan w:val="2"/>
            <w:shd w:val="clear" w:color="auto" w:fill="CBECD5"/>
          </w:tcPr>
          <w:p>
            <w:pPr>
              <w:spacing w:after="0"/>
              <w:rPr>
                <w:sz w:val="2"/>
                <w:szCs w:val="2"/>
                <w:color w:val="auto"/>
              </w:rPr>
            </w:pPr>
          </w:p>
        </w:tc>
        <w:tc>
          <w:tcPr>
            <w:tcW w:w="20" w:type="dxa"/>
            <w:vAlign w:val="bottom"/>
            <w:shd w:val="clear" w:color="auto" w:fill="CBECD5"/>
          </w:tcPr>
          <w:p>
            <w:pPr>
              <w:spacing w:after="0"/>
              <w:rPr>
                <w:sz w:val="2"/>
                <w:szCs w:val="2"/>
                <w:color w:val="auto"/>
              </w:rPr>
            </w:pPr>
          </w:p>
        </w:tc>
        <w:tc>
          <w:tcPr>
            <w:tcW w:w="100" w:type="dxa"/>
            <w:vAlign w:val="bottom"/>
            <w:gridSpan w:val="2"/>
            <w:shd w:val="clear" w:color="auto" w:fill="CBECD5"/>
          </w:tcPr>
          <w:p>
            <w:pPr>
              <w:spacing w:after="0"/>
              <w:rPr>
                <w:sz w:val="2"/>
                <w:szCs w:val="2"/>
                <w:color w:val="auto"/>
              </w:rPr>
            </w:pPr>
          </w:p>
        </w:tc>
        <w:tc>
          <w:tcPr>
            <w:tcW w:w="160" w:type="dxa"/>
            <w:vAlign w:val="bottom"/>
            <w:shd w:val="clear" w:color="auto" w:fill="CBECD5"/>
          </w:tcPr>
          <w:p>
            <w:pPr>
              <w:spacing w:after="0"/>
              <w:rPr>
                <w:sz w:val="2"/>
                <w:szCs w:val="2"/>
                <w:color w:val="auto"/>
              </w:rPr>
            </w:pPr>
          </w:p>
        </w:tc>
        <w:tc>
          <w:tcPr>
            <w:tcW w:w="20" w:type="dxa"/>
            <w:vAlign w:val="bottom"/>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80" w:type="dxa"/>
            <w:vAlign w:val="bottom"/>
            <w:shd w:val="clear" w:color="auto" w:fill="CBECD5"/>
          </w:tcPr>
          <w:p>
            <w:pPr>
              <w:spacing w:after="0"/>
              <w:rPr>
                <w:sz w:val="2"/>
                <w:szCs w:val="2"/>
                <w:color w:val="auto"/>
              </w:rPr>
            </w:pPr>
          </w:p>
        </w:tc>
        <w:tc>
          <w:tcPr>
            <w:tcW w:w="340" w:type="dxa"/>
            <w:vAlign w:val="bottom"/>
            <w:gridSpan w:val="2"/>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420" w:type="dxa"/>
            <w:vAlign w:val="bottom"/>
            <w:shd w:val="clear" w:color="auto" w:fill="CBECD5"/>
          </w:tcPr>
          <w:p>
            <w:pPr>
              <w:spacing w:after="0"/>
              <w:rPr>
                <w:sz w:val="2"/>
                <w:szCs w:val="2"/>
                <w:color w:val="auto"/>
              </w:rPr>
            </w:pPr>
          </w:p>
        </w:tc>
        <w:tc>
          <w:tcPr>
            <w:tcW w:w="260" w:type="dxa"/>
            <w:vAlign w:val="bottom"/>
            <w:tcBorders>
              <w:right w:val="single" w:sz="8" w:color="53C072"/>
            </w:tcBorders>
            <w:shd w:val="clear" w:color="auto" w:fill="0000EE"/>
          </w:tcPr>
          <w:p>
            <w:pPr>
              <w:spacing w:after="0"/>
              <w:rPr>
                <w:sz w:val="2"/>
                <w:szCs w:val="2"/>
                <w:color w:val="auto"/>
              </w:rPr>
            </w:pPr>
          </w:p>
        </w:tc>
      </w:tr>
      <w:tr>
        <w:trPr>
          <w:trHeight w:val="216"/>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2100" w:type="dxa"/>
            <w:vAlign w:val="bottom"/>
            <w:tcBorders>
              <w:bottom w:val="single" w:sz="8" w:color="0000EE"/>
            </w:tcBorders>
            <w:gridSpan w:val="14"/>
            <w:shd w:val="clear" w:color="auto" w:fill="CBECD5"/>
          </w:tcPr>
          <w:p>
            <w:pPr>
              <w:spacing w:after="0"/>
              <w:rPr>
                <w:sz w:val="20"/>
                <w:szCs w:val="20"/>
                <w:color w:val="auto"/>
              </w:rPr>
            </w:pPr>
            <w:r>
              <w:rPr>
                <w:rFonts w:ascii="Arial" w:cs="Arial" w:eastAsia="Arial" w:hAnsi="Arial"/>
                <w:sz w:val="16"/>
                <w:szCs w:val="16"/>
                <w:color w:val="0000EE"/>
                <w:w w:val="99"/>
              </w:rPr>
              <w:t>Shareholder Outreach Efforts</w:t>
            </w:r>
          </w:p>
        </w:tc>
        <w:tc>
          <w:tcPr>
            <w:tcW w:w="1220" w:type="dxa"/>
            <w:vAlign w:val="bottom"/>
            <w:tcBorders>
              <w:bottom w:val="single" w:sz="8" w:color="CBECD5"/>
            </w:tcBorders>
            <w:gridSpan w:val="12"/>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39</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7"/>
            <w:shd w:val="clear" w:color="auto" w:fill="CBECD5"/>
          </w:tcPr>
          <w:p>
            <w:pPr>
              <w:spacing w:after="0"/>
              <w:rPr>
                <w:sz w:val="20"/>
                <w:szCs w:val="20"/>
                <w:color w:val="auto"/>
              </w:rPr>
            </w:pPr>
            <w:r>
              <w:rPr>
                <w:rFonts w:ascii="Arial" w:cs="Arial" w:eastAsia="Arial" w:hAnsi="Arial"/>
                <w:sz w:val="16"/>
                <w:szCs w:val="16"/>
                <w:b w:val="1"/>
                <w:bCs w:val="1"/>
                <w:color w:val="0000EE"/>
              </w:rPr>
              <w:t>Compensation Governance and Process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40</w:t>
            </w:r>
          </w:p>
        </w:tc>
      </w:tr>
      <w:tr>
        <w:trPr>
          <w:trHeight w:val="210"/>
        </w:trPr>
        <w:tc>
          <w:tcPr>
            <w:tcW w:w="12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60" w:type="dxa"/>
            <w:vAlign w:val="bottom"/>
            <w:tcBorders>
              <w:top w:val="single" w:sz="8" w:color="0000EE"/>
              <w:bottom w:val="single" w:sz="8" w:color="CBECD5"/>
            </w:tcBorders>
            <w:shd w:val="clear" w:color="auto" w:fill="CBECD5"/>
          </w:tcPr>
          <w:p>
            <w:pPr>
              <w:spacing w:after="0"/>
              <w:rPr>
                <w:sz w:val="18"/>
                <w:szCs w:val="18"/>
                <w:color w:val="auto"/>
              </w:rPr>
            </w:pPr>
          </w:p>
        </w:tc>
        <w:tc>
          <w:tcPr>
            <w:tcW w:w="2400" w:type="dxa"/>
            <w:vAlign w:val="bottom"/>
            <w:tcBorders>
              <w:top w:val="single" w:sz="8" w:color="0000EE"/>
              <w:bottom w:val="single" w:sz="8" w:color="0000EE"/>
            </w:tcBorders>
            <w:gridSpan w:val="17"/>
            <w:shd w:val="clear" w:color="auto" w:fill="CBECD5"/>
          </w:tcPr>
          <w:p>
            <w:pPr>
              <w:spacing w:after="0"/>
              <w:rPr>
                <w:sz w:val="20"/>
                <w:szCs w:val="20"/>
                <w:color w:val="auto"/>
              </w:rPr>
            </w:pPr>
            <w:r>
              <w:rPr>
                <w:rFonts w:ascii="Arial" w:cs="Arial" w:eastAsia="Arial" w:hAnsi="Arial"/>
                <w:sz w:val="16"/>
                <w:szCs w:val="16"/>
                <w:color w:val="0000EE"/>
              </w:rPr>
              <w:t>Role of the Committee and Board</w:t>
            </w:r>
          </w:p>
        </w:tc>
        <w:tc>
          <w:tcPr>
            <w:tcW w:w="480" w:type="dxa"/>
            <w:vAlign w:val="bottom"/>
            <w:tcBorders>
              <w:top w:val="single" w:sz="8" w:color="0000EE"/>
              <w:bottom w:val="single" w:sz="8" w:color="CBECD5"/>
            </w:tcBorders>
            <w:gridSpan w:val="6"/>
            <w:shd w:val="clear" w:color="auto" w:fill="CBECD5"/>
          </w:tcPr>
          <w:p>
            <w:pPr>
              <w:spacing w:after="0"/>
              <w:rPr>
                <w:sz w:val="18"/>
                <w:szCs w:val="18"/>
                <w:color w:val="auto"/>
              </w:rPr>
            </w:pPr>
          </w:p>
        </w:tc>
        <w:tc>
          <w:tcPr>
            <w:tcW w:w="440" w:type="dxa"/>
            <w:vAlign w:val="bottom"/>
            <w:tcBorders>
              <w:top w:val="single" w:sz="8" w:color="CBECD5"/>
              <w:bottom w:val="single" w:sz="8" w:color="CBECD5"/>
            </w:tcBorders>
            <w:gridSpan w:val="3"/>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40</w:t>
            </w:r>
          </w:p>
        </w:tc>
      </w:tr>
      <w:tr>
        <w:trPr>
          <w:trHeight w:val="209"/>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1500" w:type="dxa"/>
            <w:vAlign w:val="bottom"/>
            <w:tcBorders>
              <w:bottom w:val="single" w:sz="8" w:color="0000EE"/>
            </w:tcBorders>
            <w:gridSpan w:val="6"/>
            <w:shd w:val="clear" w:color="auto" w:fill="CBECD5"/>
          </w:tcPr>
          <w:p>
            <w:pPr>
              <w:spacing w:after="0"/>
              <w:rPr>
                <w:sz w:val="20"/>
                <w:szCs w:val="20"/>
                <w:color w:val="auto"/>
              </w:rPr>
            </w:pPr>
            <w:r>
              <w:rPr>
                <w:rFonts w:ascii="Arial" w:cs="Arial" w:eastAsia="Arial" w:hAnsi="Arial"/>
                <w:sz w:val="16"/>
                <w:szCs w:val="16"/>
                <w:color w:val="0000EE"/>
                <w:w w:val="99"/>
              </w:rPr>
              <w:t>Role of Management</w:t>
            </w:r>
          </w:p>
        </w:tc>
        <w:tc>
          <w:tcPr>
            <w:tcW w:w="1820" w:type="dxa"/>
            <w:vAlign w:val="bottom"/>
            <w:tcBorders>
              <w:bottom w:val="single" w:sz="8" w:color="CBECD5"/>
            </w:tcBorders>
            <w:gridSpan w:val="20"/>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40</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Role of the Independent Compensation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76"/>
        </w:trPr>
        <w:tc>
          <w:tcPr>
            <w:tcW w:w="120" w:type="dxa"/>
            <w:vAlign w:val="bottom"/>
            <w:tcBorders>
              <w:top w:val="single" w:sz="8" w:color="CBECD5"/>
              <w:left w:val="single" w:sz="8" w:color="53C072"/>
              <w:bottom w:val="single" w:sz="8" w:color="CBECD5"/>
            </w:tcBorders>
            <w:shd w:val="clear" w:color="auto" w:fill="CBECD5"/>
          </w:tcPr>
          <w:p>
            <w:pPr>
              <w:spacing w:after="0"/>
              <w:rPr>
                <w:sz w:val="15"/>
                <w:szCs w:val="15"/>
                <w:color w:val="auto"/>
              </w:rPr>
            </w:pPr>
          </w:p>
        </w:tc>
        <w:tc>
          <w:tcPr>
            <w:tcW w:w="160" w:type="dxa"/>
            <w:vAlign w:val="bottom"/>
            <w:tcBorders>
              <w:top w:val="single" w:sz="8" w:color="CBECD5"/>
              <w:bottom w:val="single" w:sz="8" w:color="CBECD5"/>
            </w:tcBorders>
            <w:shd w:val="clear" w:color="auto" w:fill="CBECD5"/>
          </w:tcPr>
          <w:p>
            <w:pPr>
              <w:spacing w:after="0"/>
              <w:rPr>
                <w:sz w:val="15"/>
                <w:szCs w:val="15"/>
                <w:color w:val="auto"/>
              </w:rPr>
            </w:pPr>
          </w:p>
        </w:tc>
        <w:tc>
          <w:tcPr>
            <w:tcW w:w="860" w:type="dxa"/>
            <w:vAlign w:val="bottom"/>
            <w:tcBorders>
              <w:top w:val="single" w:sz="8" w:color="0000EE"/>
              <w:bottom w:val="single" w:sz="8" w:color="0000EE"/>
            </w:tcBorders>
            <w:gridSpan w:val="3"/>
            <w:shd w:val="clear" w:color="auto" w:fill="CBECD5"/>
          </w:tcPr>
          <w:p>
            <w:pPr>
              <w:spacing w:after="0" w:line="155" w:lineRule="exact"/>
              <w:rPr>
                <w:sz w:val="20"/>
                <w:szCs w:val="20"/>
                <w:color w:val="auto"/>
              </w:rPr>
            </w:pPr>
            <w:r>
              <w:rPr>
                <w:rFonts w:ascii="Arial" w:cs="Arial" w:eastAsia="Arial" w:hAnsi="Arial"/>
                <w:sz w:val="16"/>
                <w:szCs w:val="16"/>
                <w:color w:val="0000EE"/>
              </w:rPr>
              <w:t>Consultant</w:t>
            </w:r>
          </w:p>
        </w:tc>
        <w:tc>
          <w:tcPr>
            <w:tcW w:w="1940" w:type="dxa"/>
            <w:vAlign w:val="bottom"/>
            <w:tcBorders>
              <w:top w:val="single" w:sz="8" w:color="0000EE"/>
              <w:bottom w:val="single" w:sz="8" w:color="CBECD5"/>
            </w:tcBorders>
            <w:gridSpan w:val="19"/>
            <w:shd w:val="clear" w:color="auto" w:fill="CBECD5"/>
          </w:tcPr>
          <w:p>
            <w:pPr>
              <w:spacing w:after="0"/>
              <w:rPr>
                <w:sz w:val="15"/>
                <w:szCs w:val="15"/>
                <w:color w:val="auto"/>
              </w:rPr>
            </w:pPr>
          </w:p>
        </w:tc>
        <w:tc>
          <w:tcPr>
            <w:tcW w:w="520" w:type="dxa"/>
            <w:vAlign w:val="bottom"/>
            <w:tcBorders>
              <w:top w:val="single" w:sz="8" w:color="CBECD5"/>
              <w:bottom w:val="single" w:sz="8" w:color="CBECD5"/>
            </w:tcBorders>
            <w:gridSpan w:val="4"/>
            <w:shd w:val="clear" w:color="auto" w:fill="CBECD5"/>
          </w:tcPr>
          <w:p>
            <w:pPr>
              <w:spacing w:after="0"/>
              <w:rPr>
                <w:sz w:val="15"/>
                <w:szCs w:val="15"/>
                <w:color w:val="auto"/>
              </w:rPr>
            </w:pPr>
          </w:p>
        </w:tc>
        <w:tc>
          <w:tcPr>
            <w:tcW w:w="420" w:type="dxa"/>
            <w:vAlign w:val="bottom"/>
            <w:tcBorders>
              <w:top w:val="single" w:sz="8" w:color="CBECD5"/>
              <w:bottom w:val="single" w:sz="8" w:color="CBECD5"/>
            </w:tcBorders>
            <w:shd w:val="clear" w:color="auto" w:fill="CBECD5"/>
          </w:tcPr>
          <w:p>
            <w:pPr>
              <w:spacing w:after="0"/>
              <w:rPr>
                <w:sz w:val="15"/>
                <w:szCs w:val="15"/>
                <w:color w:val="auto"/>
              </w:rPr>
            </w:pPr>
          </w:p>
        </w:tc>
        <w:tc>
          <w:tcPr>
            <w:tcW w:w="260" w:type="dxa"/>
            <w:vAlign w:val="bottom"/>
            <w:tcBorders>
              <w:top w:val="single" w:sz="8" w:color="CBECD5"/>
              <w:bottom w:val="single" w:sz="8" w:color="0000EE"/>
              <w:right w:val="single" w:sz="8" w:color="53C072"/>
            </w:tcBorders>
            <w:shd w:val="clear" w:color="auto" w:fill="CBECD5"/>
          </w:tcPr>
          <w:p>
            <w:pPr>
              <w:jc w:val="right"/>
              <w:spacing w:after="0" w:line="155" w:lineRule="exact"/>
              <w:rPr>
                <w:sz w:val="20"/>
                <w:szCs w:val="20"/>
                <w:color w:val="auto"/>
              </w:rPr>
            </w:pPr>
            <w:r>
              <w:rPr>
                <w:rFonts w:ascii="Arial" w:cs="Arial" w:eastAsia="Arial" w:hAnsi="Arial"/>
                <w:sz w:val="16"/>
                <w:szCs w:val="16"/>
                <w:color w:val="0000EE"/>
                <w:w w:val="89"/>
              </w:rPr>
              <w:t>41</w:t>
            </w:r>
          </w:p>
        </w:tc>
      </w:tr>
      <w:tr>
        <w:trPr>
          <w:trHeight w:val="216"/>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1040" w:type="dxa"/>
            <w:vAlign w:val="bottom"/>
            <w:tcBorders>
              <w:bottom w:val="single" w:sz="8" w:color="0000EE"/>
            </w:tcBorders>
            <w:gridSpan w:val="4"/>
            <w:shd w:val="clear" w:color="auto" w:fill="CBECD5"/>
          </w:tcPr>
          <w:p>
            <w:pPr>
              <w:spacing w:after="0"/>
              <w:rPr>
                <w:sz w:val="20"/>
                <w:szCs w:val="20"/>
                <w:color w:val="auto"/>
              </w:rPr>
            </w:pPr>
            <w:r>
              <w:rPr>
                <w:rFonts w:ascii="Arial" w:cs="Arial" w:eastAsia="Arial" w:hAnsi="Arial"/>
                <w:sz w:val="16"/>
                <w:szCs w:val="16"/>
                <w:color w:val="0000EE"/>
                <w:w w:val="99"/>
              </w:rPr>
              <w:t>Benchmarking</w:t>
            </w:r>
          </w:p>
        </w:tc>
        <w:tc>
          <w:tcPr>
            <w:tcW w:w="2280" w:type="dxa"/>
            <w:vAlign w:val="bottom"/>
            <w:tcBorders>
              <w:bottom w:val="single" w:sz="8" w:color="CBECD5"/>
            </w:tcBorders>
            <w:gridSpan w:val="22"/>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41</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7"/>
            <w:shd w:val="clear" w:color="auto" w:fill="CBECD5"/>
          </w:tcPr>
          <w:p>
            <w:pPr>
              <w:spacing w:after="0"/>
              <w:rPr>
                <w:sz w:val="20"/>
                <w:szCs w:val="20"/>
                <w:color w:val="auto"/>
              </w:rPr>
            </w:pPr>
            <w:r>
              <w:rPr>
                <w:rFonts w:ascii="Arial" w:cs="Arial" w:eastAsia="Arial" w:hAnsi="Arial"/>
                <w:sz w:val="16"/>
                <w:szCs w:val="16"/>
                <w:b w:val="1"/>
                <w:bCs w:val="1"/>
                <w:color w:val="0000EE"/>
              </w:rPr>
              <w:t>Overview of Pay Programs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42</w:t>
            </w:r>
          </w:p>
        </w:tc>
      </w:tr>
      <w:tr>
        <w:trPr>
          <w:trHeight w:val="209"/>
        </w:trPr>
        <w:tc>
          <w:tcPr>
            <w:tcW w:w="12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60" w:type="dxa"/>
            <w:vAlign w:val="bottom"/>
            <w:tcBorders>
              <w:top w:val="single" w:sz="8" w:color="0000EE"/>
              <w:bottom w:val="single" w:sz="8" w:color="CBECD5"/>
            </w:tcBorders>
            <w:shd w:val="clear" w:color="auto" w:fill="CBECD5"/>
          </w:tcPr>
          <w:p>
            <w:pPr>
              <w:spacing w:after="0"/>
              <w:rPr>
                <w:sz w:val="18"/>
                <w:szCs w:val="18"/>
                <w:color w:val="auto"/>
              </w:rPr>
            </w:pPr>
          </w:p>
        </w:tc>
        <w:tc>
          <w:tcPr>
            <w:tcW w:w="580" w:type="dxa"/>
            <w:vAlign w:val="bottom"/>
            <w:tcBorders>
              <w:top w:val="single" w:sz="8" w:color="0000EE"/>
              <w:bottom w:val="single" w:sz="8" w:color="0000EE"/>
            </w:tcBorders>
            <w:shd w:val="clear" w:color="auto" w:fill="CBECD5"/>
          </w:tcPr>
          <w:p>
            <w:pPr>
              <w:spacing w:after="0"/>
              <w:rPr>
                <w:sz w:val="20"/>
                <w:szCs w:val="20"/>
                <w:color w:val="auto"/>
              </w:rPr>
            </w:pPr>
            <w:r>
              <w:rPr>
                <w:rFonts w:ascii="Arial" w:cs="Arial" w:eastAsia="Arial" w:hAnsi="Arial"/>
                <w:sz w:val="16"/>
                <w:szCs w:val="16"/>
                <w:color w:val="0000EE"/>
                <w:w w:val="98"/>
              </w:rPr>
              <w:t>Pay Mix</w:t>
            </w:r>
          </w:p>
        </w:tc>
        <w:tc>
          <w:tcPr>
            <w:tcW w:w="1260" w:type="dxa"/>
            <w:vAlign w:val="bottom"/>
            <w:tcBorders>
              <w:top w:val="single" w:sz="8" w:color="0000EE"/>
              <w:bottom w:val="single" w:sz="8" w:color="CBECD5"/>
            </w:tcBorders>
            <w:gridSpan w:val="9"/>
            <w:shd w:val="clear" w:color="auto" w:fill="CBECD5"/>
          </w:tcPr>
          <w:p>
            <w:pPr>
              <w:spacing w:after="0"/>
              <w:rPr>
                <w:sz w:val="18"/>
                <w:szCs w:val="18"/>
                <w:color w:val="auto"/>
              </w:rPr>
            </w:pPr>
          </w:p>
        </w:tc>
        <w:tc>
          <w:tcPr>
            <w:tcW w:w="1480" w:type="dxa"/>
            <w:vAlign w:val="bottom"/>
            <w:tcBorders>
              <w:top w:val="single" w:sz="8" w:color="CBECD5"/>
              <w:bottom w:val="single" w:sz="8" w:color="CBECD5"/>
            </w:tcBorders>
            <w:gridSpan w:val="16"/>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43</w:t>
            </w: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2680" w:type="dxa"/>
            <w:vAlign w:val="bottom"/>
            <w:tcBorders>
              <w:bottom w:val="single" w:sz="8" w:color="0000EE"/>
            </w:tcBorders>
            <w:gridSpan w:val="21"/>
            <w:shd w:val="clear" w:color="auto" w:fill="CBECD5"/>
          </w:tcPr>
          <w:p>
            <w:pPr>
              <w:spacing w:after="0"/>
              <w:rPr>
                <w:sz w:val="20"/>
                <w:szCs w:val="20"/>
                <w:color w:val="auto"/>
              </w:rPr>
            </w:pPr>
            <w:r>
              <w:rPr>
                <w:rFonts w:ascii="Arial" w:cs="Arial" w:eastAsia="Arial" w:hAnsi="Arial"/>
                <w:sz w:val="16"/>
                <w:szCs w:val="16"/>
                <w:color w:val="0000EE"/>
              </w:rPr>
              <w:t>Compensation Governance Practices</w:t>
            </w:r>
          </w:p>
        </w:tc>
        <w:tc>
          <w:tcPr>
            <w:tcW w:w="640" w:type="dxa"/>
            <w:vAlign w:val="bottom"/>
            <w:tcBorders>
              <w:bottom w:val="single" w:sz="8" w:color="CBECD5"/>
            </w:tcBorders>
            <w:gridSpan w:val="5"/>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44</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Compensation Risk Management</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45</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60" w:type="dxa"/>
            <w:vAlign w:val="bottom"/>
            <w:gridSpan w:val="5"/>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7"/>
            <w:shd w:val="clear" w:color="auto" w:fill="CBECD5"/>
          </w:tcPr>
          <w:p>
            <w:pPr>
              <w:spacing w:after="0"/>
              <w:rPr>
                <w:sz w:val="20"/>
                <w:szCs w:val="20"/>
                <w:color w:val="auto"/>
              </w:rPr>
            </w:pPr>
            <w:r>
              <w:rPr>
                <w:rFonts w:ascii="Arial" w:cs="Arial" w:eastAsia="Arial" w:hAnsi="Arial"/>
                <w:sz w:val="16"/>
                <w:szCs w:val="16"/>
                <w:b w:val="1"/>
                <w:bCs w:val="1"/>
                <w:color w:val="0000EE"/>
              </w:rPr>
              <w:t>Elements of Executive Compensation</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45</w:t>
            </w:r>
          </w:p>
        </w:tc>
      </w:tr>
      <w:tr>
        <w:trPr>
          <w:trHeight w:val="209"/>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0000EE"/>
            </w:tcBorders>
            <w:shd w:val="clear" w:color="auto" w:fill="CBECD5"/>
          </w:tcPr>
          <w:p>
            <w:pPr>
              <w:spacing w:after="0"/>
              <w:rPr>
                <w:sz w:val="18"/>
                <w:szCs w:val="18"/>
                <w:color w:val="auto"/>
              </w:rPr>
            </w:pPr>
          </w:p>
        </w:tc>
        <w:tc>
          <w:tcPr>
            <w:tcW w:w="2660" w:type="dxa"/>
            <w:vAlign w:val="bottom"/>
            <w:tcBorders>
              <w:top w:val="single" w:sz="8" w:color="0000EE"/>
            </w:tcBorders>
            <w:gridSpan w:val="20"/>
            <w:shd w:val="clear" w:color="auto" w:fill="CBECD5"/>
          </w:tcPr>
          <w:p>
            <w:pPr>
              <w:spacing w:after="0"/>
              <w:rPr>
                <w:sz w:val="20"/>
                <w:szCs w:val="20"/>
                <w:color w:val="auto"/>
              </w:rPr>
            </w:pPr>
            <w:r>
              <w:rPr>
                <w:rFonts w:ascii="Arial" w:cs="Arial" w:eastAsia="Arial" w:hAnsi="Arial"/>
                <w:sz w:val="16"/>
                <w:szCs w:val="16"/>
                <w:color w:val="0000EE"/>
              </w:rPr>
              <w:t>Base Salary</w:t>
            </w:r>
          </w:p>
        </w:tc>
        <w:tc>
          <w:tcPr>
            <w:tcW w:w="660" w:type="dxa"/>
            <w:vAlign w:val="bottom"/>
            <w:tcBorders>
              <w:top w:val="single" w:sz="8" w:color="CBECD5"/>
            </w:tcBorders>
            <w:gridSpan w:val="6"/>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45</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CBECD5"/>
            </w:tcBorders>
            <w:gridSpan w:val="2"/>
            <w:shd w:val="clear" w:color="auto" w:fill="CBECD5"/>
          </w:tcPr>
          <w:p>
            <w:pPr>
              <w:spacing w:after="0" w:line="20" w:lineRule="exact"/>
              <w:rPr>
                <w:sz w:val="1"/>
                <w:szCs w:val="1"/>
                <w:color w:val="auto"/>
              </w:rPr>
            </w:pPr>
          </w:p>
        </w:tc>
        <w:tc>
          <w:tcPr>
            <w:tcW w:w="240" w:type="dxa"/>
            <w:vAlign w:val="bottom"/>
            <w:tcBorders>
              <w:right w:val="single" w:sz="8" w:color="CBECD5"/>
            </w:tcBorders>
            <w:gridSpan w:val="2"/>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280" w:type="dxa"/>
            <w:vAlign w:val="bottom"/>
            <w:gridSpan w:val="4"/>
            <w:shd w:val="clear" w:color="auto" w:fill="CBECD5"/>
          </w:tcPr>
          <w:p>
            <w:pPr>
              <w:spacing w:after="0" w:line="20" w:lineRule="exact"/>
              <w:rPr>
                <w:sz w:val="1"/>
                <w:szCs w:val="1"/>
                <w:color w:val="auto"/>
              </w:rPr>
            </w:pPr>
          </w:p>
        </w:tc>
        <w:tc>
          <w:tcPr>
            <w:tcW w:w="480" w:type="dxa"/>
            <w:vAlign w:val="bottom"/>
            <w:gridSpan w:val="6"/>
            <w:shd w:val="clear" w:color="auto" w:fill="CBECD5"/>
          </w:tcPr>
          <w:p>
            <w:pPr>
              <w:spacing w:after="0" w:line="20" w:lineRule="exact"/>
              <w:rPr>
                <w:sz w:val="1"/>
                <w:szCs w:val="1"/>
                <w:color w:val="auto"/>
              </w:rPr>
            </w:pPr>
          </w:p>
        </w:tc>
        <w:tc>
          <w:tcPr>
            <w:tcW w:w="72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1700" w:type="dxa"/>
            <w:vAlign w:val="bottom"/>
            <w:tcBorders>
              <w:bottom w:val="single" w:sz="8" w:color="0000EE"/>
            </w:tcBorders>
            <w:gridSpan w:val="8"/>
            <w:shd w:val="clear" w:color="auto" w:fill="CBECD5"/>
          </w:tcPr>
          <w:p>
            <w:pPr>
              <w:spacing w:after="0"/>
              <w:rPr>
                <w:sz w:val="20"/>
                <w:szCs w:val="20"/>
                <w:color w:val="auto"/>
              </w:rPr>
            </w:pPr>
            <w:r>
              <w:rPr>
                <w:rFonts w:ascii="Arial" w:cs="Arial" w:eastAsia="Arial" w:hAnsi="Arial"/>
                <w:sz w:val="16"/>
                <w:szCs w:val="16"/>
                <w:color w:val="0000EE"/>
                <w:w w:val="99"/>
              </w:rPr>
              <w:t>Annual Cash Incentives</w:t>
            </w:r>
          </w:p>
        </w:tc>
        <w:tc>
          <w:tcPr>
            <w:tcW w:w="1620" w:type="dxa"/>
            <w:vAlign w:val="bottom"/>
            <w:tcBorders>
              <w:bottom w:val="single" w:sz="8" w:color="CBECD5"/>
            </w:tcBorders>
            <w:gridSpan w:val="18"/>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46</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Long-Term Incentives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49</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CBECD5"/>
            </w:tcBorders>
            <w:gridSpan w:val="2"/>
            <w:shd w:val="clear" w:color="auto" w:fill="0000EE"/>
          </w:tcPr>
          <w:p>
            <w:pPr>
              <w:spacing w:after="0" w:line="20" w:lineRule="exact"/>
              <w:rPr>
                <w:sz w:val="1"/>
                <w:szCs w:val="1"/>
                <w:color w:val="auto"/>
              </w:rPr>
            </w:pPr>
          </w:p>
        </w:tc>
        <w:tc>
          <w:tcPr>
            <w:tcW w:w="120" w:type="dxa"/>
            <w:vAlign w:val="bottom"/>
            <w:gridSpan w:val="2"/>
            <w:shd w:val="clear" w:color="auto" w:fill="CBECD5"/>
          </w:tcPr>
          <w:p>
            <w:pPr>
              <w:spacing w:after="0" w:line="20" w:lineRule="exact"/>
              <w:rPr>
                <w:sz w:val="1"/>
                <w:szCs w:val="1"/>
                <w:color w:val="auto"/>
              </w:rPr>
            </w:pPr>
          </w:p>
        </w:tc>
        <w:tc>
          <w:tcPr>
            <w:tcW w:w="280" w:type="dxa"/>
            <w:vAlign w:val="bottom"/>
            <w:gridSpan w:val="4"/>
            <w:shd w:val="clear" w:color="auto" w:fill="CBECD5"/>
          </w:tcPr>
          <w:p>
            <w:pPr>
              <w:spacing w:after="0" w:line="20" w:lineRule="exact"/>
              <w:rPr>
                <w:sz w:val="1"/>
                <w:szCs w:val="1"/>
                <w:color w:val="auto"/>
              </w:rPr>
            </w:pPr>
          </w:p>
        </w:tc>
        <w:tc>
          <w:tcPr>
            <w:tcW w:w="480" w:type="dxa"/>
            <w:vAlign w:val="bottom"/>
            <w:gridSpan w:val="6"/>
            <w:shd w:val="clear" w:color="auto" w:fill="CBECD5"/>
          </w:tcPr>
          <w:p>
            <w:pPr>
              <w:spacing w:after="0" w:line="20" w:lineRule="exact"/>
              <w:rPr>
                <w:sz w:val="1"/>
                <w:szCs w:val="1"/>
                <w:color w:val="auto"/>
              </w:rPr>
            </w:pPr>
          </w:p>
        </w:tc>
        <w:tc>
          <w:tcPr>
            <w:tcW w:w="72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Additional Compensation Elements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52</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72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3380" w:type="dxa"/>
            <w:vAlign w:val="bottom"/>
            <w:tcBorders>
              <w:bottom w:val="single" w:sz="8" w:color="0000EE"/>
            </w:tcBorders>
            <w:gridSpan w:val="26"/>
            <w:shd w:val="clear" w:color="auto" w:fill="CBECD5"/>
          </w:tcPr>
          <w:p>
            <w:pPr>
              <w:spacing w:after="0"/>
              <w:rPr>
                <w:sz w:val="20"/>
                <w:szCs w:val="20"/>
                <w:color w:val="auto"/>
              </w:rPr>
            </w:pPr>
            <w:r>
              <w:rPr>
                <w:rFonts w:ascii="Arial" w:cs="Arial" w:eastAsia="Arial" w:hAnsi="Arial"/>
                <w:sz w:val="16"/>
                <w:szCs w:val="16"/>
                <w:b w:val="1"/>
                <w:bCs w:val="1"/>
                <w:color w:val="0000EE"/>
                <w:w w:val="98"/>
              </w:rPr>
              <w:t>Additional Practices, Policies and Guidelines</w:t>
            </w:r>
          </w:p>
        </w:tc>
        <w:tc>
          <w:tcPr>
            <w:tcW w:w="100" w:type="dxa"/>
            <w:vAlign w:val="bottom"/>
            <w:tcBorders>
              <w:bottom w:val="single" w:sz="8" w:color="CBECD5"/>
            </w:tcBorders>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53</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Stock Ownership Guidelines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53</w:t>
            </w:r>
          </w:p>
        </w:tc>
      </w:tr>
      <w:tr>
        <w:trPr>
          <w:trHeight w:val="210"/>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CBECD5"/>
            </w:tcBorders>
            <w:shd w:val="clear" w:color="auto" w:fill="CBECD5"/>
          </w:tcPr>
          <w:p>
            <w:pPr>
              <w:spacing w:after="0"/>
              <w:rPr>
                <w:sz w:val="18"/>
                <w:szCs w:val="18"/>
                <w:color w:val="auto"/>
              </w:rPr>
            </w:pPr>
          </w:p>
        </w:tc>
        <w:tc>
          <w:tcPr>
            <w:tcW w:w="2020" w:type="dxa"/>
            <w:vAlign w:val="bottom"/>
            <w:tcBorders>
              <w:top w:val="single" w:sz="8" w:color="0000EE"/>
            </w:tcBorders>
            <w:gridSpan w:val="13"/>
            <w:shd w:val="clear" w:color="auto" w:fill="CBECD5"/>
          </w:tcPr>
          <w:p>
            <w:pPr>
              <w:spacing w:after="0"/>
              <w:rPr>
                <w:sz w:val="20"/>
                <w:szCs w:val="20"/>
                <w:color w:val="auto"/>
              </w:rPr>
            </w:pPr>
            <w:r>
              <w:rPr>
                <w:rFonts w:ascii="Arial" w:cs="Arial" w:eastAsia="Arial" w:hAnsi="Arial"/>
                <w:sz w:val="16"/>
                <w:szCs w:val="16"/>
                <w:color w:val="0000EE"/>
              </w:rPr>
              <w:t>Hedging/Pledging Policy</w:t>
            </w:r>
          </w:p>
        </w:tc>
        <w:tc>
          <w:tcPr>
            <w:tcW w:w="1300" w:type="dxa"/>
            <w:vAlign w:val="bottom"/>
            <w:tcBorders>
              <w:top w:val="single" w:sz="8" w:color="CBECD5"/>
            </w:tcBorders>
            <w:gridSpan w:val="13"/>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53</w:t>
            </w:r>
          </w:p>
        </w:tc>
      </w:tr>
      <w:tr>
        <w:trPr>
          <w:trHeight w:val="210"/>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CBECD5"/>
            </w:tcBorders>
            <w:shd w:val="clear" w:color="auto" w:fill="CBECD5"/>
          </w:tcPr>
          <w:p>
            <w:pPr>
              <w:spacing w:after="0"/>
              <w:rPr>
                <w:sz w:val="18"/>
                <w:szCs w:val="18"/>
                <w:color w:val="auto"/>
              </w:rPr>
            </w:pPr>
          </w:p>
        </w:tc>
        <w:tc>
          <w:tcPr>
            <w:tcW w:w="1740" w:type="dxa"/>
            <w:vAlign w:val="bottom"/>
            <w:tcBorders>
              <w:top w:val="single" w:sz="8" w:color="0000EE"/>
            </w:tcBorders>
            <w:gridSpan w:val="9"/>
            <w:shd w:val="clear" w:color="auto" w:fill="CBECD5"/>
          </w:tcPr>
          <w:p>
            <w:pPr>
              <w:spacing w:after="0"/>
              <w:rPr>
                <w:sz w:val="20"/>
                <w:szCs w:val="20"/>
                <w:color w:val="auto"/>
              </w:rPr>
            </w:pPr>
            <w:r>
              <w:rPr>
                <w:rFonts w:ascii="Arial" w:cs="Arial" w:eastAsia="Arial" w:hAnsi="Arial"/>
                <w:sz w:val="16"/>
                <w:szCs w:val="16"/>
                <w:color w:val="0000EE"/>
              </w:rPr>
              <w:t>Recoupment Policy</w:t>
            </w:r>
          </w:p>
        </w:tc>
        <w:tc>
          <w:tcPr>
            <w:tcW w:w="1580" w:type="dxa"/>
            <w:vAlign w:val="bottom"/>
            <w:tcBorders>
              <w:top w:val="single" w:sz="8" w:color="CBECD5"/>
            </w:tcBorders>
            <w:gridSpan w:val="17"/>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53</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CBECD5"/>
            </w:tcBorders>
            <w:gridSpan w:val="2"/>
            <w:shd w:val="clear" w:color="auto" w:fill="CBECD5"/>
          </w:tcPr>
          <w:p>
            <w:pPr>
              <w:spacing w:after="0" w:line="20" w:lineRule="exact"/>
              <w:rPr>
                <w:sz w:val="1"/>
                <w:szCs w:val="1"/>
                <w:color w:val="auto"/>
              </w:rPr>
            </w:pPr>
          </w:p>
        </w:tc>
        <w:tc>
          <w:tcPr>
            <w:tcW w:w="1700" w:type="dxa"/>
            <w:vAlign w:val="bottom"/>
            <w:gridSpan w:val="19"/>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6"/>
            <w:shd w:val="clear" w:color="auto" w:fill="CBECD5"/>
          </w:tcPr>
          <w:p>
            <w:pPr>
              <w:spacing w:after="0"/>
              <w:rPr>
                <w:sz w:val="20"/>
                <w:szCs w:val="20"/>
                <w:color w:val="auto"/>
              </w:rPr>
            </w:pPr>
            <w:r>
              <w:rPr>
                <w:rFonts w:ascii="Arial" w:cs="Arial" w:eastAsia="Arial" w:hAnsi="Arial"/>
                <w:sz w:val="16"/>
                <w:szCs w:val="16"/>
                <w:color w:val="0000EE"/>
              </w:rPr>
              <w:t>Equity Grant Practices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54</w:t>
            </w:r>
          </w:p>
        </w:tc>
      </w:tr>
      <w:tr>
        <w:trPr>
          <w:trHeight w:val="61"/>
        </w:trPr>
        <w:tc>
          <w:tcPr>
            <w:tcW w:w="120" w:type="dxa"/>
            <w:vAlign w:val="bottom"/>
            <w:tcBorders>
              <w:top w:val="single" w:sz="8" w:color="CBECD5"/>
              <w:left w:val="single" w:sz="8" w:color="53C072"/>
              <w:bottom w:val="single" w:sz="8" w:color="53C072"/>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580" w:type="dxa"/>
            <w:vAlign w:val="bottom"/>
            <w:tcBorders>
              <w:top w:val="single" w:sz="8" w:color="0000EE"/>
              <w:bottom w:val="single" w:sz="8" w:color="53C072"/>
            </w:tcBorders>
            <w:shd w:val="clear" w:color="auto" w:fill="CBECD5"/>
          </w:tcPr>
          <w:p>
            <w:pPr>
              <w:spacing w:after="0"/>
              <w:rPr>
                <w:sz w:val="5"/>
                <w:szCs w:val="5"/>
                <w:color w:val="auto"/>
              </w:rPr>
            </w:pPr>
          </w:p>
        </w:tc>
        <w:tc>
          <w:tcPr>
            <w:tcW w:w="200" w:type="dxa"/>
            <w:vAlign w:val="bottom"/>
            <w:tcBorders>
              <w:top w:val="single" w:sz="8" w:color="0000EE"/>
              <w:bottom w:val="single" w:sz="8" w:color="53C072"/>
            </w:tcBorders>
            <w:shd w:val="clear" w:color="auto" w:fill="CBECD5"/>
          </w:tcPr>
          <w:p>
            <w:pPr>
              <w:spacing w:after="0"/>
              <w:rPr>
                <w:sz w:val="5"/>
                <w:szCs w:val="5"/>
                <w:color w:val="auto"/>
              </w:rPr>
            </w:pPr>
          </w:p>
        </w:tc>
        <w:tc>
          <w:tcPr>
            <w:tcW w:w="80" w:type="dxa"/>
            <w:vAlign w:val="bottom"/>
            <w:tcBorders>
              <w:top w:val="single" w:sz="8" w:color="0000EE"/>
              <w:bottom w:val="single" w:sz="8" w:color="53C072"/>
            </w:tcBorders>
            <w:shd w:val="clear" w:color="auto" w:fill="CBECD5"/>
          </w:tcPr>
          <w:p>
            <w:pPr>
              <w:spacing w:after="0"/>
              <w:rPr>
                <w:sz w:val="5"/>
                <w:szCs w:val="5"/>
                <w:color w:val="auto"/>
              </w:rPr>
            </w:pPr>
          </w:p>
        </w:tc>
        <w:tc>
          <w:tcPr>
            <w:tcW w:w="180" w:type="dxa"/>
            <w:vAlign w:val="bottom"/>
            <w:tcBorders>
              <w:top w:val="single" w:sz="8" w:color="0000EE"/>
              <w:bottom w:val="single" w:sz="8" w:color="53C072"/>
            </w:tcBorders>
            <w:shd w:val="clear" w:color="auto" w:fill="CBECD5"/>
          </w:tcPr>
          <w:p>
            <w:pPr>
              <w:spacing w:after="0"/>
              <w:rPr>
                <w:sz w:val="5"/>
                <w:szCs w:val="5"/>
                <w:color w:val="auto"/>
              </w:rPr>
            </w:pPr>
          </w:p>
        </w:tc>
        <w:tc>
          <w:tcPr>
            <w:tcW w:w="340" w:type="dxa"/>
            <w:vAlign w:val="bottom"/>
            <w:tcBorders>
              <w:top w:val="single" w:sz="8" w:color="0000EE"/>
              <w:bottom w:val="single" w:sz="8" w:color="53C072"/>
              <w:right w:val="single" w:sz="8" w:color="CBECD5"/>
            </w:tcBorders>
            <w:shd w:val="clear" w:color="auto" w:fill="CBECD5"/>
          </w:tcPr>
          <w:p>
            <w:pPr>
              <w:spacing w:after="0"/>
              <w:rPr>
                <w:sz w:val="5"/>
                <w:szCs w:val="5"/>
                <w:color w:val="auto"/>
              </w:rPr>
            </w:pPr>
          </w:p>
        </w:tc>
        <w:tc>
          <w:tcPr>
            <w:tcW w:w="120" w:type="dxa"/>
            <w:vAlign w:val="bottom"/>
            <w:tcBorders>
              <w:top w:val="single" w:sz="8" w:color="0000EE"/>
              <w:bottom w:val="single" w:sz="8" w:color="53C072"/>
            </w:tcBorders>
            <w:shd w:val="clear" w:color="auto" w:fill="CBECD5"/>
          </w:tcPr>
          <w:p>
            <w:pPr>
              <w:spacing w:after="0"/>
              <w:rPr>
                <w:sz w:val="5"/>
                <w:szCs w:val="5"/>
                <w:color w:val="auto"/>
              </w:rPr>
            </w:pPr>
          </w:p>
        </w:tc>
        <w:tc>
          <w:tcPr>
            <w:tcW w:w="120" w:type="dxa"/>
            <w:vAlign w:val="bottom"/>
            <w:tcBorders>
              <w:top w:val="single" w:sz="8" w:color="0000EE"/>
              <w:bottom w:val="single" w:sz="8" w:color="53C072"/>
              <w:right w:val="single" w:sz="8" w:color="CBECD5"/>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26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120" w:type="dxa"/>
            <w:vAlign w:val="bottom"/>
            <w:tcBorders>
              <w:top w:val="single" w:sz="8" w:color="CBECD5"/>
              <w:bottom w:val="single" w:sz="8" w:color="53C072"/>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30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420" w:type="dxa"/>
            <w:vAlign w:val="bottom"/>
            <w:tcBorders>
              <w:top w:val="single" w:sz="8" w:color="CBECD5"/>
              <w:bottom w:val="single" w:sz="8" w:color="53C072"/>
            </w:tcBorders>
            <w:shd w:val="clear" w:color="auto" w:fill="CBECD5"/>
          </w:tcPr>
          <w:p>
            <w:pPr>
              <w:spacing w:after="0"/>
              <w:rPr>
                <w:sz w:val="5"/>
                <w:szCs w:val="5"/>
                <w:color w:val="auto"/>
              </w:rPr>
            </w:pPr>
          </w:p>
        </w:tc>
        <w:tc>
          <w:tcPr>
            <w:tcW w:w="260" w:type="dxa"/>
            <w:vAlign w:val="bottom"/>
            <w:tcBorders>
              <w:top w:val="single" w:sz="8" w:color="0000EE"/>
              <w:bottom w:val="single" w:sz="8" w:color="53C072"/>
              <w:right w:val="single" w:sz="8" w:color="53C072"/>
            </w:tcBorders>
            <w:shd w:val="clear" w:color="auto" w:fill="CBECD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-4371340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53C072"/>
        </w:rPr>
        <w:t>EXECUTIVE SUMMARY</w:t>
      </w:r>
    </w:p>
    <w:p>
      <w:pPr>
        <w:spacing w:after="0" w:line="158" w:lineRule="exact"/>
        <w:rPr>
          <w:sz w:val="20"/>
          <w:szCs w:val="20"/>
          <w:color w:val="auto"/>
        </w:rPr>
      </w:pPr>
    </w:p>
    <w:p>
      <w:pPr>
        <w:ind w:right="159"/>
        <w:spacing w:after="0" w:line="262" w:lineRule="auto"/>
        <w:rPr>
          <w:sz w:val="20"/>
          <w:szCs w:val="20"/>
          <w:color w:val="auto"/>
        </w:rPr>
      </w:pPr>
      <w:r>
        <w:rPr>
          <w:rFonts w:ascii="Arial" w:cs="Arial" w:eastAsia="Arial" w:hAnsi="Arial"/>
          <w:sz w:val="18"/>
          <w:szCs w:val="18"/>
          <w:color w:val="auto"/>
        </w:rPr>
        <w:t>The Company designs its compensation programs and practices around a pay-for-performance philosophy geared toward the achievement of short-and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2023 for the named executive officers (“NEOs”). The compensation awarded to the NEOs for fiscal 2023 is set forth in the Summary Compensation Table in this Proxy Statement.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Named Executive Officers (NEOs)</w:t>
      </w:r>
    </w:p>
    <w:p>
      <w:pPr>
        <w:spacing w:after="0" w:line="163" w:lineRule="exact"/>
        <w:rPr>
          <w:sz w:val="20"/>
          <w:szCs w:val="20"/>
          <w:color w:val="auto"/>
        </w:rPr>
      </w:pPr>
    </w:p>
    <w:p>
      <w:pPr>
        <w:ind w:right="299"/>
        <w:spacing w:after="0" w:line="289" w:lineRule="auto"/>
        <w:rPr>
          <w:sz w:val="20"/>
          <w:szCs w:val="20"/>
          <w:color w:val="auto"/>
        </w:rPr>
      </w:pPr>
      <w:r>
        <w:rPr>
          <w:rFonts w:ascii="Arial" w:cs="Arial" w:eastAsia="Arial" w:hAnsi="Arial"/>
          <w:sz w:val="17"/>
          <w:szCs w:val="17"/>
          <w:color w:val="auto"/>
        </w:rPr>
        <w:t>The NEOs for fiscal 2023 are listed below. The titles represent their current position with the Company. Please see “Executive Officers of the Company” for additional information on current officers’ roles.</w:t>
      </w:r>
    </w:p>
    <w:p>
      <w:pPr>
        <w:spacing w:after="0" w:line="1633" w:lineRule="exact"/>
        <w:rPr>
          <w:sz w:val="20"/>
          <w:szCs w:val="20"/>
          <w:color w:val="auto"/>
        </w:rPr>
      </w:pPr>
    </w:p>
    <w:p>
      <w:pPr>
        <w:sectPr>
          <w:pgSz w:w="11900" w:h="16838" w:orient="portrait"/>
          <w:cols w:equalWidth="0" w:num="2">
            <w:col w:w="5260" w:space="220"/>
            <w:col w:w="4399"/>
          </w:cols>
          <w:pgMar w:left="580" w:top="90" w:right="1440" w:bottom="1440" w:gutter="0" w:footer="0" w:header="0"/>
          <w:type w:val="continuous"/>
        </w:sectPr>
      </w:pPr>
    </w:p>
    <w:p>
      <w:pPr>
        <w:spacing w:after="0" w:line="124"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5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NEOs</w:t>
            </w:r>
          </w:p>
        </w:tc>
        <w:tc>
          <w:tcPr>
            <w:tcW w:w="6220" w:type="dxa"/>
            <w:vAlign w:val="bottom"/>
            <w:shd w:val="clear" w:color="auto" w:fill="53C072"/>
          </w:tcPr>
          <w:p>
            <w:pPr>
              <w:ind w:left="180"/>
              <w:spacing w:after="0"/>
              <w:rPr>
                <w:sz w:val="20"/>
                <w:szCs w:val="20"/>
                <w:color w:val="auto"/>
              </w:rPr>
            </w:pPr>
            <w:r>
              <w:rPr>
                <w:rFonts w:ascii="Arial" w:cs="Arial" w:eastAsia="Arial" w:hAnsi="Arial"/>
                <w:sz w:val="14"/>
                <w:szCs w:val="14"/>
                <w:b w:val="1"/>
                <w:bCs w:val="1"/>
                <w:color w:val="FFFFFF"/>
              </w:rPr>
              <w:t>Position</w:t>
            </w: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6220" w:type="dxa"/>
            <w:vAlign w:val="bottom"/>
          </w:tcPr>
          <w:p>
            <w:pPr>
              <w:ind w:left="180"/>
              <w:spacing w:after="0"/>
              <w:rPr>
                <w:sz w:val="20"/>
                <w:szCs w:val="20"/>
                <w:color w:val="auto"/>
              </w:rPr>
            </w:pPr>
            <w:r>
              <w:rPr>
                <w:rFonts w:ascii="Arial" w:cs="Arial" w:eastAsia="Arial" w:hAnsi="Arial"/>
                <w:sz w:val="18"/>
                <w:szCs w:val="18"/>
                <w:color w:val="auto"/>
              </w:rPr>
              <w:t>Chief Executive Officer (“CEO”) and President, Electronic Components</w:t>
            </w:r>
          </w:p>
        </w:tc>
      </w:tr>
      <w:tr>
        <w:trPr>
          <w:trHeight w:val="270"/>
        </w:trPr>
        <w:tc>
          <w:tcPr>
            <w:tcW w:w="25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Kenneth A. Jacobson</w:t>
            </w:r>
            <w:r>
              <w:rPr>
                <w:rFonts w:ascii="Arial" w:cs="Arial" w:eastAsia="Arial" w:hAnsi="Arial"/>
                <w:sz w:val="23"/>
                <w:szCs w:val="23"/>
                <w:color w:val="auto"/>
                <w:vertAlign w:val="superscript"/>
              </w:rPr>
              <w:t>(1)</w:t>
            </w:r>
          </w:p>
        </w:tc>
        <w:tc>
          <w:tcPr>
            <w:tcW w:w="6220" w:type="dxa"/>
            <w:vAlign w:val="bottom"/>
            <w:shd w:val="clear" w:color="auto" w:fill="CBECD5"/>
          </w:tcPr>
          <w:p>
            <w:pPr>
              <w:ind w:left="180"/>
              <w:spacing w:after="0"/>
              <w:rPr>
                <w:sz w:val="20"/>
                <w:szCs w:val="20"/>
                <w:color w:val="auto"/>
              </w:rPr>
            </w:pPr>
            <w:r>
              <w:rPr>
                <w:rFonts w:ascii="Arial" w:cs="Arial" w:eastAsia="Arial" w:hAnsi="Arial"/>
                <w:sz w:val="18"/>
                <w:szCs w:val="18"/>
                <w:color w:val="auto"/>
              </w:rPr>
              <w:t>Chief Financial Officer (“CFO”)</w:t>
            </w: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6220" w:type="dxa"/>
            <w:vAlign w:val="bottom"/>
          </w:tcPr>
          <w:p>
            <w:pPr>
              <w:ind w:left="180"/>
              <w:spacing w:after="0"/>
              <w:rPr>
                <w:sz w:val="20"/>
                <w:szCs w:val="20"/>
                <w:color w:val="auto"/>
              </w:rPr>
            </w:pPr>
            <w:r>
              <w:rPr>
                <w:rFonts w:ascii="Arial" w:cs="Arial" w:eastAsia="Arial" w:hAnsi="Arial"/>
                <w:sz w:val="18"/>
                <w:szCs w:val="18"/>
                <w:color w:val="auto"/>
              </w:rPr>
              <w:t>Senior Vice President, Chief People Officer</w:t>
            </w:r>
          </w:p>
        </w:tc>
      </w:tr>
      <w:tr>
        <w:trPr>
          <w:trHeight w:val="243"/>
        </w:trPr>
        <w:tc>
          <w:tcPr>
            <w:tcW w:w="25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Michael R. McCoy</w:t>
            </w:r>
          </w:p>
        </w:tc>
        <w:tc>
          <w:tcPr>
            <w:tcW w:w="6220" w:type="dxa"/>
            <w:vAlign w:val="bottom"/>
            <w:shd w:val="clear" w:color="auto" w:fill="CBECD5"/>
          </w:tcPr>
          <w:p>
            <w:pPr>
              <w:ind w:left="180"/>
              <w:spacing w:after="0"/>
              <w:rPr>
                <w:sz w:val="20"/>
                <w:szCs w:val="20"/>
                <w:color w:val="auto"/>
              </w:rPr>
            </w:pPr>
            <w:r>
              <w:rPr>
                <w:rFonts w:ascii="Arial" w:cs="Arial" w:eastAsia="Arial" w:hAnsi="Arial"/>
                <w:sz w:val="18"/>
                <w:szCs w:val="18"/>
                <w:color w:val="auto"/>
              </w:rPr>
              <w:t>Senior Vice President, General Counsel and Chief Legal Officer</w:t>
            </w:r>
          </w:p>
        </w:tc>
      </w:tr>
      <w:tr>
        <w:trPr>
          <w:trHeight w:val="230"/>
        </w:trPr>
        <w:tc>
          <w:tcPr>
            <w:tcW w:w="2540" w:type="dxa"/>
            <w:vAlign w:val="bottom"/>
          </w:tcPr>
          <w:p>
            <w:pPr>
              <w:ind w:left="120"/>
              <w:spacing w:after="0" w:line="230" w:lineRule="exact"/>
              <w:rPr>
                <w:sz w:val="20"/>
                <w:szCs w:val="20"/>
                <w:color w:val="auto"/>
              </w:rPr>
            </w:pPr>
            <w:r>
              <w:rPr>
                <w:rFonts w:ascii="Arial" w:cs="Arial" w:eastAsia="Arial" w:hAnsi="Arial"/>
                <w:sz w:val="18"/>
                <w:szCs w:val="18"/>
                <w:color w:val="auto"/>
              </w:rPr>
              <w:t>Rebeca Obregon-Jimenez</w:t>
            </w:r>
            <w:r>
              <w:rPr>
                <w:rFonts w:ascii="Arial" w:cs="Arial" w:eastAsia="Arial" w:hAnsi="Arial"/>
                <w:sz w:val="23"/>
                <w:szCs w:val="23"/>
                <w:color w:val="auto"/>
                <w:vertAlign w:val="superscript"/>
              </w:rPr>
              <w:t>(2)</w:t>
            </w:r>
          </w:p>
        </w:tc>
        <w:tc>
          <w:tcPr>
            <w:tcW w:w="6220" w:type="dxa"/>
            <w:vAlign w:val="bottom"/>
          </w:tcPr>
          <w:p>
            <w:pPr>
              <w:ind w:left="180"/>
              <w:spacing w:after="0"/>
              <w:rPr>
                <w:sz w:val="20"/>
                <w:szCs w:val="20"/>
                <w:color w:val="auto"/>
              </w:rPr>
            </w:pPr>
            <w:r>
              <w:rPr>
                <w:rFonts w:ascii="Arial" w:cs="Arial" w:eastAsia="Arial" w:hAnsi="Arial"/>
                <w:sz w:val="18"/>
                <w:szCs w:val="18"/>
                <w:color w:val="auto"/>
              </w:rPr>
              <w:t>Senior Vice President, Strategic Business Engagements and Supplier</w:t>
            </w:r>
          </w:p>
        </w:tc>
      </w:tr>
      <w:tr>
        <w:trPr>
          <w:trHeight w:val="229"/>
        </w:trPr>
        <w:tc>
          <w:tcPr>
            <w:tcW w:w="254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Management</w:t>
            </w:r>
          </w:p>
        </w:tc>
      </w:tr>
      <w:tr>
        <w:trPr>
          <w:trHeight w:val="318"/>
        </w:trPr>
        <w:tc>
          <w:tcPr>
            <w:tcW w:w="254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color w:val="auto"/>
              </w:rPr>
              <w:t>Thomas Liguori</w:t>
            </w:r>
            <w:r>
              <w:rPr>
                <w:rFonts w:ascii="Arial" w:cs="Arial" w:eastAsia="Arial" w:hAnsi="Arial"/>
                <w:sz w:val="23"/>
                <w:szCs w:val="23"/>
                <w:color w:val="auto"/>
                <w:vertAlign w:val="superscript"/>
              </w:rPr>
              <w:t>(3)</w:t>
            </w:r>
          </w:p>
        </w:tc>
        <w:tc>
          <w:tcPr>
            <w:tcW w:w="6220" w:type="dxa"/>
            <w:vAlign w:val="bottom"/>
            <w:tcBorders>
              <w:bottom w:val="single" w:sz="8" w:color="53C072"/>
            </w:tcBorders>
            <w:shd w:val="clear" w:color="auto" w:fill="CBECD5"/>
          </w:tcPr>
          <w:p>
            <w:pPr>
              <w:ind w:left="180"/>
              <w:spacing w:after="0"/>
              <w:rPr>
                <w:sz w:val="20"/>
                <w:szCs w:val="20"/>
                <w:color w:val="auto"/>
              </w:rPr>
            </w:pPr>
            <w:r>
              <w:rPr>
                <w:rFonts w:ascii="Arial" w:cs="Arial" w:eastAsia="Arial" w:hAnsi="Arial"/>
                <w:sz w:val="18"/>
                <w:szCs w:val="18"/>
                <w:color w:val="auto"/>
              </w:rPr>
              <w:t>Former Chief Financial Officer</w:t>
            </w:r>
          </w:p>
        </w:tc>
      </w:tr>
    </w:tbl>
    <w:p>
      <w:pPr>
        <w:spacing w:after="0" w:line="68" w:lineRule="exact"/>
        <w:rPr>
          <w:sz w:val="20"/>
          <w:szCs w:val="20"/>
          <w:color w:val="auto"/>
        </w:rPr>
      </w:pPr>
    </w:p>
    <w:p>
      <w:pPr>
        <w:ind w:left="1720" w:hanging="730"/>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Jacobson was appointed as CFO effective September 6, 2022.</w:t>
      </w:r>
    </w:p>
    <w:p>
      <w:pPr>
        <w:spacing w:after="0" w:line="103" w:lineRule="exact"/>
        <w:rPr>
          <w:rFonts w:ascii="Arial" w:cs="Arial" w:eastAsia="Arial" w:hAnsi="Arial"/>
          <w:sz w:val="18"/>
          <w:szCs w:val="18"/>
          <w:color w:val="auto"/>
        </w:rPr>
      </w:pPr>
    </w:p>
    <w:p>
      <w:pPr>
        <w:ind w:left="1720" w:hanging="730"/>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Obregon-Jimenez joined the Company effective December 30, 2022.</w:t>
      </w:r>
    </w:p>
    <w:p>
      <w:pPr>
        <w:spacing w:after="0" w:line="117" w:lineRule="exact"/>
        <w:rPr>
          <w:rFonts w:ascii="Arial" w:cs="Arial" w:eastAsia="Arial" w:hAnsi="Arial"/>
          <w:sz w:val="18"/>
          <w:szCs w:val="18"/>
          <w:color w:val="auto"/>
        </w:rPr>
      </w:pPr>
    </w:p>
    <w:p>
      <w:pPr>
        <w:ind w:left="1720" w:right="979" w:hanging="730"/>
        <w:spacing w:after="0" w:line="275" w:lineRule="auto"/>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Liguori transitioned from CFO, effective September 6, 2022, to a senior advisor through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92710</wp:posOffset>
            </wp:positionV>
            <wp:extent cx="124333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248"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292735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Business Performance</w:t>
      </w:r>
    </w:p>
    <w:p>
      <w:pPr>
        <w:spacing w:after="0" w:line="163" w:lineRule="exact"/>
        <w:rPr>
          <w:sz w:val="20"/>
          <w:szCs w:val="20"/>
          <w:color w:val="auto"/>
        </w:rPr>
      </w:pPr>
    </w:p>
    <w:p>
      <w:pPr>
        <w:ind w:left="1000" w:right="379"/>
        <w:spacing w:after="0" w:line="275" w:lineRule="auto"/>
        <w:rPr>
          <w:sz w:val="20"/>
          <w:szCs w:val="20"/>
          <w:color w:val="auto"/>
        </w:rPr>
      </w:pPr>
      <w:r>
        <w:rPr>
          <w:rFonts w:ascii="Arial" w:cs="Arial" w:eastAsia="Arial" w:hAnsi="Arial"/>
          <w:sz w:val="18"/>
          <w:szCs w:val="18"/>
          <w:color w:val="auto"/>
        </w:rPr>
        <w:t>The Company’s performance, including some of the financial performance metrics utilized in the Company’s incentive plans payable for fiscal 2023, is detailed in the table below.</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380" w:type="dxa"/>
            <w:vAlign w:val="bottom"/>
            <w:shd w:val="clear" w:color="auto" w:fill="53C072"/>
          </w:tcPr>
          <w:p>
            <w:pPr>
              <w:spacing w:after="0"/>
              <w:rPr>
                <w:sz w:val="19"/>
                <w:szCs w:val="19"/>
                <w:color w:val="auto"/>
              </w:rPr>
            </w:pPr>
          </w:p>
        </w:tc>
        <w:tc>
          <w:tcPr>
            <w:tcW w:w="2440" w:type="dxa"/>
            <w:vAlign w:val="bottom"/>
            <w:gridSpan w:val="2"/>
            <w:shd w:val="clear" w:color="auto" w:fill="53C072"/>
          </w:tcPr>
          <w:p>
            <w:pPr>
              <w:jc w:val="right"/>
              <w:ind w:right="92"/>
              <w:spacing w:after="0"/>
              <w:rPr>
                <w:sz w:val="20"/>
                <w:szCs w:val="20"/>
                <w:color w:val="auto"/>
              </w:rPr>
            </w:pPr>
            <w:r>
              <w:rPr>
                <w:rFonts w:ascii="Arial" w:cs="Arial" w:eastAsia="Arial" w:hAnsi="Arial"/>
                <w:sz w:val="14"/>
                <w:szCs w:val="14"/>
                <w:b w:val="1"/>
                <w:bCs w:val="1"/>
                <w:color w:val="FEFEFE"/>
              </w:rPr>
              <w:t>Fiscal 2022</w:t>
            </w:r>
          </w:p>
        </w:tc>
        <w:tc>
          <w:tcPr>
            <w:tcW w:w="108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Fiscal 2023</w:t>
            </w:r>
          </w:p>
        </w:tc>
        <w:tc>
          <w:tcPr>
            <w:tcW w:w="860" w:type="dxa"/>
            <w:vAlign w:val="bottom"/>
            <w:shd w:val="clear" w:color="auto" w:fill="53C072"/>
          </w:tcPr>
          <w:p>
            <w:pPr>
              <w:jc w:val="right"/>
              <w:ind w:right="32"/>
              <w:spacing w:after="0"/>
              <w:rPr>
                <w:sz w:val="20"/>
                <w:szCs w:val="20"/>
                <w:color w:val="auto"/>
              </w:rPr>
            </w:pPr>
            <w:r>
              <w:rPr>
                <w:rFonts w:ascii="Arial" w:cs="Arial" w:eastAsia="Arial" w:hAnsi="Arial"/>
                <w:sz w:val="14"/>
                <w:szCs w:val="14"/>
                <w:b w:val="1"/>
                <w:bCs w:val="1"/>
                <w:color w:val="FEFEFE"/>
              </w:rPr>
              <w:t>% Change</w:t>
            </w:r>
          </w:p>
        </w:tc>
      </w:tr>
      <w:tr>
        <w:trPr>
          <w:trHeight w:val="254"/>
        </w:trPr>
        <w:tc>
          <w:tcPr>
            <w:tcW w:w="4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7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 in millions, except per share data</w:t>
            </w:r>
            <w:r>
              <w:rPr>
                <w:rFonts w:ascii="Arial" w:cs="Arial" w:eastAsia="Arial" w:hAnsi="Arial"/>
                <w:sz w:val="17"/>
                <w:szCs w:val="17"/>
                <w:b w:val="1"/>
                <w:bCs w:val="1"/>
                <w:color w:val="auto"/>
              </w:rPr>
              <w:t>​</w:t>
            </w:r>
          </w:p>
        </w:tc>
      </w:tr>
      <w:tr>
        <w:trPr>
          <w:trHeight w:val="259"/>
        </w:trPr>
        <w:tc>
          <w:tcPr>
            <w:tcW w:w="4380" w:type="dxa"/>
            <w:vAlign w:val="bottom"/>
            <w:shd w:val="clear" w:color="auto" w:fill="CBECD5"/>
          </w:tcPr>
          <w:p>
            <w:pPr>
              <w:ind w:left="60"/>
              <w:spacing w:after="0"/>
              <w:rPr>
                <w:sz w:val="20"/>
                <w:szCs w:val="20"/>
                <w:color w:val="auto"/>
              </w:rPr>
            </w:pPr>
            <w:r>
              <w:rPr>
                <w:rFonts w:ascii="Arial" w:cs="Arial" w:eastAsia="Arial" w:hAnsi="Arial"/>
                <w:sz w:val="18"/>
                <w:szCs w:val="18"/>
                <w:color w:val="auto"/>
              </w:rPr>
              <w:t>​Sales</w:t>
            </w:r>
          </w:p>
        </w:tc>
        <w:tc>
          <w:tcPr>
            <w:tcW w:w="2440" w:type="dxa"/>
            <w:vAlign w:val="bottom"/>
            <w:gridSpan w:val="2"/>
            <w:shd w:val="clear" w:color="auto" w:fill="CBECD5"/>
          </w:tcPr>
          <w:p>
            <w:pPr>
              <w:jc w:val="right"/>
              <w:ind w:right="92"/>
              <w:spacing w:after="0"/>
              <w:rPr>
                <w:sz w:val="20"/>
                <w:szCs w:val="20"/>
                <w:color w:val="auto"/>
              </w:rPr>
            </w:pPr>
            <w:r>
              <w:rPr>
                <w:rFonts w:ascii="Arial" w:cs="Arial" w:eastAsia="Arial" w:hAnsi="Arial"/>
                <w:sz w:val="18"/>
                <w:szCs w:val="18"/>
                <w:color w:val="auto"/>
              </w:rPr>
              <w:t>​$24,310.7</w:t>
            </w:r>
          </w:p>
        </w:tc>
        <w:tc>
          <w:tcPr>
            <w:tcW w:w="1080" w:type="dxa"/>
            <w:vAlign w:val="bottom"/>
            <w:gridSpan w:val="2"/>
            <w:shd w:val="clear" w:color="auto" w:fill="CBECD5"/>
          </w:tcPr>
          <w:p>
            <w:pPr>
              <w:ind w:left="40"/>
              <w:spacing w:after="0"/>
              <w:rPr>
                <w:sz w:val="20"/>
                <w:szCs w:val="20"/>
                <w:color w:val="auto"/>
              </w:rPr>
            </w:pPr>
            <w:r>
              <w:rPr>
                <w:rFonts w:ascii="Arial" w:cs="Arial" w:eastAsia="Arial" w:hAnsi="Arial"/>
                <w:sz w:val="18"/>
                <w:szCs w:val="18"/>
                <w:color w:val="auto"/>
              </w:rPr>
              <w:t>​$26,536.9</w:t>
            </w:r>
          </w:p>
        </w:tc>
        <w:tc>
          <w:tcPr>
            <w:tcW w:w="86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9.2%</w:t>
            </w:r>
          </w:p>
        </w:tc>
      </w:tr>
      <w:tr>
        <w:trPr>
          <w:trHeight w:val="257"/>
        </w:trPr>
        <w:tc>
          <w:tcPr>
            <w:tcW w:w="4380" w:type="dxa"/>
            <w:vAlign w:val="bottom"/>
          </w:tcPr>
          <w:p>
            <w:pPr>
              <w:ind w:left="60"/>
              <w:spacing w:after="0"/>
              <w:rPr>
                <w:sz w:val="20"/>
                <w:szCs w:val="20"/>
                <w:color w:val="auto"/>
              </w:rPr>
            </w:pPr>
            <w:r>
              <w:rPr>
                <w:rFonts w:ascii="Arial" w:cs="Arial" w:eastAsia="Arial" w:hAnsi="Arial"/>
                <w:sz w:val="18"/>
                <w:szCs w:val="18"/>
                <w:color w:val="auto"/>
              </w:rPr>
              <w:t>​Gross profit dollars</w:t>
            </w:r>
          </w:p>
        </w:tc>
        <w:tc>
          <w:tcPr>
            <w:tcW w:w="1600" w:type="dxa"/>
            <w:vAlign w:val="bottom"/>
          </w:tcPr>
          <w:p>
            <w:pPr>
              <w:ind w:left="1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2,965.4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3,182.1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w:t>
            </w:r>
          </w:p>
        </w:tc>
      </w:tr>
      <w:tr>
        <w:trPr>
          <w:trHeight w:val="257"/>
        </w:trPr>
        <w:tc>
          <w:tcPr>
            <w:tcW w:w="4380" w:type="dxa"/>
            <w:vAlign w:val="bottom"/>
            <w:shd w:val="clear" w:color="auto" w:fill="CBECD5"/>
          </w:tcPr>
          <w:p>
            <w:pPr>
              <w:ind w:left="60"/>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BECD5"/>
          </w:tcPr>
          <w:p>
            <w:pPr>
              <w:ind w:left="1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939.0</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ECD5"/>
          </w:tcPr>
          <w:p>
            <w:pPr>
              <w:jc w:val="right"/>
              <w:ind w:right="130"/>
              <w:spacing w:after="0"/>
              <w:rPr>
                <w:sz w:val="20"/>
                <w:szCs w:val="20"/>
                <w:color w:val="auto"/>
              </w:rPr>
            </w:pPr>
            <w:r>
              <w:rPr>
                <w:rFonts w:ascii="Arial" w:cs="Arial" w:eastAsia="Arial" w:hAnsi="Arial"/>
                <w:sz w:val="18"/>
                <w:szCs w:val="18"/>
                <w:color w:val="auto"/>
              </w:rPr>
              <w:t>1,186.8</w:t>
            </w:r>
          </w:p>
        </w:tc>
        <w:tc>
          <w:tcPr>
            <w:tcW w:w="86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26.4%</w:t>
            </w:r>
          </w:p>
        </w:tc>
      </w:tr>
      <w:tr>
        <w:trPr>
          <w:trHeight w:val="257"/>
        </w:trPr>
        <w:tc>
          <w:tcPr>
            <w:tcW w:w="4380" w:type="dxa"/>
            <w:vAlign w:val="bottom"/>
          </w:tcPr>
          <w:p>
            <w:pPr>
              <w:ind w:left="60"/>
              <w:spacing w:after="0"/>
              <w:rPr>
                <w:sz w:val="20"/>
                <w:szCs w:val="20"/>
                <w:color w:val="auto"/>
              </w:rPr>
            </w:pPr>
            <w:r>
              <w:rPr>
                <w:rFonts w:ascii="Arial" w:cs="Arial" w:eastAsia="Arial" w:hAnsi="Arial"/>
                <w:sz w:val="18"/>
                <w:szCs w:val="18"/>
                <w:color w:val="auto"/>
              </w:rPr>
              <w:t>​Adjusted operating income</w:t>
            </w:r>
          </w:p>
        </w:tc>
        <w:tc>
          <w:tcPr>
            <w:tcW w:w="1600" w:type="dxa"/>
            <w:vAlign w:val="bottom"/>
          </w:tcPr>
          <w:p>
            <w:pPr>
              <w:ind w:left="1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985.6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1,220.9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23.9%</w:t>
            </w:r>
          </w:p>
        </w:tc>
      </w:tr>
      <w:tr>
        <w:trPr>
          <w:trHeight w:val="256"/>
        </w:trPr>
        <w:tc>
          <w:tcPr>
            <w:tcW w:w="4380" w:type="dxa"/>
            <w:vAlign w:val="bottom"/>
            <w:shd w:val="clear" w:color="auto" w:fill="CBECD5"/>
          </w:tcPr>
          <w:p>
            <w:pPr>
              <w:ind w:left="60"/>
              <w:spacing w:after="0"/>
              <w:rPr>
                <w:sz w:val="20"/>
                <w:szCs w:val="20"/>
                <w:color w:val="auto"/>
              </w:rPr>
            </w:pPr>
            <w:r>
              <w:rPr>
                <w:rFonts w:ascii="Arial" w:cs="Arial" w:eastAsia="Arial" w:hAnsi="Arial"/>
                <w:sz w:val="18"/>
                <w:szCs w:val="18"/>
                <w:color w:val="auto"/>
              </w:rPr>
              <w:t>​Operating income margin</w:t>
            </w:r>
          </w:p>
        </w:tc>
        <w:tc>
          <w:tcPr>
            <w:tcW w:w="1600" w:type="dxa"/>
            <w:vAlign w:val="bottom"/>
            <w:shd w:val="clear" w:color="auto" w:fill="CBECD5"/>
          </w:tcPr>
          <w:p>
            <w:pPr>
              <w:ind w:left="1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4.47%</w:t>
            </w:r>
          </w:p>
        </w:tc>
        <w:tc>
          <w:tcPr>
            <w:tcW w:w="86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61 bps</w:t>
            </w:r>
          </w:p>
        </w:tc>
      </w:tr>
      <w:tr>
        <w:trPr>
          <w:trHeight w:val="257"/>
        </w:trPr>
        <w:tc>
          <w:tcPr>
            <w:tcW w:w="4380" w:type="dxa"/>
            <w:vAlign w:val="bottom"/>
          </w:tcPr>
          <w:p>
            <w:pPr>
              <w:ind w:left="60"/>
              <w:spacing w:after="0"/>
              <w:rPr>
                <w:sz w:val="20"/>
                <w:szCs w:val="20"/>
                <w:color w:val="auto"/>
              </w:rPr>
            </w:pPr>
            <w:r>
              <w:rPr>
                <w:rFonts w:ascii="Arial" w:cs="Arial" w:eastAsia="Arial" w:hAnsi="Arial"/>
                <w:sz w:val="18"/>
                <w:szCs w:val="18"/>
                <w:color w:val="auto"/>
              </w:rPr>
              <w:t>​Adjusted operating income margin</w:t>
            </w:r>
          </w:p>
        </w:tc>
        <w:tc>
          <w:tcPr>
            <w:tcW w:w="1600" w:type="dxa"/>
            <w:vAlign w:val="bottom"/>
          </w:tcPr>
          <w:p>
            <w:pPr>
              <w:ind w:left="1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 bps</w:t>
            </w:r>
          </w:p>
        </w:tc>
      </w:tr>
      <w:tr>
        <w:trPr>
          <w:trHeight w:val="257"/>
        </w:trPr>
        <w:tc>
          <w:tcPr>
            <w:tcW w:w="4380" w:type="dxa"/>
            <w:vAlign w:val="bottom"/>
            <w:shd w:val="clear" w:color="auto" w:fill="CBECD5"/>
          </w:tcPr>
          <w:p>
            <w:pPr>
              <w:ind w:left="60"/>
              <w:spacing w:after="0"/>
              <w:rPr>
                <w:sz w:val="20"/>
                <w:szCs w:val="20"/>
                <w:color w:val="auto"/>
              </w:rPr>
            </w:pPr>
            <w:r>
              <w:rPr>
                <w:rFonts w:ascii="Arial" w:cs="Arial" w:eastAsia="Arial" w:hAnsi="Arial"/>
                <w:sz w:val="18"/>
                <w:szCs w:val="18"/>
                <w:color w:val="auto"/>
              </w:rPr>
              <w:t>​Diluted earnings per share</w:t>
            </w:r>
          </w:p>
        </w:tc>
        <w:tc>
          <w:tcPr>
            <w:tcW w:w="1600" w:type="dxa"/>
            <w:vAlign w:val="bottom"/>
            <w:shd w:val="clear" w:color="auto" w:fill="CBECD5"/>
          </w:tcPr>
          <w:p>
            <w:pPr>
              <w:ind w:left="1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ECD5"/>
          </w:tcPr>
          <w:p>
            <w:pPr>
              <w:jc w:val="right"/>
              <w:ind w:right="130"/>
              <w:spacing w:after="0"/>
              <w:rPr>
                <w:sz w:val="20"/>
                <w:szCs w:val="20"/>
                <w:color w:val="auto"/>
              </w:rPr>
            </w:pPr>
            <w:r>
              <w:rPr>
                <w:rFonts w:ascii="Arial" w:cs="Arial" w:eastAsia="Arial" w:hAnsi="Arial"/>
                <w:sz w:val="18"/>
                <w:szCs w:val="18"/>
                <w:color w:val="auto"/>
              </w:rPr>
              <w:t>8.26</w:t>
            </w:r>
          </w:p>
        </w:tc>
        <w:tc>
          <w:tcPr>
            <w:tcW w:w="86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19.0%</w:t>
            </w:r>
          </w:p>
        </w:tc>
      </w:tr>
      <w:tr>
        <w:trPr>
          <w:trHeight w:val="257"/>
        </w:trPr>
        <w:tc>
          <w:tcPr>
            <w:tcW w:w="4380" w:type="dxa"/>
            <w:vAlign w:val="bottom"/>
          </w:tcPr>
          <w:p>
            <w:pPr>
              <w:ind w:left="60"/>
              <w:spacing w:after="0"/>
              <w:rPr>
                <w:sz w:val="20"/>
                <w:szCs w:val="20"/>
                <w:color w:val="auto"/>
              </w:rPr>
            </w:pPr>
            <w:r>
              <w:rPr>
                <w:rFonts w:ascii="Arial" w:cs="Arial" w:eastAsia="Arial" w:hAnsi="Arial"/>
                <w:sz w:val="18"/>
                <w:szCs w:val="18"/>
                <w:color w:val="auto"/>
              </w:rPr>
              <w:t>​Adjusted diluted earnings per share</w:t>
            </w:r>
          </w:p>
        </w:tc>
        <w:tc>
          <w:tcPr>
            <w:tcW w:w="1600" w:type="dxa"/>
            <w:vAlign w:val="bottom"/>
          </w:tcPr>
          <w:p>
            <w:pPr>
              <w:ind w:left="1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6.93</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8.06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w:t>
            </w:r>
          </w:p>
        </w:tc>
      </w:tr>
      <w:tr>
        <w:trPr>
          <w:trHeight w:val="257"/>
        </w:trPr>
        <w:tc>
          <w:tcPr>
            <w:tcW w:w="4380" w:type="dxa"/>
            <w:vAlign w:val="bottom"/>
            <w:shd w:val="clear" w:color="auto" w:fill="CBECD5"/>
          </w:tcPr>
          <w:p>
            <w:pPr>
              <w:ind w:left="60"/>
              <w:spacing w:after="0"/>
              <w:rPr>
                <w:sz w:val="20"/>
                <w:szCs w:val="20"/>
                <w:color w:val="auto"/>
              </w:rPr>
            </w:pPr>
            <w:r>
              <w:rPr>
                <w:rFonts w:ascii="Arial" w:cs="Arial" w:eastAsia="Arial" w:hAnsi="Arial"/>
                <w:sz w:val="18"/>
                <w:szCs w:val="18"/>
                <w:color w:val="auto"/>
              </w:rPr>
              <w:t>​Net working capital days</w:t>
            </w:r>
          </w:p>
        </w:tc>
        <w:tc>
          <w:tcPr>
            <w:tcW w:w="1600" w:type="dxa"/>
            <w:vAlign w:val="bottom"/>
            <w:shd w:val="clear" w:color="auto" w:fill="CBECD5"/>
          </w:tcPr>
          <w:p>
            <w:pPr>
              <w:ind w:left="1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92"/>
              <w:spacing w:after="0"/>
              <w:rPr>
                <w:sz w:val="20"/>
                <w:szCs w:val="20"/>
                <w:color w:val="auto"/>
              </w:rPr>
            </w:pPr>
            <w:r>
              <w:rPr>
                <w:rFonts w:ascii="Arial" w:cs="Arial" w:eastAsia="Arial" w:hAnsi="Arial"/>
                <w:sz w:val="18"/>
                <w:szCs w:val="18"/>
                <w:color w:val="auto"/>
              </w:rPr>
              <w:t>68.98</w:t>
            </w:r>
          </w:p>
        </w:tc>
        <w:tc>
          <w:tcPr>
            <w:tcW w:w="2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ECD5"/>
          </w:tcPr>
          <w:p>
            <w:pPr>
              <w:jc w:val="right"/>
              <w:ind w:right="130"/>
              <w:spacing w:after="0"/>
              <w:rPr>
                <w:sz w:val="20"/>
                <w:szCs w:val="20"/>
                <w:color w:val="auto"/>
              </w:rPr>
            </w:pPr>
            <w:r>
              <w:rPr>
                <w:rFonts w:ascii="Arial" w:cs="Arial" w:eastAsia="Arial" w:hAnsi="Arial"/>
                <w:sz w:val="18"/>
                <w:szCs w:val="18"/>
                <w:color w:val="auto"/>
              </w:rPr>
              <w:t>86.19</w:t>
            </w:r>
          </w:p>
        </w:tc>
        <w:tc>
          <w:tcPr>
            <w:tcW w:w="860" w:type="dxa"/>
            <w:vAlign w:val="bottom"/>
            <w:shd w:val="clear" w:color="auto" w:fill="CBECD5"/>
          </w:tcPr>
          <w:p>
            <w:pPr>
              <w:jc w:val="right"/>
              <w:ind w:right="32"/>
              <w:spacing w:after="0"/>
              <w:rPr>
                <w:sz w:val="20"/>
                <w:szCs w:val="20"/>
                <w:color w:val="auto"/>
              </w:rPr>
            </w:pPr>
            <w:r>
              <w:rPr>
                <w:rFonts w:ascii="Arial" w:cs="Arial" w:eastAsia="Arial" w:hAnsi="Arial"/>
                <w:sz w:val="18"/>
                <w:szCs w:val="18"/>
                <w:color w:val="auto"/>
              </w:rPr>
              <w:t>25.0%</w:t>
            </w:r>
          </w:p>
        </w:tc>
      </w:tr>
      <w:tr>
        <w:trPr>
          <w:trHeight w:val="290"/>
        </w:trPr>
        <w:tc>
          <w:tcPr>
            <w:tcW w:w="438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Return on Working Capital</w:t>
            </w:r>
          </w:p>
        </w:tc>
        <w:tc>
          <w:tcPr>
            <w:tcW w:w="1600" w:type="dxa"/>
            <w:vAlign w:val="bottom"/>
            <w:tcBorders>
              <w:bottom w:val="single" w:sz="8" w:color="53C072"/>
            </w:tcBorders>
          </w:tcPr>
          <w:p>
            <w:pPr>
              <w:ind w:left="14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20.65%</w:t>
            </w:r>
          </w:p>
        </w:tc>
        <w:tc>
          <w:tcPr>
            <w:tcW w:w="2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53C072"/>
            </w:tcBorders>
            <w:gridSpan w:val="2"/>
          </w:tcPr>
          <w:p>
            <w:pPr>
              <w:jc w:val="right"/>
              <w:ind w:right="32"/>
              <w:spacing w:after="0"/>
              <w:rPr>
                <w:sz w:val="20"/>
                <w:szCs w:val="20"/>
                <w:color w:val="auto"/>
              </w:rPr>
            </w:pPr>
            <w:r>
              <w:rPr>
                <w:rFonts w:ascii="Arial" w:cs="Arial" w:eastAsia="Arial" w:hAnsi="Arial"/>
                <w:sz w:val="18"/>
                <w:szCs w:val="18"/>
                <w:color w:val="auto"/>
              </w:rPr>
              <w:t>19.51% (114) bps</w:t>
            </w:r>
          </w:p>
        </w:tc>
      </w:tr>
    </w:tbl>
    <w:p>
      <w:pPr>
        <w:spacing w:after="0" w:line="14" w:lineRule="exact"/>
        <w:rPr>
          <w:sz w:val="20"/>
          <w:szCs w:val="20"/>
          <w:color w:val="auto"/>
        </w:rPr>
      </w:pPr>
    </w:p>
    <w:p>
      <w:pPr>
        <w:ind w:left="1620" w:right="139" w:hanging="270"/>
        <w:spacing w:after="0" w:line="252" w:lineRule="auto"/>
        <w:tabs>
          <w:tab w:leader="none" w:pos="1620" w:val="left"/>
        </w:tabs>
        <w:numPr>
          <w:ilvl w:val="0"/>
          <w:numId w:val="46"/>
        </w:numPr>
        <w:rPr>
          <w:rFonts w:ascii="Arial" w:cs="Arial" w:eastAsia="Arial" w:hAnsi="Arial"/>
          <w:sz w:val="18"/>
          <w:szCs w:val="18"/>
          <w:color w:val="53C072"/>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operations, and adjusted diluted earnings per share from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93" w:lineRule="exact"/>
        <w:rPr>
          <w:rFonts w:ascii="Arial" w:cs="Arial" w:eastAsia="Arial" w:hAnsi="Arial"/>
          <w:sz w:val="18"/>
          <w:szCs w:val="18"/>
          <w:color w:val="53C072"/>
        </w:rPr>
      </w:pPr>
    </w:p>
    <w:p>
      <w:pPr>
        <w:jc w:val="both"/>
        <w:ind w:left="1620" w:right="779" w:hanging="270"/>
        <w:spacing w:after="0" w:line="263" w:lineRule="auto"/>
        <w:tabs>
          <w:tab w:leader="none" w:pos="1620" w:val="left"/>
        </w:tabs>
        <w:numPr>
          <w:ilvl w:val="0"/>
          <w:numId w:val="46"/>
        </w:numPr>
        <w:rPr>
          <w:rFonts w:ascii="Arial" w:cs="Arial" w:eastAsia="Arial" w:hAnsi="Arial"/>
          <w:sz w:val="18"/>
          <w:szCs w:val="18"/>
          <w:color w:val="53C072"/>
        </w:rPr>
      </w:pPr>
      <w:r>
        <w:rPr>
          <w:rFonts w:ascii="Arial" w:cs="Arial" w:eastAsia="Arial" w:hAnsi="Arial"/>
          <w:sz w:val="18"/>
          <w:szCs w:val="18"/>
          <w:color w:val="auto"/>
        </w:rPr>
        <w:t>For more details on the Company’s performance, please see the Company’s Annual Report on Form 10-K for the fiscal year ending July 1, 2023, including the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107315</wp:posOffset>
            </wp:positionV>
            <wp:extent cx="3540125" cy="1200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401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1242695"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Summary of Incentive Compensation Design and Payouts for Fiscal 2023</w:t>
      </w:r>
    </w:p>
    <w:p>
      <w:pPr>
        <w:spacing w:after="0" w:line="153"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b w:val="1"/>
          <w:bCs w:val="1"/>
          <w:i w:val="1"/>
          <w:iCs w:val="1"/>
          <w:color w:val="auto"/>
        </w:rPr>
        <w:t xml:space="preserve">Annual Cash Incentive Design and Payout: </w:t>
      </w:r>
      <w:r>
        <w:rPr>
          <w:rFonts w:ascii="Arial" w:cs="Arial" w:eastAsia="Arial" w:hAnsi="Arial"/>
          <w:sz w:val="18"/>
          <w:szCs w:val="18"/>
          <w:color w:val="auto"/>
        </w:rPr>
        <w:t>The annual cash incentive plan for fiscal 2023 consisted of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components — financial performance metrics and non-financial performance metrics, weighted 80% and 20%, respectively. The financial performance metrics had three performance goals: (1) adjusted operating income dollars (OI$), weighted 40%; (2) return on working capital (ROWC), weighted 40%; and (3) relative market share, weighted 20%. Relative market share measures the Company’s ability to increase market share against its main competitor in its Core business. The non-financial performance metric was comprised of goals related to talent acquisition, retention, and diversity and employee engagement. Each NEO’s achievement was determined on an individualized basis, which provided the opportunity to recognize each NEO’s individual contributions to the Company’s diversity and engagement goals. </w:t>
      </w:r>
      <w:r>
        <w:rPr>
          <w:rFonts w:ascii="Arial" w:cs="Arial" w:eastAsia="Arial" w:hAnsi="Arial"/>
          <w:sz w:val="18"/>
          <w:szCs w:val="18"/>
          <w:b w:val="1"/>
          <w:bCs w:val="1"/>
          <w:color w:val="auto"/>
        </w:rPr>
        <w:t>The payout for the fiscal 2023 annual cash</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awards was 141.02% of target for the CEO and ranged from approximately 139.62% —  141.02% of target for other NEOs</w:t>
      </w:r>
      <w:r>
        <w:rPr>
          <w:rFonts w:ascii="Arial" w:cs="Arial" w:eastAsia="Arial" w:hAnsi="Arial"/>
          <w:sz w:val="18"/>
          <w:szCs w:val="18"/>
          <w:color w:val="auto"/>
        </w:rPr>
        <w:t>.</w:t>
      </w:r>
    </w:p>
    <w:p>
      <w:pPr>
        <w:spacing w:after="0" w:line="105"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b w:val="1"/>
          <w:bCs w:val="1"/>
          <w:i w:val="1"/>
          <w:iCs w:val="1"/>
          <w:color w:val="auto"/>
        </w:rPr>
        <w:t xml:space="preserve">Long-Term Incentive Design: </w:t>
      </w:r>
      <w:r>
        <w:rPr>
          <w:rFonts w:ascii="Arial" w:cs="Arial" w:eastAsia="Arial" w:hAnsi="Arial"/>
          <w:sz w:val="18"/>
          <w:szCs w:val="18"/>
          <w:color w:val="auto"/>
        </w:rPr>
        <w:t>The long-term equity incentive plan for fiscal 2023 consisted of 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performance share units (“PSUs”) and 50% time-based restricted stock units (“RSUs”). The PSUs were divided equally into three tranches, each with a different one-fiscal year performance period, which collectively vest at the end of the third fiscal year. PSUs earned under each tranche will be based on (1) adjusted return on invested capital exceeding weighted average cost of capital (“ROIC&gt;WACC”), weighted 50%, and (2) relative adjusted earnings per share growth, weighted 50%, with relative total shareholder return (“rTSR”) as a modifier. </w:t>
      </w:r>
      <w:r>
        <w:rPr>
          <w:rFonts w:ascii="Arial" w:cs="Arial" w:eastAsia="Arial" w:hAnsi="Arial"/>
          <w:sz w:val="18"/>
          <w:szCs w:val="18"/>
          <w:b w:val="1"/>
          <w:bCs w:val="1"/>
          <w:color w:val="auto"/>
        </w:rPr>
        <w:t>PSUs earned under the first tranche, but not yet vested or payable, for the CEO and</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NEOs was 144.57% of target based on the achievement levels</w:t>
      </w:r>
      <w:r>
        <w:rPr>
          <w:rFonts w:ascii="Arial" w:cs="Arial" w:eastAsia="Arial" w:hAnsi="Arial"/>
          <w:sz w:val="18"/>
          <w:szCs w:val="18"/>
          <w:color w:val="auto"/>
        </w:rPr>
        <w:t>.</w:t>
      </w:r>
    </w:p>
    <w:p>
      <w:pPr>
        <w:spacing w:after="0" w:line="9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5546090" cy="660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4609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The Committee’s objective is to approve and oversee a compensation program that supports the Company’s business objectives and aligns executives’ interests with shareholders’ interests by rewarding short- and long-term performance that enhances shareholder value. The Company’s short-term incentive program employs multiple performance measures to ensure focus is on the entire business. The long-term incentive program included awards that vest over several different and overlapping periods to help ensure that performance during any one period was not maximized to the detriment of other periods. In addition to the annual cash incentive awards, equity awards vest over periods ranging from three to four years depending on the award type.</w:t>
      </w:r>
    </w:p>
    <w:p>
      <w:pPr>
        <w:spacing w:after="0" w:line="10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2022 Advisory Vote on Executive Compensation</w:t>
      </w:r>
    </w:p>
    <w:p>
      <w:pPr>
        <w:spacing w:after="0" w:line="163" w:lineRule="exact"/>
        <w:rPr>
          <w:sz w:val="20"/>
          <w:szCs w:val="20"/>
          <w:color w:val="auto"/>
        </w:rPr>
      </w:pPr>
    </w:p>
    <w:p>
      <w:pPr>
        <w:ind w:left="1000" w:right="319"/>
        <w:spacing w:after="0" w:line="285" w:lineRule="auto"/>
        <w:rPr>
          <w:sz w:val="20"/>
          <w:szCs w:val="20"/>
          <w:color w:val="auto"/>
        </w:rPr>
      </w:pPr>
      <w:r>
        <w:rPr>
          <w:rFonts w:ascii="Arial" w:cs="Arial" w:eastAsia="Arial" w:hAnsi="Arial"/>
          <w:sz w:val="17"/>
          <w:szCs w:val="17"/>
          <w:color w:val="auto"/>
        </w:rPr>
        <w:t>At the Company’s annual shareholder meeting on November 17, 2022, the Company submitted its executive compensation program to an advisory vote of its shareholders (also known as the “say on pay vote”). This advisory vote received support from approximately 96.3% of the total votes cast at the annual meeting.</w:t>
      </w:r>
    </w:p>
    <w:p>
      <w:pPr>
        <w:spacing w:after="0" w:line="7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Shareholder Outreach Efforts</w:t>
      </w:r>
    </w:p>
    <w:p>
      <w:pPr>
        <w:spacing w:after="0" w:line="163"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The Company pays careful attention to any feedback received from its shareholders about the Company’s executive compensation program, including the say on pay vote, and its governance practices and policies. As has been its practice for several years, in fiscal 2023, the Company contacted its largest registered shareholders to seek their feedback on the Company’s corporate governance and executive compensation practices (“2023 Outreach”). There were no concerns expressed during the 2023 Outreach that led the Committee to make material changes to the Company’s compensation programs. The Committee carefully considered and continues to consider the results of the say on pay vote and any feedback received from its shareholders in its subsequent executive compensation decision-making.</w:t>
      </w:r>
    </w:p>
    <w:p>
      <w:pPr>
        <w:sectPr>
          <w:pgSz w:w="11900" w:h="16838" w:orient="portrait"/>
          <w:cols w:equalWidth="0" w:num="1">
            <w:col w:w="9879"/>
          </w:cols>
          <w:pgMar w:left="580" w:top="90" w:right="1440" w:bottom="1440" w:gutter="0" w:footer="0" w:header="0"/>
        </w:sectPr>
      </w:pPr>
    </w:p>
    <w:p>
      <w:pPr>
        <w:spacing w:after="0" w:line="13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GOVERNANCE AND PROCESS</w:t>
      </w:r>
    </w:p>
    <w:p>
      <w:pPr>
        <w:spacing w:after="0" w:line="15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Committee and Board</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setting and implementing the Company’s executive compensation program:</w:t>
      </w:r>
    </w:p>
    <w:p>
      <w:pPr>
        <w:spacing w:after="0" w:line="117" w:lineRule="exact"/>
        <w:rPr>
          <w:sz w:val="20"/>
          <w:szCs w:val="20"/>
          <w:color w:val="auto"/>
        </w:rPr>
      </w:pPr>
    </w:p>
    <w:p>
      <w:pPr>
        <w:ind w:left="1720" w:right="29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oversees overall compensation structure, policies, and programs, and assesses the appropriateness of incentives for management and employees</w:t>
      </w:r>
    </w:p>
    <w:p>
      <w:pPr>
        <w:spacing w:after="0" w:line="52" w:lineRule="exact"/>
        <w:rPr>
          <w:rFonts w:ascii="MS PGothic" w:cs="MS PGothic" w:eastAsia="MS PGothic" w:hAnsi="MS PGothic"/>
          <w:sz w:val="18"/>
          <w:szCs w:val="18"/>
          <w:color w:val="53C072"/>
        </w:rPr>
      </w:pPr>
    </w:p>
    <w:p>
      <w:pPr>
        <w:ind w:left="1720" w:right="107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administers short-term and long-term incentive plans and all equity-based compensation plans</w:t>
      </w:r>
    </w:p>
    <w:p>
      <w:pPr>
        <w:spacing w:after="0" w:line="65" w:lineRule="exact"/>
        <w:rPr>
          <w:rFonts w:ascii="MS PGothic" w:cs="MS PGothic" w:eastAsia="MS PGothic" w:hAnsi="MS PGothic"/>
          <w:sz w:val="18"/>
          <w:szCs w:val="18"/>
          <w:color w:val="53C072"/>
        </w:rPr>
      </w:pPr>
    </w:p>
    <w:p>
      <w:pPr>
        <w:ind w:left="1720" w:right="35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oversees performance evaluations and reviews and approves compensation for all executive officers except the CEO</w:t>
      </w:r>
    </w:p>
    <w:p>
      <w:pPr>
        <w:spacing w:after="0" w:line="52" w:lineRule="exact"/>
        <w:rPr>
          <w:rFonts w:ascii="MS PGothic" w:cs="MS PGothic" w:eastAsia="MS PGothic" w:hAnsi="MS PGothic"/>
          <w:sz w:val="18"/>
          <w:szCs w:val="18"/>
          <w:color w:val="53C072"/>
        </w:rPr>
      </w:pPr>
    </w:p>
    <w:p>
      <w:pPr>
        <w:ind w:left="1720" w:right="31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reviews and evaluates the CEO’s performance and makes recommendations to the Independent Directors regarding the CEO compensation</w:t>
      </w:r>
    </w:p>
    <w:p>
      <w:pPr>
        <w:spacing w:after="0" w:line="65" w:lineRule="exact"/>
        <w:rPr>
          <w:rFonts w:ascii="MS PGothic" w:cs="MS PGothic" w:eastAsia="MS PGothic" w:hAnsi="MS PGothic"/>
          <w:sz w:val="18"/>
          <w:szCs w:val="18"/>
          <w:color w:val="53C072"/>
        </w:rPr>
      </w:pPr>
    </w:p>
    <w:p>
      <w:pPr>
        <w:ind w:left="1720" w:right="101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recommends the CEO’s target opportunity and actual compensation to the Independent Directors of the Board for their consideration and approval</w:t>
      </w:r>
    </w:p>
    <w:p>
      <w:pPr>
        <w:spacing w:after="0" w:line="65" w:lineRule="exact"/>
        <w:rPr>
          <w:rFonts w:ascii="MS PGothic" w:cs="MS PGothic" w:eastAsia="MS PGothic" w:hAnsi="MS PGothic"/>
          <w:sz w:val="18"/>
          <w:szCs w:val="18"/>
          <w:color w:val="53C072"/>
        </w:rPr>
      </w:pPr>
    </w:p>
    <w:p>
      <w:pPr>
        <w:ind w:left="1720" w:right="199" w:hanging="370"/>
        <w:spacing w:after="0" w:line="275" w:lineRule="auto"/>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Committee reviews the compensation arrangements for executive officers to ensure that they do not encourage excessive risk-taking</w:t>
      </w:r>
    </w:p>
    <w:p>
      <w:pPr>
        <w:spacing w:after="0" w:line="52"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7"/>
        </w:numPr>
        <w:rPr>
          <w:rFonts w:ascii="MS PGothic" w:cs="MS PGothic" w:eastAsia="MS PGothic" w:hAnsi="MS PGothic"/>
          <w:sz w:val="18"/>
          <w:szCs w:val="18"/>
          <w:color w:val="53C072"/>
        </w:rPr>
      </w:pPr>
      <w:r>
        <w:rPr>
          <w:rFonts w:ascii="Arial" w:cs="Arial" w:eastAsia="Arial" w:hAnsi="Arial"/>
          <w:sz w:val="18"/>
          <w:szCs w:val="18"/>
          <w:color w:val="auto"/>
        </w:rPr>
        <w:t>The Independent Directors of the Board approve the compensation of the CEO</w:t>
      </w:r>
    </w:p>
    <w:p>
      <w:pPr>
        <w:spacing w:after="0" w:line="117" w:lineRule="exact"/>
        <w:rPr>
          <w:sz w:val="20"/>
          <w:szCs w:val="20"/>
          <w:color w:val="auto"/>
        </w:rPr>
      </w:pPr>
    </w:p>
    <w:p>
      <w:pPr>
        <w:ind w:left="1000" w:right="239"/>
        <w:spacing w:after="0" w:line="246" w:lineRule="auto"/>
        <w:rPr>
          <w:sz w:val="20"/>
          <w:szCs w:val="20"/>
          <w:color w:val="auto"/>
        </w:rPr>
      </w:pPr>
      <w:r>
        <w:rPr>
          <w:rFonts w:ascii="Arial" w:cs="Arial" w:eastAsia="Arial" w:hAnsi="Arial"/>
          <w:sz w:val="18"/>
          <w:szCs w:val="18"/>
          <w:color w:val="auto"/>
        </w:rPr>
        <w:t>The Board utilizes a decision-making framework regarding CEO compensation.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high service and new market segments, and creating a high-performance culture with a focus on people, talent, and diversity and inclusion.</w:t>
      </w:r>
    </w:p>
    <w:p>
      <w:pPr>
        <w:spacing w:after="0" w:line="77"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 which is further described below. For executive officers other than the CEO, the Committee also considers the CEO’s recommendations on compensation for the other executive officers.</w:t>
      </w:r>
    </w:p>
    <w:p>
      <w:pPr>
        <w:spacing w:after="0" w:line="78" w:lineRule="exact"/>
        <w:rPr>
          <w:sz w:val="20"/>
          <w:szCs w:val="20"/>
          <w:color w:val="auto"/>
        </w:rPr>
      </w:pPr>
    </w:p>
    <w:p>
      <w:pPr>
        <w:ind w:left="1000" w:right="299"/>
        <w:spacing w:after="0" w:line="260" w:lineRule="auto"/>
        <w:rPr>
          <w:sz w:val="20"/>
          <w:szCs w:val="20"/>
          <w:color w:val="auto"/>
        </w:rPr>
      </w:pPr>
      <w:r>
        <w:rPr>
          <w:rFonts w:ascii="Arial" w:cs="Arial" w:eastAsia="Arial" w:hAnsi="Arial"/>
          <w:sz w:val="18"/>
          <w:szCs w:val="18"/>
          <w:color w:val="auto"/>
        </w:rPr>
        <w:t>After the end of the fiscal year, the Committee reviews the prior year’s performance by each executive officer and either approves or recommends, as applicable, incentive plan payouts for all executive officers.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Management</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aid in determining the compensation for the Company’s executive officers other than the CEO:</w:t>
      </w:r>
    </w:p>
    <w:p>
      <w:pPr>
        <w:spacing w:after="0" w:line="158" w:lineRule="exact"/>
        <w:rPr>
          <w:sz w:val="20"/>
          <w:szCs w:val="20"/>
          <w:color w:val="auto"/>
        </w:rPr>
      </w:pPr>
    </w:p>
    <w:p>
      <w:pPr>
        <w:ind w:left="1720" w:hanging="370"/>
        <w:spacing w:after="0"/>
        <w:tabs>
          <w:tab w:leader="none" w:pos="1720" w:val="left"/>
        </w:tabs>
        <w:numPr>
          <w:ilvl w:val="0"/>
          <w:numId w:val="48"/>
        </w:numPr>
        <w:rPr>
          <w:rFonts w:ascii="MS PGothic" w:cs="MS PGothic" w:eastAsia="MS PGothic" w:hAnsi="MS PGothic"/>
          <w:sz w:val="18"/>
          <w:szCs w:val="18"/>
          <w:color w:val="53C072"/>
        </w:rPr>
      </w:pPr>
      <w:r>
        <w:rPr>
          <w:rFonts w:ascii="Arial" w:cs="Arial" w:eastAsia="Arial" w:hAnsi="Arial"/>
          <w:sz w:val="18"/>
          <w:szCs w:val="18"/>
          <w:color w:val="auto"/>
        </w:rPr>
        <w:t>The CEO discusses the performance of each executive officer with the Committee</w:t>
      </w:r>
    </w:p>
    <w:p>
      <w:pPr>
        <w:spacing w:after="0" w:line="144" w:lineRule="exact"/>
        <w:rPr>
          <w:rFonts w:ascii="MS PGothic" w:cs="MS PGothic" w:eastAsia="MS PGothic" w:hAnsi="MS PGothic"/>
          <w:sz w:val="18"/>
          <w:szCs w:val="18"/>
          <w:color w:val="53C072"/>
        </w:rPr>
      </w:pPr>
    </w:p>
    <w:p>
      <w:pPr>
        <w:ind w:left="1720" w:right="339" w:hanging="370"/>
        <w:spacing w:after="0" w:line="275" w:lineRule="auto"/>
        <w:tabs>
          <w:tab w:leader="none" w:pos="1720" w:val="left"/>
        </w:tabs>
        <w:numPr>
          <w:ilvl w:val="0"/>
          <w:numId w:val="48"/>
        </w:numPr>
        <w:rPr>
          <w:rFonts w:ascii="MS PGothic" w:cs="MS PGothic" w:eastAsia="MS PGothic" w:hAnsi="MS PGothic"/>
          <w:sz w:val="18"/>
          <w:szCs w:val="18"/>
          <w:color w:val="53C072"/>
        </w:rPr>
      </w:pPr>
      <w:r>
        <w:rPr>
          <w:rFonts w:ascii="Arial" w:cs="Arial" w:eastAsia="Arial" w:hAnsi="Arial"/>
          <w:sz w:val="18"/>
          <w:szCs w:val="18"/>
          <w:color w:val="auto"/>
        </w:rPr>
        <w:t>The CEO provides recommendations on the compensation levels for each executive officer (except the CEO) to the Committee</w:t>
      </w:r>
    </w:p>
    <w:p>
      <w:pPr>
        <w:spacing w:after="0" w:line="92"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8"/>
        </w:numPr>
        <w:rPr>
          <w:rFonts w:ascii="MS PGothic" w:cs="MS PGothic" w:eastAsia="MS PGothic" w:hAnsi="MS PGothic"/>
          <w:sz w:val="18"/>
          <w:szCs w:val="18"/>
          <w:color w:val="53C072"/>
        </w:rPr>
      </w:pPr>
      <w:r>
        <w:rPr>
          <w:rFonts w:ascii="Arial" w:cs="Arial" w:eastAsia="Arial" w:hAnsi="Arial"/>
          <w:sz w:val="18"/>
          <w:szCs w:val="18"/>
          <w:color w:val="auto"/>
        </w:rPr>
        <w:t>When making compensation recommendations, the CEO considers various items including:</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8"/>
        </w:numPr>
        <w:rPr>
          <w:rFonts w:ascii="MS PGothic" w:cs="MS PGothic" w:eastAsia="MS PGothic" w:hAnsi="MS PGothic"/>
          <w:sz w:val="18"/>
          <w:szCs w:val="18"/>
          <w:color w:val="53C072"/>
        </w:rPr>
      </w:pPr>
      <w:r>
        <w:rPr>
          <w:rFonts w:ascii="Arial" w:cs="Arial" w:eastAsia="Arial" w:hAnsi="Arial"/>
          <w:sz w:val="18"/>
          <w:szCs w:val="18"/>
          <w:color w:val="auto"/>
        </w:rPr>
        <w:t>value of the job in the market and within the Company</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8"/>
        </w:numPr>
        <w:rPr>
          <w:rFonts w:ascii="MS PGothic" w:cs="MS PGothic" w:eastAsia="MS PGothic" w:hAnsi="MS PGothic"/>
          <w:sz w:val="18"/>
          <w:szCs w:val="18"/>
          <w:color w:val="53C072"/>
        </w:rPr>
      </w:pPr>
      <w:r>
        <w:rPr>
          <w:rFonts w:ascii="Arial" w:cs="Arial" w:eastAsia="Arial" w:hAnsi="Arial"/>
          <w:sz w:val="18"/>
          <w:szCs w:val="18"/>
          <w:color w:val="auto"/>
        </w:rPr>
        <w:t>the executive officer’s performance</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8"/>
        </w:numPr>
        <w:rPr>
          <w:rFonts w:ascii="MS PGothic" w:cs="MS PGothic" w:eastAsia="MS PGothic" w:hAnsi="MS PGothic"/>
          <w:sz w:val="18"/>
          <w:szCs w:val="18"/>
          <w:color w:val="53C072"/>
        </w:rPr>
      </w:pPr>
      <w:r>
        <w:rPr>
          <w:rFonts w:ascii="Arial" w:cs="Arial" w:eastAsia="Arial" w:hAnsi="Arial"/>
          <w:sz w:val="18"/>
          <w:szCs w:val="18"/>
          <w:color w:val="auto"/>
        </w:rPr>
        <w:t>overall experience and time in the position</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8"/>
        </w:numPr>
        <w:rPr>
          <w:rFonts w:ascii="MS PGothic" w:cs="MS PGothic" w:eastAsia="MS PGothic" w:hAnsi="MS PGothic"/>
          <w:sz w:val="18"/>
          <w:szCs w:val="18"/>
          <w:color w:val="53C072"/>
        </w:rPr>
      </w:pPr>
      <w:r>
        <w:rPr>
          <w:rFonts w:ascii="Arial" w:cs="Arial" w:eastAsia="Arial" w:hAnsi="Arial"/>
          <w:sz w:val="18"/>
          <w:szCs w:val="18"/>
          <w:color w:val="auto"/>
        </w:rPr>
        <w:t>expected future contributions</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1242695"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63" w:lineRule="exact"/>
        <w:rPr>
          <w:sz w:val="20"/>
          <w:szCs w:val="20"/>
          <w:color w:val="auto"/>
        </w:rPr>
      </w:pPr>
    </w:p>
    <w:p>
      <w:pPr>
        <w:ind w:left="1720" w:right="719" w:hanging="370"/>
        <w:spacing w:after="0" w:line="275" w:lineRule="auto"/>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Provides independent and objective advice to the Committee on the Company’s executive pay programs</w:t>
      </w:r>
    </w:p>
    <w:p>
      <w:pPr>
        <w:spacing w:after="0" w:line="92"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Apprises the Committee of compensation-related trends in the marketplace</w:t>
      </w:r>
    </w:p>
    <w:p>
      <w:pPr>
        <w:spacing w:after="0" w:line="144"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Informs the Committee on compensation-related regulatory developments</w:t>
      </w:r>
    </w:p>
    <w:p>
      <w:pPr>
        <w:spacing w:after="0" w:line="130" w:lineRule="exact"/>
        <w:rPr>
          <w:rFonts w:ascii="MS PGothic" w:cs="MS PGothic" w:eastAsia="MS PGothic" w:hAnsi="MS PGothic"/>
          <w:sz w:val="18"/>
          <w:szCs w:val="18"/>
          <w:color w:val="53C072"/>
        </w:rPr>
      </w:pPr>
    </w:p>
    <w:p>
      <w:pPr>
        <w:ind w:left="1720" w:right="639" w:hanging="370"/>
        <w:spacing w:after="0" w:line="275" w:lineRule="auto"/>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Assists with benchmarking peer group development and related market data for the Company’s officers</w:t>
      </w:r>
    </w:p>
    <w:p>
      <w:pPr>
        <w:spacing w:after="0" w:line="92"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Advises on the design of the Company’s incentive compensation programs</w:t>
      </w:r>
    </w:p>
    <w:p>
      <w:pPr>
        <w:spacing w:after="0" w:line="130"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9"/>
        </w:numPr>
        <w:rPr>
          <w:rFonts w:ascii="MS PGothic" w:cs="MS PGothic" w:eastAsia="MS PGothic" w:hAnsi="MS PGothic"/>
          <w:sz w:val="18"/>
          <w:szCs w:val="18"/>
          <w:color w:val="53C072"/>
        </w:rPr>
      </w:pPr>
      <w:r>
        <w:rPr>
          <w:rFonts w:ascii="Arial" w:cs="Arial" w:eastAsia="Arial" w:hAnsi="Arial"/>
          <w:sz w:val="18"/>
          <w:szCs w:val="18"/>
          <w:color w:val="auto"/>
        </w:rPr>
        <w:t>Provides such additional reports and analyses as requested by the Committee from time-to-time</w:t>
      </w:r>
    </w:p>
    <w:p>
      <w:pPr>
        <w:spacing w:after="0" w:line="158"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p>
    <w:p>
      <w:pPr>
        <w:spacing w:after="0" w:line="116"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Meridian did not provide any separate services to the Company during fiscal 2023 other than its services to the Committee. The Committee conducted its annual assessment of Meridian’s independence pursuant to applicable SEC and Nasdaq rules and concluded that Meridian’s work for the Committee during fiscal 2023 did not raise any conflicts of interest.</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Benchmarking</w:t>
      </w:r>
    </w:p>
    <w:p>
      <w:pPr>
        <w:spacing w:after="0" w:line="163" w:lineRule="exact"/>
        <w:rPr>
          <w:sz w:val="20"/>
          <w:szCs w:val="20"/>
          <w:color w:val="auto"/>
        </w:rPr>
      </w:pPr>
    </w:p>
    <w:p>
      <w:pPr>
        <w:ind w:left="1000" w:right="739"/>
        <w:spacing w:after="0" w:line="247" w:lineRule="auto"/>
        <w:rPr>
          <w:sz w:val="20"/>
          <w:szCs w:val="20"/>
          <w:color w:val="auto"/>
        </w:rPr>
      </w:pPr>
      <w:r>
        <w:rPr>
          <w:rFonts w:ascii="Arial" w:cs="Arial" w:eastAsia="Arial" w:hAnsi="Arial"/>
          <w:sz w:val="18"/>
          <w:szCs w:val="18"/>
          <w:color w:val="auto"/>
        </w:rPr>
        <w:t>To ensure the Committee has the information necessary to set appropriate compensation levels, the Committee approves the overall approach for executive officer benchmarking, including selection of the benchmarking peer group.</w:t>
      </w:r>
    </w:p>
    <w:p>
      <w:pPr>
        <w:sectPr>
          <w:pgSz w:w="11900" w:h="16838" w:orient="portrait"/>
          <w:cols w:equalWidth="0" w:num="1">
            <w:col w:w="9879"/>
          </w:cols>
          <w:pgMar w:left="580" w:top="90" w:right="1440" w:bottom="1440" w:gutter="0" w:footer="0" w:header="0"/>
        </w:sectPr>
      </w:pPr>
    </w:p>
    <w:p>
      <w:pPr>
        <w:spacing w:after="0" w:line="118" w:lineRule="exact"/>
        <w:rPr>
          <w:sz w:val="20"/>
          <w:szCs w:val="20"/>
          <w:color w:val="auto"/>
        </w:rPr>
      </w:pPr>
    </w:p>
    <w:p>
      <w:pPr>
        <w:ind w:left="1140" w:hanging="128"/>
        <w:spacing w:after="0"/>
        <w:tabs>
          <w:tab w:leader="none" w:pos="1140" w:val="left"/>
        </w:tabs>
        <w:numPr>
          <w:ilvl w:val="0"/>
          <w:numId w:val="50"/>
        </w:numPr>
        <w:rPr>
          <w:rFonts w:ascii="Arial" w:cs="Arial" w:eastAsia="Arial" w:hAnsi="Arial"/>
          <w:sz w:val="29"/>
          <w:szCs w:val="29"/>
          <w:b w:val="1"/>
          <w:bCs w:val="1"/>
          <w:color w:val="FEFEFE"/>
          <w:vertAlign w:val="subscript"/>
        </w:rPr>
      </w:pPr>
      <w:r>
        <w:rPr>
          <w:rFonts w:ascii="Arial" w:cs="Arial" w:eastAsia="Arial" w:hAnsi="Arial"/>
          <w:sz w:val="14"/>
          <w:szCs w:val="14"/>
          <w:b w:val="1"/>
          <w:bCs w:val="1"/>
          <w:color w:val="FEFEFE"/>
        </w:rPr>
        <w:t>FY23 Considerations for Benchmarking Peer Group Development:</w:t>
      </w:r>
    </w:p>
    <w:p>
      <w:pPr>
        <w:spacing w:after="0" w:line="67" w:lineRule="exact"/>
        <w:rPr>
          <w:rFonts w:ascii="Arial" w:cs="Arial" w:eastAsia="Arial" w:hAnsi="Arial"/>
          <w:sz w:val="29"/>
          <w:szCs w:val="29"/>
          <w:b w:val="1"/>
          <w:bCs w:val="1"/>
          <w:color w:val="FEFEFE"/>
          <w:vertAlign w:val="subscript"/>
        </w:rPr>
      </w:pPr>
    </w:p>
    <w:p>
      <w:pPr>
        <w:ind w:left="1140" w:hanging="128"/>
        <w:spacing w:after="0" w:line="259" w:lineRule="exact"/>
        <w:tabs>
          <w:tab w:leader="none" w:pos="1140" w:val="left"/>
        </w:tabs>
        <w:numPr>
          <w:ilvl w:val="0"/>
          <w:numId w:val="50"/>
        </w:numPr>
        <w:rPr>
          <w:rFonts w:ascii="Arial" w:cs="Arial" w:eastAsia="Arial" w:hAnsi="Arial"/>
          <w:sz w:val="30"/>
          <w:szCs w:val="30"/>
          <w:color w:val="auto"/>
          <w:vertAlign w:val="superscript"/>
        </w:rPr>
      </w:pPr>
      <w:r>
        <w:rPr>
          <w:rFonts w:ascii="MS PGothic" w:cs="MS PGothic" w:eastAsia="MS PGothic" w:hAnsi="MS PGothic"/>
          <w:sz w:val="16"/>
          <w:szCs w:val="16"/>
          <w:color w:val="53C072"/>
        </w:rPr>
        <w:t>✓</w:t>
      </w:r>
      <w:r>
        <w:rPr>
          <w:rFonts w:ascii="Arial" w:cs="Arial" w:eastAsia="Arial" w:hAnsi="Arial"/>
          <w:sz w:val="16"/>
          <w:szCs w:val="16"/>
          <w:color w:val="auto"/>
        </w:rPr>
        <w:t xml:space="preserve">  A distribution, product, or related service company</w:t>
      </w:r>
    </w:p>
    <w:p>
      <w:pPr>
        <w:spacing w:after="0" w:line="133" w:lineRule="exact"/>
        <w:rPr>
          <w:rFonts w:ascii="Arial" w:cs="Arial" w:eastAsia="Arial" w:hAnsi="Arial"/>
          <w:sz w:val="30"/>
          <w:szCs w:val="30"/>
          <w:color w:val="auto"/>
          <w:vertAlign w:val="superscript"/>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Revenues within range of Company revenues</w:t>
      </w:r>
    </w:p>
    <w:p>
      <w:pPr>
        <w:spacing w:after="0" w:line="172" w:lineRule="exact"/>
        <w:rPr>
          <w:rFonts w:ascii="MS PGothic" w:cs="MS PGothic" w:eastAsia="MS PGothic" w:hAnsi="MS PGothic"/>
          <w:sz w:val="18"/>
          <w:szCs w:val="18"/>
          <w:color w:val="53C072"/>
        </w:rPr>
      </w:pPr>
    </w:p>
    <w:p>
      <w:pPr>
        <w:ind w:left="1500" w:hanging="366"/>
        <w:spacing w:after="0" w:line="275" w:lineRule="auto"/>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Market capitalization within range of Company market capitalization</w:t>
      </w:r>
    </w:p>
    <w:p>
      <w:pPr>
        <w:spacing w:after="0" w:line="146"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Global footprint</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Historical Company peer group</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Disclosed peer of a peer company</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Disclosed Company as a benchmarking peer</w:t>
      </w:r>
    </w:p>
    <w:p>
      <w:pPr>
        <w:spacing w:after="0" w:line="157"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50"/>
        </w:numPr>
        <w:rPr>
          <w:rFonts w:ascii="MS PGothic" w:cs="MS PGothic" w:eastAsia="MS PGothic" w:hAnsi="MS PGothic"/>
          <w:sz w:val="18"/>
          <w:szCs w:val="18"/>
          <w:color w:val="53C072"/>
        </w:rPr>
      </w:pPr>
      <w:r>
        <w:rPr>
          <w:rFonts w:ascii="Arial" w:cs="Arial" w:eastAsia="Arial" w:hAnsi="Arial"/>
          <w:sz w:val="18"/>
          <w:szCs w:val="18"/>
          <w:color w:val="auto"/>
        </w:rPr>
        <w:t>In proxy advisors’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-2188845</wp:posOffset>
            </wp:positionV>
            <wp:extent cx="5537835" cy="3488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37835" cy="348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05" w:hanging="105"/>
        <w:spacing w:after="0"/>
        <w:tabs>
          <w:tab w:leader="none" w:pos="105" w:val="left"/>
        </w:tabs>
        <w:numPr>
          <w:ilvl w:val="0"/>
          <w:numId w:val="51"/>
        </w:numPr>
        <w:rPr>
          <w:rFonts w:ascii="Arial" w:cs="Arial" w:eastAsia="Arial" w:hAnsi="Arial"/>
          <w:sz w:val="29"/>
          <w:szCs w:val="29"/>
          <w:b w:val="1"/>
          <w:bCs w:val="1"/>
          <w:color w:val="FEFEFE"/>
          <w:vertAlign w:val="subscript"/>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FY23 Benchmarking Peer Group:</w:t>
      </w:r>
    </w:p>
    <w:p>
      <w:pPr>
        <w:spacing w:after="0" w:line="49" w:lineRule="exact"/>
        <w:rPr>
          <w:rFonts w:ascii="Arial" w:cs="Arial" w:eastAsia="Arial" w:hAnsi="Arial"/>
          <w:sz w:val="29"/>
          <w:szCs w:val="29"/>
          <w:b w:val="1"/>
          <w:bCs w:val="1"/>
          <w:color w:val="FEFEFE"/>
          <w:vertAlign w:val="subscript"/>
        </w:rPr>
      </w:pPr>
    </w:p>
    <w:p>
      <w:pPr>
        <w:ind w:left="105" w:hanging="105"/>
        <w:spacing w:after="0"/>
        <w:tabs>
          <w:tab w:leader="none" w:pos="1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Arrow Electronics, Inc.</w:t>
      </w:r>
    </w:p>
    <w:p>
      <w:pPr>
        <w:spacing w:after="0" w:line="159" w:lineRule="exact"/>
        <w:rPr>
          <w:sz w:val="20"/>
          <w:szCs w:val="20"/>
          <w:color w:val="auto"/>
        </w:rPr>
      </w:pPr>
    </w:p>
    <w:p>
      <w:pPr>
        <w:ind w:left="205"/>
        <w:spacing w:after="0"/>
        <w:rPr>
          <w:sz w:val="20"/>
          <w:szCs w:val="20"/>
          <w:color w:val="auto"/>
        </w:rPr>
      </w:pPr>
      <w:r>
        <w:rPr>
          <w:rFonts w:ascii="Arial" w:cs="Arial" w:eastAsia="Arial" w:hAnsi="Arial"/>
          <w:sz w:val="18"/>
          <w:szCs w:val="18"/>
          <w:color w:val="auto"/>
        </w:rPr>
        <w:t>Celestica Inc.</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CDW Corporation</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Flex Ltd.</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Genuine Parts Company</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Insight Enterprises, Inc.</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Jabil, Inc.</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Sanmina Corporation</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7"/>
          <w:szCs w:val="17"/>
          <w:color w:val="auto"/>
        </w:rPr>
        <w:t>Seagate Technology Holdings plc</w:t>
      </w:r>
    </w:p>
    <w:p>
      <w:pPr>
        <w:spacing w:after="0" w:line="183" w:lineRule="exact"/>
        <w:rPr>
          <w:sz w:val="20"/>
          <w:szCs w:val="20"/>
          <w:color w:val="auto"/>
        </w:rPr>
      </w:pPr>
    </w:p>
    <w:p>
      <w:pPr>
        <w:ind w:left="205"/>
        <w:spacing w:after="0"/>
        <w:rPr>
          <w:sz w:val="20"/>
          <w:szCs w:val="20"/>
          <w:color w:val="auto"/>
        </w:rPr>
      </w:pPr>
      <w:r>
        <w:rPr>
          <w:rFonts w:ascii="Arial" w:cs="Arial" w:eastAsia="Arial" w:hAnsi="Arial"/>
          <w:sz w:val="18"/>
          <w:szCs w:val="18"/>
          <w:color w:val="auto"/>
        </w:rPr>
        <w:t>TD SYNNEX Corporation</w:t>
      </w:r>
    </w:p>
    <w:p>
      <w:pPr>
        <w:spacing w:after="0" w:line="171" w:lineRule="exact"/>
        <w:rPr>
          <w:sz w:val="20"/>
          <w:szCs w:val="20"/>
          <w:color w:val="auto"/>
        </w:rPr>
      </w:pPr>
    </w:p>
    <w:p>
      <w:pPr>
        <w:ind w:left="205"/>
        <w:spacing w:after="0"/>
        <w:rPr>
          <w:sz w:val="20"/>
          <w:szCs w:val="20"/>
          <w:color w:val="auto"/>
        </w:rPr>
      </w:pPr>
      <w:r>
        <w:rPr>
          <w:rFonts w:ascii="Arial" w:cs="Arial" w:eastAsia="Arial" w:hAnsi="Arial"/>
          <w:sz w:val="18"/>
          <w:szCs w:val="18"/>
          <w:color w:val="auto"/>
        </w:rPr>
        <w:t>TE Connectivity Ltd.</w:t>
      </w:r>
    </w:p>
    <w:p>
      <w:pPr>
        <w:spacing w:after="0" w:line="171" w:lineRule="exact"/>
        <w:rPr>
          <w:sz w:val="20"/>
          <w:szCs w:val="20"/>
          <w:color w:val="auto"/>
        </w:rPr>
      </w:pPr>
    </w:p>
    <w:p>
      <w:pPr>
        <w:ind w:left="205" w:right="440" w:hanging="2"/>
        <w:spacing w:after="0" w:line="484" w:lineRule="auto"/>
        <w:tabs>
          <w:tab w:leader="none" w:pos="6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Grainger, Inc. WESCO International, Inc. Western Digital Corporation</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63" w:lineRule="exact"/>
        <w:rPr>
          <w:sz w:val="20"/>
          <w:szCs w:val="20"/>
          <w:color w:val="auto"/>
        </w:rPr>
      </w:pPr>
    </w:p>
    <w:p>
      <w:pPr>
        <w:sectPr>
          <w:pgSz w:w="11900" w:h="16838" w:orient="portrait"/>
          <w:cols w:equalWidth="0" w:num="3">
            <w:col w:w="5760" w:space="355"/>
            <w:col w:w="2845" w:space="620"/>
            <w:col w:w="299"/>
          </w:cols>
          <w:pgMar w:left="580" w:top="90" w:right="1440" w:bottom="1440" w:gutter="0" w:footer="0" w:header="0"/>
          <w:type w:val="continuous"/>
        </w:sectPr>
      </w:pPr>
    </w:p>
    <w:p>
      <w:pPr>
        <w:ind w:left="7540"/>
        <w:spacing w:after="0"/>
        <w:rPr>
          <w:sz w:val="20"/>
          <w:szCs w:val="20"/>
          <w:color w:val="auto"/>
        </w:rPr>
      </w:pPr>
      <w:r>
        <w:rPr>
          <w:sz w:val="1"/>
          <w:szCs w:val="1"/>
          <w:color w:val="auto"/>
        </w:rPr>
        <w:drawing>
          <wp:inline distT="0" distB="0" distL="0" distR="0">
            <wp:extent cx="124333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239"/>
        <w:spacing w:after="0" w:line="275" w:lineRule="auto"/>
        <w:rPr>
          <w:sz w:val="20"/>
          <w:szCs w:val="20"/>
          <w:color w:val="auto"/>
        </w:rPr>
      </w:pPr>
      <w:r>
        <w:rPr>
          <w:rFonts w:ascii="Arial" w:cs="Arial" w:eastAsia="Arial" w:hAnsi="Arial"/>
          <w:sz w:val="18"/>
          <w:szCs w:val="18"/>
          <w:color w:val="auto"/>
        </w:rPr>
        <w:t>The revenue and market capitalization for the benchmarking peer group median and the Company are shown in the table below.</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6260" w:type="dxa"/>
            <w:vAlign w:val="bottom"/>
            <w:tcBorders>
              <w:bottom w:val="single" w:sz="8" w:color="53C072"/>
            </w:tcBorders>
            <w:shd w:val="clear" w:color="auto" w:fill="53C072"/>
          </w:tcPr>
          <w:p>
            <w:pPr>
              <w:spacing w:after="0"/>
              <w:rPr>
                <w:sz w:val="20"/>
                <w:szCs w:val="20"/>
                <w:color w:val="auto"/>
              </w:rPr>
            </w:pPr>
          </w:p>
        </w:tc>
        <w:tc>
          <w:tcPr>
            <w:tcW w:w="2380" w:type="dxa"/>
            <w:vAlign w:val="bottom"/>
            <w:tcBorders>
              <w:bottom w:val="single" w:sz="8" w:color="auto"/>
            </w:tcBorders>
            <w:gridSpan w:val="4"/>
            <w:shd w:val="clear" w:color="auto" w:fill="53C072"/>
          </w:tcPr>
          <w:p>
            <w:pPr>
              <w:ind w:left="360"/>
              <w:spacing w:after="0"/>
              <w:rPr>
                <w:sz w:val="20"/>
                <w:szCs w:val="20"/>
                <w:color w:val="auto"/>
              </w:rPr>
            </w:pPr>
            <w:r>
              <w:rPr>
                <w:rFonts w:ascii="Arial" w:cs="Arial" w:eastAsia="Arial" w:hAnsi="Arial"/>
                <w:sz w:val="14"/>
                <w:szCs w:val="14"/>
                <w:b w:val="1"/>
                <w:bCs w:val="1"/>
                <w:color w:val="FEFEFE"/>
              </w:rPr>
              <w:t>Fiscal 2022 ($ in billions)</w:t>
            </w:r>
          </w:p>
        </w:tc>
        <w:tc>
          <w:tcPr>
            <w:tcW w:w="120" w:type="dxa"/>
            <w:vAlign w:val="bottom"/>
            <w:tcBorders>
              <w:bottom w:val="single" w:sz="8" w:color="53C072"/>
            </w:tcBorders>
            <w:shd w:val="clear" w:color="auto" w:fill="53C072"/>
          </w:tcPr>
          <w:p>
            <w:pPr>
              <w:spacing w:after="0"/>
              <w:rPr>
                <w:sz w:val="20"/>
                <w:szCs w:val="20"/>
                <w:color w:val="auto"/>
              </w:rPr>
            </w:pPr>
          </w:p>
        </w:tc>
      </w:tr>
      <w:tr>
        <w:trPr>
          <w:trHeight w:val="230"/>
        </w:trPr>
        <w:tc>
          <w:tcPr>
            <w:tcW w:w="6260" w:type="dxa"/>
            <w:vAlign w:val="bottom"/>
            <w:shd w:val="clear" w:color="auto" w:fill="53C072"/>
          </w:tcPr>
          <w:p>
            <w:pPr>
              <w:spacing w:after="0"/>
              <w:rPr>
                <w:sz w:val="19"/>
                <w:szCs w:val="19"/>
                <w:color w:val="auto"/>
              </w:rPr>
            </w:pPr>
          </w:p>
        </w:tc>
        <w:tc>
          <w:tcPr>
            <w:tcW w:w="66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w w:val="99"/>
              </w:rPr>
              <w:t>Revenue</w:t>
            </w:r>
          </w:p>
        </w:tc>
        <w:tc>
          <w:tcPr>
            <w:tcW w:w="120" w:type="dxa"/>
            <w:vAlign w:val="bottom"/>
            <w:tcBorders>
              <w:right w:val="single" w:sz="8" w:color="FEFEFE"/>
            </w:tcBorders>
            <w:shd w:val="clear" w:color="auto" w:fill="53C072"/>
          </w:tcPr>
          <w:p>
            <w:pPr>
              <w:spacing w:after="0"/>
              <w:rPr>
                <w:sz w:val="19"/>
                <w:szCs w:val="19"/>
                <w:color w:val="auto"/>
              </w:rPr>
            </w:pPr>
          </w:p>
        </w:tc>
        <w:tc>
          <w:tcPr>
            <w:tcW w:w="120" w:type="dxa"/>
            <w:vAlign w:val="bottom"/>
            <w:shd w:val="clear" w:color="auto" w:fill="53C072"/>
          </w:tcPr>
          <w:p>
            <w:pPr>
              <w:spacing w:after="0"/>
              <w:rPr>
                <w:sz w:val="19"/>
                <w:szCs w:val="19"/>
                <w:color w:val="auto"/>
              </w:rPr>
            </w:pPr>
          </w:p>
        </w:tc>
        <w:tc>
          <w:tcPr>
            <w:tcW w:w="148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Market Capitalization</w:t>
            </w:r>
          </w:p>
        </w:tc>
        <w:tc>
          <w:tcPr>
            <w:tcW w:w="120" w:type="dxa"/>
            <w:vAlign w:val="bottom"/>
            <w:shd w:val="clear" w:color="auto" w:fill="53C072"/>
          </w:tcPr>
          <w:p>
            <w:pPr>
              <w:spacing w:after="0"/>
              <w:rPr>
                <w:sz w:val="19"/>
                <w:szCs w:val="19"/>
                <w:color w:val="auto"/>
              </w:rPr>
            </w:pPr>
          </w:p>
        </w:tc>
      </w:tr>
      <w:tr>
        <w:trPr>
          <w:trHeight w:val="256"/>
        </w:trPr>
        <w:tc>
          <w:tcPr>
            <w:tcW w:w="6260" w:type="dxa"/>
            <w:vAlign w:val="bottom"/>
          </w:tcPr>
          <w:p>
            <w:pPr>
              <w:ind w:left="60"/>
              <w:spacing w:after="0"/>
              <w:rPr>
                <w:sz w:val="20"/>
                <w:szCs w:val="20"/>
                <w:color w:val="auto"/>
              </w:rPr>
            </w:pPr>
            <w:r>
              <w:rPr>
                <w:rFonts w:ascii="Arial" w:cs="Arial" w:eastAsia="Arial" w:hAnsi="Arial"/>
                <w:sz w:val="18"/>
                <w:szCs w:val="18"/>
                <w:color w:val="auto"/>
              </w:rPr>
              <w:t>​Peer Group Median</w:t>
            </w:r>
          </w:p>
        </w:tc>
        <w:tc>
          <w:tcPr>
            <w:tcW w:w="660" w:type="dxa"/>
            <w:vAlign w:val="bottom"/>
          </w:tcPr>
          <w:p>
            <w:pPr>
              <w:ind w:left="80"/>
              <w:spacing w:after="0"/>
              <w:rPr>
                <w:sz w:val="20"/>
                <w:szCs w:val="20"/>
                <w:color w:val="auto"/>
              </w:rPr>
            </w:pPr>
            <w:r>
              <w:rPr>
                <w:rFonts w:ascii="Arial" w:cs="Arial" w:eastAsia="Arial" w:hAnsi="Arial"/>
                <w:sz w:val="18"/>
                <w:szCs w:val="18"/>
                <w:color w:val="auto"/>
              </w:rPr>
              <w:t>​$ 17.9</w:t>
            </w:r>
          </w:p>
        </w:tc>
        <w:tc>
          <w:tcPr>
            <w:tcW w:w="120" w:type="dxa"/>
            <w:vAlign w:val="bottom"/>
            <w:tcBorders>
              <w:right w:val="single" w:sz="8" w:color="FEFEFE"/>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ind w:left="520"/>
              <w:spacing w:after="0"/>
              <w:rPr>
                <w:sz w:val="20"/>
                <w:szCs w:val="20"/>
                <w:color w:val="auto"/>
              </w:rPr>
            </w:pPr>
            <w:r>
              <w:rPr>
                <w:rFonts w:ascii="Arial" w:cs="Arial" w:eastAsia="Arial" w:hAnsi="Arial"/>
                <w:sz w:val="18"/>
                <w:szCs w:val="18"/>
                <w:color w:val="auto"/>
              </w:rPr>
              <w:t>​$ 9.3</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91"/>
        </w:trPr>
        <w:tc>
          <w:tcPr>
            <w:tcW w:w="6260" w:type="dxa"/>
            <w:vAlign w:val="bottom"/>
            <w:tcBorders>
              <w:bottom w:val="single" w:sz="8" w:color="53C072"/>
            </w:tcBorders>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The Company</w:t>
            </w:r>
          </w:p>
        </w:tc>
        <w:tc>
          <w:tcPr>
            <w:tcW w:w="660" w:type="dxa"/>
            <w:vAlign w:val="bottom"/>
            <w:tcBorders>
              <w:bottom w:val="single" w:sz="8" w:color="53C072"/>
            </w:tcBorders>
            <w:shd w:val="clear" w:color="auto" w:fill="CBECD5"/>
          </w:tcPr>
          <w:p>
            <w:pPr>
              <w:ind w:left="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$ 24.3</w:t>
            </w:r>
          </w:p>
        </w:tc>
        <w:tc>
          <w:tcPr>
            <w:tcW w:w="120" w:type="dxa"/>
            <w:vAlign w:val="bottom"/>
            <w:tcBorders>
              <w:bottom w:val="single" w:sz="8" w:color="53C072"/>
              <w:right w:val="single" w:sz="8" w:color="FEFEFE"/>
            </w:tcBorders>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53C072"/>
            </w:tcBorders>
            <w:shd w:val="clear" w:color="auto" w:fill="CBECD5"/>
          </w:tcPr>
          <w:p>
            <w:pPr>
              <w:ind w:left="5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$ 3.9</w:t>
            </w:r>
          </w:p>
        </w:tc>
        <w:tc>
          <w:tcPr>
            <w:tcW w:w="12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w:t>
            </w:r>
          </w:p>
        </w:tc>
      </w:tr>
    </w:tbl>
    <w:p>
      <w:pPr>
        <w:spacing w:after="0" w:line="95" w:lineRule="exact"/>
        <w:rPr>
          <w:sz w:val="20"/>
          <w:szCs w:val="20"/>
          <w:color w:val="auto"/>
        </w:rPr>
      </w:pPr>
    </w:p>
    <w:p>
      <w:pPr>
        <w:ind w:left="1000" w:right="179"/>
        <w:spacing w:after="0" w:line="244" w:lineRule="auto"/>
        <w:rPr>
          <w:sz w:val="20"/>
          <w:szCs w:val="20"/>
          <w:color w:val="auto"/>
        </w:rPr>
      </w:pPr>
      <w:r>
        <w:rPr>
          <w:rFonts w:ascii="Arial" w:cs="Arial" w:eastAsia="Arial" w:hAnsi="Arial"/>
          <w:sz w:val="18"/>
          <w:szCs w:val="18"/>
          <w:color w:val="auto"/>
        </w:rPr>
        <w:t>For the CEO and CFO, the primary market data is sourced from the most recent proxy statements of the Company’s benchmarking peer group, as may be updated by additional SEC filings.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and market capitalization. For fiscal 2023, the survey data came from the Willis Towers Watson 2022 U.S. General Industry Executive Survey.</w:t>
      </w:r>
    </w:p>
    <w:p>
      <w:pPr>
        <w:spacing w:after="0" w:line="120" w:lineRule="exact"/>
        <w:rPr>
          <w:sz w:val="20"/>
          <w:szCs w:val="20"/>
          <w:color w:val="auto"/>
        </w:rPr>
      </w:pPr>
    </w:p>
    <w:p>
      <w:pPr>
        <w:ind w:left="1000" w:right="179"/>
        <w:spacing w:after="0" w:line="255"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110" w:lineRule="exact"/>
        <w:rPr>
          <w:sz w:val="20"/>
          <w:szCs w:val="20"/>
          <w:color w:val="auto"/>
        </w:rPr>
      </w:pPr>
    </w:p>
    <w:p>
      <w:pPr>
        <w:ind w:left="1000" w:right="159"/>
        <w:spacing w:after="0" w:line="246" w:lineRule="auto"/>
        <w:rPr>
          <w:sz w:val="20"/>
          <w:szCs w:val="20"/>
          <w:color w:val="auto"/>
        </w:rPr>
      </w:pPr>
      <w:r>
        <w:rPr>
          <w:rFonts w:ascii="Arial" w:cs="Arial" w:eastAsia="Arial" w:hAnsi="Arial"/>
          <w:sz w:val="18"/>
          <w:szCs w:val="18"/>
          <w:color w:val="auto"/>
        </w:rPr>
        <w:t>The Committee does not view benchmarking as a prescriptive determinant of individual compensation. Rather, the Committee uses the market median as a general guide in its decisions on the target amount and 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financial results, future stock performance, as well as individual performance, reinforcing the Company’s pay-for-performance culture.</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OVERVIEW OF PAY PROGRAMS</w:t>
      </w:r>
    </w:p>
    <w:p>
      <w:pPr>
        <w:spacing w:after="0" w:line="158" w:lineRule="exact"/>
        <w:rPr>
          <w:sz w:val="20"/>
          <w:szCs w:val="20"/>
          <w:color w:val="auto"/>
        </w:rPr>
      </w:pPr>
    </w:p>
    <w:p>
      <w:pPr>
        <w:ind w:left="1000" w:right="219"/>
        <w:spacing w:after="0" w:line="275"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9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Pay Component</w:t>
            </w:r>
          </w:p>
        </w:tc>
        <w:tc>
          <w:tcPr>
            <w:tcW w:w="28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Objectives</w:t>
            </w:r>
          </w:p>
        </w:tc>
        <w:tc>
          <w:tcPr>
            <w:tcW w:w="2960" w:type="dxa"/>
            <w:vAlign w:val="bottom"/>
            <w:shd w:val="clear" w:color="auto" w:fill="53C072"/>
          </w:tcPr>
          <w:p>
            <w:pPr>
              <w:ind w:left="140"/>
              <w:spacing w:after="0"/>
              <w:rPr>
                <w:sz w:val="20"/>
                <w:szCs w:val="20"/>
                <w:color w:val="auto"/>
              </w:rPr>
            </w:pPr>
            <w:r>
              <w:rPr>
                <w:rFonts w:ascii="Arial" w:cs="Arial" w:eastAsia="Arial" w:hAnsi="Arial"/>
                <w:sz w:val="14"/>
                <w:szCs w:val="14"/>
                <w:b w:val="1"/>
                <w:bCs w:val="1"/>
                <w:color w:val="FFFFFF"/>
              </w:rPr>
              <w:t>Key Features</w:t>
            </w:r>
          </w:p>
        </w:tc>
      </w:tr>
      <w:tr>
        <w:trPr>
          <w:trHeight w:val="230"/>
        </w:trPr>
        <w:tc>
          <w:tcPr>
            <w:tcW w:w="2920" w:type="dxa"/>
            <w:vAlign w:val="bottom"/>
            <w:shd w:val="clear" w:color="auto" w:fill="98D9AA"/>
          </w:tcPr>
          <w:p>
            <w:pPr>
              <w:ind w:left="120"/>
              <w:spacing w:after="0"/>
              <w:rPr>
                <w:sz w:val="20"/>
                <w:szCs w:val="20"/>
                <w:color w:val="auto"/>
              </w:rPr>
            </w:pPr>
            <w:r>
              <w:rPr>
                <w:rFonts w:ascii="Arial" w:cs="Arial" w:eastAsia="Arial" w:hAnsi="Arial"/>
                <w:sz w:val="18"/>
                <w:szCs w:val="18"/>
                <w:b w:val="1"/>
                <w:bCs w:val="1"/>
                <w:color w:val="auto"/>
              </w:rPr>
              <w:t>Base Salary</w:t>
            </w: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Attract and retain executive talent</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Reflects skills, contributions, and</w:t>
            </w:r>
          </w:p>
        </w:tc>
      </w:tr>
      <w:tr>
        <w:trPr>
          <w:trHeight w:val="229"/>
        </w:trPr>
        <w:tc>
          <w:tcPr>
            <w:tcW w:w="2920" w:type="dxa"/>
            <w:vAlign w:val="bottom"/>
            <w:shd w:val="clear" w:color="auto" w:fill="98D9AA"/>
          </w:tcPr>
          <w:p>
            <w:pPr>
              <w:spacing w:after="0"/>
              <w:rPr>
                <w:sz w:val="19"/>
                <w:szCs w:val="19"/>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in a competitive marketplace.</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success over time in role.</w:t>
            </w:r>
          </w:p>
        </w:tc>
      </w:tr>
      <w:tr>
        <w:trPr>
          <w:trHeight w:val="257"/>
        </w:trPr>
        <w:tc>
          <w:tcPr>
            <w:tcW w:w="2920" w:type="dxa"/>
            <w:vAlign w:val="bottom"/>
            <w:shd w:val="clear" w:color="auto" w:fill="98D9AA"/>
          </w:tcPr>
          <w:p>
            <w:pPr>
              <w:spacing w:after="0"/>
              <w:rPr>
                <w:sz w:val="22"/>
                <w:szCs w:val="22"/>
                <w:color w:val="auto"/>
              </w:rPr>
            </w:pPr>
          </w:p>
        </w:tc>
        <w:tc>
          <w:tcPr>
            <w:tcW w:w="2880" w:type="dxa"/>
            <w:vAlign w:val="bottom"/>
            <w:shd w:val="clear" w:color="auto" w:fill="98D9AA"/>
          </w:tcPr>
          <w:p>
            <w:pPr>
              <w:spacing w:after="0"/>
              <w:rPr>
                <w:sz w:val="22"/>
                <w:szCs w:val="22"/>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Reviewed annually to ensure</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spacing w:after="0"/>
              <w:rPr>
                <w:sz w:val="18"/>
                <w:szCs w:val="18"/>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competitiveness and alignment</w:t>
            </w:r>
          </w:p>
        </w:tc>
      </w:tr>
      <w:tr>
        <w:trPr>
          <w:trHeight w:val="236"/>
        </w:trPr>
        <w:tc>
          <w:tcPr>
            <w:tcW w:w="2920" w:type="dxa"/>
            <w:vAlign w:val="bottom"/>
            <w:tcBorders>
              <w:bottom w:val="single" w:sz="8" w:color="FEFEFE"/>
            </w:tcBorders>
            <w:shd w:val="clear" w:color="auto" w:fill="98D9AA"/>
          </w:tcPr>
          <w:p>
            <w:pPr>
              <w:spacing w:after="0"/>
              <w:rPr>
                <w:sz w:val="20"/>
                <w:szCs w:val="20"/>
                <w:color w:val="auto"/>
              </w:rPr>
            </w:pPr>
          </w:p>
        </w:tc>
        <w:tc>
          <w:tcPr>
            <w:tcW w:w="2880" w:type="dxa"/>
            <w:vAlign w:val="bottom"/>
            <w:tcBorders>
              <w:bottom w:val="single" w:sz="8" w:color="FEFEFE"/>
            </w:tcBorders>
            <w:shd w:val="clear" w:color="auto" w:fill="98D9AA"/>
          </w:tcPr>
          <w:p>
            <w:pPr>
              <w:spacing w:after="0"/>
              <w:rPr>
                <w:sz w:val="20"/>
                <w:szCs w:val="20"/>
                <w:color w:val="auto"/>
              </w:rPr>
            </w:pPr>
          </w:p>
        </w:tc>
        <w:tc>
          <w:tcPr>
            <w:tcW w:w="2960" w:type="dxa"/>
            <w:vAlign w:val="bottom"/>
            <w:tcBorders>
              <w:bottom w:val="single" w:sz="8" w:color="FEFEFE"/>
            </w:tcBorders>
            <w:shd w:val="clear" w:color="auto" w:fill="98D9AA"/>
          </w:tcPr>
          <w:p>
            <w:pPr>
              <w:ind w:left="140"/>
              <w:spacing w:after="0"/>
              <w:rPr>
                <w:sz w:val="20"/>
                <w:szCs w:val="20"/>
                <w:color w:val="auto"/>
              </w:rPr>
            </w:pPr>
            <w:r>
              <w:rPr>
                <w:rFonts w:ascii="Arial" w:cs="Arial" w:eastAsia="Arial" w:hAnsi="Arial"/>
                <w:sz w:val="18"/>
                <w:szCs w:val="18"/>
                <w:color w:val="auto"/>
              </w:rPr>
              <w:t>with individual performance.</w:t>
            </w:r>
          </w:p>
        </w:tc>
      </w:tr>
      <w:tr>
        <w:trPr>
          <w:trHeight w:val="230"/>
        </w:trPr>
        <w:tc>
          <w:tcPr>
            <w:tcW w:w="2920" w:type="dxa"/>
            <w:vAlign w:val="bottom"/>
            <w:shd w:val="clear" w:color="auto" w:fill="CBECD5"/>
          </w:tcPr>
          <w:p>
            <w:pPr>
              <w:ind w:left="120"/>
              <w:spacing w:after="0"/>
              <w:rPr>
                <w:sz w:val="20"/>
                <w:szCs w:val="20"/>
                <w:color w:val="auto"/>
              </w:rPr>
            </w:pPr>
            <w:r>
              <w:rPr>
                <w:rFonts w:ascii="Arial" w:cs="Arial" w:eastAsia="Arial" w:hAnsi="Arial"/>
                <w:sz w:val="18"/>
                <w:szCs w:val="18"/>
                <w:b w:val="1"/>
                <w:bCs w:val="1"/>
                <w:color w:val="auto"/>
              </w:rPr>
              <w:t>Annual Cash Incentives</w:t>
            </w: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Link variable compensation to</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Key financial measures used to</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short-term performance and</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assess performance and align</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strategic goals.</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executives’ interest with</w:t>
            </w:r>
          </w:p>
        </w:tc>
      </w:tr>
      <w:tr>
        <w:trPr>
          <w:trHeight w:val="229"/>
        </w:trPr>
        <w:tc>
          <w:tcPr>
            <w:tcW w:w="2920" w:type="dxa"/>
            <w:vAlign w:val="bottom"/>
            <w:shd w:val="clear" w:color="auto" w:fill="CBECD5"/>
          </w:tcPr>
          <w:p>
            <w:pPr>
              <w:spacing w:after="0"/>
              <w:rPr>
                <w:sz w:val="19"/>
                <w:szCs w:val="19"/>
                <w:color w:val="auto"/>
              </w:rPr>
            </w:pPr>
          </w:p>
        </w:tc>
        <w:tc>
          <w:tcPr>
            <w:tcW w:w="2880" w:type="dxa"/>
            <w:vAlign w:val="bottom"/>
            <w:shd w:val="clear" w:color="auto" w:fill="CBECD5"/>
          </w:tcPr>
          <w:p>
            <w:pPr>
              <w:spacing w:after="0"/>
              <w:rPr>
                <w:sz w:val="19"/>
                <w:szCs w:val="19"/>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shareholders’ interests.</w:t>
            </w:r>
          </w:p>
        </w:tc>
      </w:tr>
      <w:tr>
        <w:trPr>
          <w:trHeight w:val="257"/>
        </w:trPr>
        <w:tc>
          <w:tcPr>
            <w:tcW w:w="2920" w:type="dxa"/>
            <w:vAlign w:val="bottom"/>
            <w:shd w:val="clear" w:color="auto" w:fill="CBECD5"/>
          </w:tcPr>
          <w:p>
            <w:pPr>
              <w:spacing w:after="0"/>
              <w:rPr>
                <w:sz w:val="22"/>
                <w:szCs w:val="22"/>
                <w:color w:val="auto"/>
              </w:rPr>
            </w:pPr>
          </w:p>
        </w:tc>
        <w:tc>
          <w:tcPr>
            <w:tcW w:w="2880" w:type="dxa"/>
            <w:vAlign w:val="bottom"/>
            <w:shd w:val="clear" w:color="auto" w:fill="CBECD5"/>
          </w:tcPr>
          <w:p>
            <w:pPr>
              <w:spacing w:after="0"/>
              <w:rPr>
                <w:sz w:val="22"/>
                <w:szCs w:val="22"/>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Payouts depend on meeting</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spacing w:after="0"/>
              <w:rPr>
                <w:sz w:val="18"/>
                <w:szCs w:val="18"/>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financial and non-financial</w:t>
            </w:r>
          </w:p>
        </w:tc>
      </w:tr>
      <w:tr>
        <w:trPr>
          <w:trHeight w:val="236"/>
        </w:trPr>
        <w:tc>
          <w:tcPr>
            <w:tcW w:w="2920" w:type="dxa"/>
            <w:vAlign w:val="bottom"/>
            <w:tcBorders>
              <w:bottom w:val="single" w:sz="8" w:color="FEFEFE"/>
            </w:tcBorders>
            <w:shd w:val="clear" w:color="auto" w:fill="CBECD5"/>
          </w:tcPr>
          <w:p>
            <w:pPr>
              <w:spacing w:after="0"/>
              <w:rPr>
                <w:sz w:val="20"/>
                <w:szCs w:val="20"/>
                <w:color w:val="auto"/>
              </w:rPr>
            </w:pPr>
          </w:p>
        </w:tc>
        <w:tc>
          <w:tcPr>
            <w:tcW w:w="2880" w:type="dxa"/>
            <w:vAlign w:val="bottom"/>
            <w:tcBorders>
              <w:bottom w:val="single" w:sz="8" w:color="FEFEFE"/>
            </w:tcBorders>
            <w:shd w:val="clear" w:color="auto" w:fill="CBECD5"/>
          </w:tcPr>
          <w:p>
            <w:pPr>
              <w:spacing w:after="0"/>
              <w:rPr>
                <w:sz w:val="20"/>
                <w:szCs w:val="20"/>
                <w:color w:val="auto"/>
              </w:rPr>
            </w:pPr>
          </w:p>
        </w:tc>
        <w:tc>
          <w:tcPr>
            <w:tcW w:w="2960" w:type="dxa"/>
            <w:vAlign w:val="bottom"/>
            <w:tcBorders>
              <w:bottom w:val="single" w:sz="8" w:color="FEFEFE"/>
            </w:tcBorders>
            <w:shd w:val="clear" w:color="auto" w:fill="CBECD5"/>
          </w:tcPr>
          <w:p>
            <w:pPr>
              <w:ind w:left="140"/>
              <w:spacing w:after="0"/>
              <w:rPr>
                <w:sz w:val="20"/>
                <w:szCs w:val="20"/>
                <w:color w:val="auto"/>
              </w:rPr>
            </w:pPr>
            <w:r>
              <w:rPr>
                <w:rFonts w:ascii="Arial" w:cs="Arial" w:eastAsia="Arial" w:hAnsi="Arial"/>
                <w:sz w:val="18"/>
                <w:szCs w:val="18"/>
                <w:color w:val="auto"/>
              </w:rPr>
              <w:t>performance goals.</w:t>
            </w:r>
          </w:p>
        </w:tc>
      </w:tr>
      <w:tr>
        <w:trPr>
          <w:trHeight w:val="230"/>
        </w:trPr>
        <w:tc>
          <w:tcPr>
            <w:tcW w:w="2920" w:type="dxa"/>
            <w:vAlign w:val="bottom"/>
            <w:shd w:val="clear" w:color="auto" w:fill="98D9AA"/>
          </w:tcPr>
          <w:p>
            <w:pPr>
              <w:ind w:left="120"/>
              <w:spacing w:after="0"/>
              <w:rPr>
                <w:sz w:val="20"/>
                <w:szCs w:val="20"/>
                <w:color w:val="auto"/>
              </w:rPr>
            </w:pPr>
            <w:r>
              <w:rPr>
                <w:rFonts w:ascii="Arial" w:cs="Arial" w:eastAsia="Arial" w:hAnsi="Arial"/>
                <w:sz w:val="18"/>
                <w:szCs w:val="18"/>
                <w:b w:val="1"/>
                <w:bCs w:val="1"/>
                <w:color w:val="auto"/>
              </w:rPr>
              <w:t>Long-Term Equity Incentives</w:t>
            </w: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Align executives with</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Encourages retention through</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shareholders by rewarding long-</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multi-year vesting (three to</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term shareholder value creation.</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four years) and rewards share</w:t>
            </w:r>
          </w:p>
        </w:tc>
      </w:tr>
      <w:tr>
        <w:trPr>
          <w:trHeight w:val="270"/>
        </w:trPr>
        <w:tc>
          <w:tcPr>
            <w:tcW w:w="2920" w:type="dxa"/>
            <w:vAlign w:val="bottom"/>
            <w:shd w:val="clear" w:color="auto" w:fill="98D9AA"/>
          </w:tcPr>
          <w:p>
            <w:pPr>
              <w:spacing w:after="0"/>
              <w:rPr>
                <w:sz w:val="23"/>
                <w:szCs w:val="23"/>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Reward stock price appreciation</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price appreciation.</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and tie executive wealth</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Performance Share Units (PSUs)</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accumulation to long-term</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vest, if at all, at the end of a</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performance.</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three-year period depending on</w:t>
            </w:r>
          </w:p>
        </w:tc>
      </w:tr>
      <w:tr>
        <w:trPr>
          <w:trHeight w:val="236"/>
        </w:trPr>
        <w:tc>
          <w:tcPr>
            <w:tcW w:w="2920" w:type="dxa"/>
            <w:vAlign w:val="bottom"/>
            <w:tcBorders>
              <w:bottom w:val="single" w:sz="8" w:color="FEFEFE"/>
            </w:tcBorders>
            <w:shd w:val="clear" w:color="auto" w:fill="98D9AA"/>
          </w:tcPr>
          <w:p>
            <w:pPr>
              <w:spacing w:after="0"/>
              <w:rPr>
                <w:sz w:val="20"/>
                <w:szCs w:val="20"/>
                <w:color w:val="auto"/>
              </w:rPr>
            </w:pPr>
          </w:p>
        </w:tc>
        <w:tc>
          <w:tcPr>
            <w:tcW w:w="2880" w:type="dxa"/>
            <w:vAlign w:val="bottom"/>
            <w:tcBorders>
              <w:bottom w:val="single" w:sz="8" w:color="FEFEFE"/>
            </w:tcBorders>
            <w:shd w:val="clear" w:color="auto" w:fill="98D9AA"/>
          </w:tcPr>
          <w:p>
            <w:pPr>
              <w:spacing w:after="0"/>
              <w:rPr>
                <w:sz w:val="20"/>
                <w:szCs w:val="20"/>
                <w:color w:val="auto"/>
              </w:rPr>
            </w:pPr>
          </w:p>
        </w:tc>
        <w:tc>
          <w:tcPr>
            <w:tcW w:w="2960" w:type="dxa"/>
            <w:vAlign w:val="bottom"/>
            <w:tcBorders>
              <w:bottom w:val="single" w:sz="8" w:color="FEFEFE"/>
            </w:tcBorders>
            <w:shd w:val="clear" w:color="auto" w:fill="98D9AA"/>
          </w:tcPr>
          <w:p>
            <w:pPr>
              <w:ind w:left="140"/>
              <w:spacing w:after="0"/>
              <w:rPr>
                <w:sz w:val="20"/>
                <w:szCs w:val="20"/>
                <w:color w:val="auto"/>
              </w:rPr>
            </w:pPr>
            <w:r>
              <w:rPr>
                <w:rFonts w:ascii="Arial" w:cs="Arial" w:eastAsia="Arial" w:hAnsi="Arial"/>
                <w:sz w:val="18"/>
                <w:szCs w:val="18"/>
                <w:color w:val="auto"/>
              </w:rPr>
              <w:t>meeting performance goals.</w:t>
            </w: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42     </w:t>
      </w:r>
      <w:r>
        <w:rPr>
          <w:sz w:val="1"/>
          <w:szCs w:val="1"/>
          <w:color w:val="auto"/>
        </w:rPr>
        <w:drawing>
          <wp:inline distT="0" distB="0" distL="0" distR="0">
            <wp:extent cx="1242695"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339"/>
        <w:spacing w:after="0" w:line="275" w:lineRule="auto"/>
        <w:rPr>
          <w:sz w:val="20"/>
          <w:szCs w:val="20"/>
          <w:color w:val="auto"/>
        </w:rPr>
      </w:pPr>
      <w:r>
        <w:rPr>
          <w:rFonts w:ascii="Arial" w:cs="Arial" w:eastAsia="Arial" w:hAnsi="Arial"/>
          <w:sz w:val="18"/>
          <w:szCs w:val="18"/>
          <w:color w:val="auto"/>
        </w:rPr>
        <w:t>In addition, each NEO may be eligible to receive certain other benefits summarized below. See “Elements of Executive Compensation — Additional Compensation Elements” for more information.</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360" w:type="dxa"/>
            <w:vAlign w:val="bottom"/>
            <w:tcBorders>
              <w:right w:val="single" w:sz="8" w:color="FEFEFE"/>
            </w:tcBorders>
            <w:shd w:val="clear" w:color="auto" w:fill="53C072"/>
          </w:tcPr>
          <w:p>
            <w:pPr>
              <w:ind w:left="120"/>
              <w:spacing w:after="0"/>
              <w:rPr>
                <w:sz w:val="20"/>
                <w:szCs w:val="20"/>
                <w:color w:val="auto"/>
              </w:rPr>
            </w:pPr>
            <w:r>
              <w:rPr>
                <w:rFonts w:ascii="Arial" w:cs="Arial" w:eastAsia="Arial" w:hAnsi="Arial"/>
                <w:sz w:val="14"/>
                <w:szCs w:val="14"/>
                <w:b w:val="1"/>
                <w:bCs w:val="1"/>
                <w:color w:val="FFFFFF"/>
              </w:rPr>
              <w:t>Pay Component</w:t>
            </w:r>
          </w:p>
        </w:tc>
        <w:tc>
          <w:tcPr>
            <w:tcW w:w="54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Brief Description</w:t>
            </w:r>
          </w:p>
        </w:tc>
      </w:tr>
      <w:tr>
        <w:trPr>
          <w:trHeight w:val="251"/>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Retirement Benefits</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cash balance plan (Pension Plan)</w:t>
            </w:r>
          </w:p>
        </w:tc>
      </w:tr>
      <w:tr>
        <w:trPr>
          <w:trHeight w:val="235"/>
        </w:trPr>
        <w:tc>
          <w:tcPr>
            <w:tcW w:w="3360" w:type="dxa"/>
            <w:vAlign w:val="bottom"/>
            <w:tcBorders>
              <w:right w:val="single" w:sz="8" w:color="FEFEFE"/>
            </w:tcBorders>
            <w:shd w:val="clear" w:color="auto" w:fill="98D9AA"/>
          </w:tcPr>
          <w:p>
            <w:pPr>
              <w:spacing w:after="0"/>
              <w:rPr>
                <w:sz w:val="20"/>
                <w:szCs w:val="20"/>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defined contribution plan (401(k) Plan)</w:t>
            </w:r>
          </w:p>
        </w:tc>
      </w:tr>
      <w:tr>
        <w:trPr>
          <w:trHeight w:val="289"/>
        </w:trPr>
        <w:tc>
          <w:tcPr>
            <w:tcW w:w="3360" w:type="dxa"/>
            <w:vAlign w:val="bottom"/>
            <w:tcBorders>
              <w:right w:val="single" w:sz="8" w:color="FEFEFE"/>
            </w:tcBorders>
            <w:shd w:val="clear" w:color="auto" w:fill="98D9AA"/>
          </w:tcPr>
          <w:p>
            <w:pPr>
              <w:spacing w:after="0"/>
              <w:rPr>
                <w:sz w:val="24"/>
                <w:szCs w:val="24"/>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Nonqualified retirement plans</w:t>
            </w:r>
          </w:p>
        </w:tc>
      </w:tr>
      <w:tr>
        <w:trPr>
          <w:trHeight w:val="245"/>
        </w:trPr>
        <w:tc>
          <w:tcPr>
            <w:tcW w:w="3360" w:type="dxa"/>
            <w:vAlign w:val="bottom"/>
            <w:tcBorders>
              <w:right w:val="single" w:sz="8" w:color="FEFEFE"/>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Executive Benefits</w:t>
            </w: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Limited perquisites</w:t>
            </w:r>
          </w:p>
        </w:tc>
      </w:tr>
      <w:tr>
        <w:trPr>
          <w:trHeight w:val="223"/>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Change of Control Agreements</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Individual agreements providing enhanced severance for a</w:t>
            </w:r>
          </w:p>
        </w:tc>
      </w:tr>
      <w:tr>
        <w:trPr>
          <w:trHeight w:val="216"/>
        </w:trPr>
        <w:tc>
          <w:tcPr>
            <w:tcW w:w="3360" w:type="dxa"/>
            <w:vAlign w:val="bottom"/>
            <w:tcBorders>
              <w:right w:val="single" w:sz="8" w:color="FEFEFE"/>
            </w:tcBorders>
            <w:shd w:val="clear" w:color="auto" w:fill="98D9AA"/>
          </w:tcPr>
          <w:p>
            <w:pPr>
              <w:spacing w:after="0"/>
              <w:rPr>
                <w:sz w:val="18"/>
                <w:szCs w:val="18"/>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qualifying termination following a change of control of the</w:t>
            </w:r>
          </w:p>
        </w:tc>
      </w:tr>
      <w:tr>
        <w:trPr>
          <w:trHeight w:val="236"/>
        </w:trPr>
        <w:tc>
          <w:tcPr>
            <w:tcW w:w="3360" w:type="dxa"/>
            <w:vAlign w:val="bottom"/>
            <w:tcBorders>
              <w:right w:val="single" w:sz="8" w:color="FEFEFE"/>
            </w:tcBorders>
            <w:shd w:val="clear" w:color="auto" w:fill="98D9AA"/>
          </w:tcPr>
          <w:p>
            <w:pPr>
              <w:spacing w:after="0"/>
              <w:rPr>
                <w:sz w:val="20"/>
                <w:szCs w:val="20"/>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Company</w:t>
            </w:r>
          </w:p>
        </w:tc>
      </w:tr>
      <w:tr>
        <w:trPr>
          <w:trHeight w:val="223"/>
        </w:trPr>
        <w:tc>
          <w:tcPr>
            <w:tcW w:w="3360" w:type="dxa"/>
            <w:vAlign w:val="bottom"/>
            <w:tcBorders>
              <w:right w:val="single" w:sz="8" w:color="FEFEFE"/>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Executive Severance Plan</w:t>
            </w: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Plan providing severance benefits for executives, except for</w:t>
            </w:r>
          </w:p>
        </w:tc>
      </w:tr>
      <w:tr>
        <w:trPr>
          <w:trHeight w:val="236"/>
        </w:trPr>
        <w:tc>
          <w:tcPr>
            <w:tcW w:w="3360" w:type="dxa"/>
            <w:vAlign w:val="bottom"/>
            <w:tcBorders>
              <w:right w:val="single" w:sz="8" w:color="FEFEFE"/>
            </w:tcBorders>
            <w:shd w:val="clear" w:color="auto" w:fill="CBECD5"/>
          </w:tcPr>
          <w:p>
            <w:pPr>
              <w:spacing w:after="0"/>
              <w:rPr>
                <w:sz w:val="20"/>
                <w:szCs w:val="20"/>
                <w:color w:val="auto"/>
              </w:rPr>
            </w:pP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those covered by their employment agreements</w:t>
            </w:r>
          </w:p>
        </w:tc>
      </w:tr>
      <w:tr>
        <w:trPr>
          <w:trHeight w:val="223"/>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Employee Stock Purchase Plan</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Qualified plan permitting Company stock purchases at a 5%</w:t>
            </w:r>
          </w:p>
        </w:tc>
      </w:tr>
      <w:tr>
        <w:trPr>
          <w:trHeight w:val="242"/>
        </w:trPr>
        <w:tc>
          <w:tcPr>
            <w:tcW w:w="3360" w:type="dxa"/>
            <w:vAlign w:val="bottom"/>
            <w:tcBorders>
              <w:right w:val="single" w:sz="8" w:color="FEFEFE"/>
            </w:tcBorders>
            <w:shd w:val="clear" w:color="auto" w:fill="98D9AA"/>
          </w:tcPr>
          <w:p>
            <w:pPr>
              <w:spacing w:after="0"/>
              <w:rPr>
                <w:sz w:val="21"/>
                <w:szCs w:val="21"/>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discount, subject to plan limits</w:t>
            </w:r>
          </w:p>
        </w:tc>
      </w:tr>
    </w:tbl>
    <w:p>
      <w:pPr>
        <w:spacing w:after="0" w:line="10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Pay Mix</w:t>
      </w:r>
    </w:p>
    <w:p>
      <w:pPr>
        <w:spacing w:after="0" w:line="163" w:lineRule="exact"/>
        <w:rPr>
          <w:sz w:val="20"/>
          <w:szCs w:val="20"/>
          <w:color w:val="auto"/>
        </w:rPr>
      </w:pPr>
    </w:p>
    <w:p>
      <w:pPr>
        <w:ind w:left="1000" w:right="919"/>
        <w:spacing w:after="0" w:line="275" w:lineRule="auto"/>
        <w:rPr>
          <w:sz w:val="20"/>
          <w:szCs w:val="20"/>
          <w:color w:val="auto"/>
        </w:rPr>
      </w:pPr>
      <w:r>
        <w:rPr>
          <w:rFonts w:ascii="Arial" w:cs="Arial" w:eastAsia="Arial" w:hAnsi="Arial"/>
          <w:sz w:val="18"/>
          <w:szCs w:val="18"/>
          <w:color w:val="auto"/>
        </w:rPr>
        <w:t>For fiscal 2023, the compensation mix at target for the CEO and the other NEOs demonstrates that a significant portion of their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101600</wp:posOffset>
            </wp:positionV>
            <wp:extent cx="5340350" cy="2811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4035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40" w:hanging="350"/>
        <w:spacing w:after="0"/>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Does not include the compensation mix for former CFO Mr. Liguori.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Compensation Governance Practices</w:t>
      </w:r>
    </w:p>
    <w:p>
      <w:pPr>
        <w:spacing w:after="0" w:line="163" w:lineRule="exact"/>
        <w:rPr>
          <w:sz w:val="20"/>
          <w:szCs w:val="20"/>
          <w:color w:val="auto"/>
        </w:rPr>
      </w:pPr>
    </w:p>
    <w:p>
      <w:pPr>
        <w:ind w:left="1000" w:right="719"/>
        <w:spacing w:after="0" w:line="291" w:lineRule="auto"/>
        <w:rPr>
          <w:sz w:val="20"/>
          <w:szCs w:val="20"/>
          <w:color w:val="auto"/>
        </w:rPr>
      </w:pPr>
      <w:r>
        <w:rPr>
          <w:rFonts w:ascii="Arial" w:cs="Arial" w:eastAsia="Arial" w:hAnsi="Arial"/>
          <w:sz w:val="18"/>
          <w:szCs w:val="18"/>
          <w:color w:val="auto"/>
        </w:rPr>
        <w:t>The Company’s executive compensation programs incorporate the following compensation governance practices:</w:t>
      </w:r>
    </w:p>
    <w:p>
      <w:pPr>
        <w:spacing w:after="0" w:line="104" w:lineRule="exact"/>
        <w:rPr>
          <w:sz w:val="20"/>
          <w:szCs w:val="20"/>
          <w:color w:val="auto"/>
        </w:rPr>
      </w:pPr>
    </w:p>
    <w:tbl>
      <w:tblPr>
        <w:tblLayout w:type="fixed"/>
        <w:tblInd w:w="1700" w:type="dxa"/>
        <w:tblCellMar>
          <w:top w:w="0" w:type="dxa"/>
          <w:left w:w="0" w:type="dxa"/>
          <w:bottom w:w="0" w:type="dxa"/>
          <w:right w:w="0" w:type="dxa"/>
        </w:tblCellMar>
      </w:tblPr>
      <w:tr>
        <w:trPr>
          <w:trHeight w:val="271"/>
        </w:trPr>
        <w:tc>
          <w:tcPr>
            <w:tcW w:w="140" w:type="dxa"/>
            <w:vAlign w:val="bottom"/>
            <w:shd w:val="clear" w:color="auto" w:fill="53C072"/>
          </w:tcPr>
          <w:p>
            <w:pPr>
              <w:ind w:left="20"/>
              <w:spacing w:after="0"/>
              <w:rPr>
                <w:sz w:val="20"/>
                <w:szCs w:val="20"/>
                <w:color w:val="auto"/>
              </w:rPr>
            </w:pPr>
            <w:r>
              <w:rPr>
                <w:rFonts w:ascii="Arial" w:cs="Arial" w:eastAsia="Arial" w:hAnsi="Arial"/>
                <w:sz w:val="18"/>
                <w:szCs w:val="18"/>
                <w:b w:val="1"/>
                <w:bCs w:val="1"/>
                <w:color w:val="FEFEFE"/>
              </w:rPr>
              <w:t>​</w:t>
            </w:r>
          </w:p>
        </w:tc>
        <w:tc>
          <w:tcPr>
            <w:tcW w:w="6980" w:type="dxa"/>
            <w:vAlign w:val="bottom"/>
            <w:shd w:val="clear" w:color="auto" w:fill="53C072"/>
          </w:tcPr>
          <w:p>
            <w:pPr>
              <w:spacing w:after="0"/>
              <w:rPr>
                <w:sz w:val="20"/>
                <w:szCs w:val="20"/>
                <w:color w:val="auto"/>
              </w:rPr>
            </w:pPr>
            <w:r>
              <w:rPr>
                <w:rFonts w:ascii="Arial" w:cs="Arial" w:eastAsia="Arial" w:hAnsi="Arial"/>
                <w:sz w:val="18"/>
                <w:szCs w:val="18"/>
                <w:b w:val="1"/>
                <w:bCs w:val="1"/>
                <w:color w:val="FEFEFE"/>
              </w:rPr>
              <w:t>What the Company Does:</w:t>
            </w:r>
          </w:p>
        </w:tc>
        <w:tc>
          <w:tcPr>
            <w:tcW w:w="180" w:type="dxa"/>
            <w:vAlign w:val="bottom"/>
            <w:shd w:val="clear" w:color="auto" w:fill="53C072"/>
          </w:tcPr>
          <w:p>
            <w:pPr>
              <w:ind w:left="40"/>
              <w:spacing w:after="0"/>
              <w:rPr>
                <w:sz w:val="20"/>
                <w:szCs w:val="20"/>
                <w:color w:val="auto"/>
              </w:rPr>
            </w:pPr>
            <w:r>
              <w:rPr>
                <w:rFonts w:ascii="Arial" w:cs="Arial" w:eastAsia="Arial" w:hAnsi="Arial"/>
                <w:sz w:val="18"/>
                <w:szCs w:val="18"/>
                <w:b w:val="1"/>
                <w:bCs w:val="1"/>
                <w:color w:val="FEFEFE"/>
              </w:rPr>
              <w:t>​</w:t>
            </w:r>
          </w:p>
        </w:tc>
      </w:tr>
      <w:tr>
        <w:trPr>
          <w:trHeight w:val="217"/>
        </w:trPr>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6980" w:type="dxa"/>
            <w:vAlign w:val="bottom"/>
          </w:tcPr>
          <w:p>
            <w:pPr>
              <w:ind w:left="2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Aligns Pay-for-Performance.</w:t>
            </w:r>
            <w:r>
              <w:rPr>
                <w:rFonts w:ascii="Arial" w:cs="Arial" w:eastAsia="Arial" w:hAnsi="Arial"/>
                <w:sz w:val="18"/>
                <w:szCs w:val="18"/>
                <w:color w:val="auto"/>
              </w:rPr>
              <w:t xml:space="preserve"> Historically, a significant portion of total</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depended on achieving short- and long-term financial and</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operational goals that were designed to increase shareholder value over time. As</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executives gain responsibility and seniority and exercise more direct influence</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over the Company’s financial and operational performance, typically base salary</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as a percentage of total compensation decreases and performance-based pay</w:t>
            </w:r>
          </w:p>
        </w:tc>
        <w:tc>
          <w:tcPr>
            <w:tcW w:w="18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increases.</w:t>
            </w:r>
          </w:p>
        </w:tc>
        <w:tc>
          <w:tcPr>
            <w:tcW w:w="180" w:type="dxa"/>
            <w:vAlign w:val="bottom"/>
          </w:tcPr>
          <w:p>
            <w:pPr>
              <w:spacing w:after="0"/>
              <w:rPr>
                <w:sz w:val="19"/>
                <w:szCs w:val="19"/>
                <w:color w:val="auto"/>
              </w:rPr>
            </w:pPr>
          </w:p>
        </w:tc>
      </w:tr>
      <w:tr>
        <w:trPr>
          <w:trHeight w:val="244"/>
        </w:trPr>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6980" w:type="dxa"/>
            <w:vAlign w:val="bottom"/>
          </w:tcPr>
          <w:p>
            <w:pPr>
              <w:ind w:left="2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Focuses on Long-Term Incentive Compensation.</w:t>
            </w:r>
            <w:r>
              <w:rPr>
                <w:rFonts w:ascii="Arial" w:cs="Arial" w:eastAsia="Arial" w:hAnsi="Arial"/>
                <w:sz w:val="18"/>
                <w:szCs w:val="18"/>
                <w:color w:val="auto"/>
              </w:rPr>
              <w:t xml:space="preserve"> The long-term incentive</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program is designed to provide a meaningful portion of</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with the goal of having executive officers think and behave like</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owners over the long term. Long-term incentives, in the form of equity awards,</w:t>
            </w:r>
          </w:p>
        </w:tc>
        <w:tc>
          <w:tcPr>
            <w:tcW w:w="18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vest over periods ranging from three to four years depending on the award type.</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-1851025</wp:posOffset>
            </wp:positionV>
            <wp:extent cx="4637405" cy="5974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7405" cy="597471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Uses Multiple Metrics in Incentive Plans. </w:t>
            </w:r>
            <w:r>
              <w:rPr>
                <w:rFonts w:ascii="Arial" w:cs="Arial" w:eastAsia="Arial" w:hAnsi="Arial"/>
                <w:sz w:val="18"/>
                <w:szCs w:val="18"/>
                <w:color w:val="auto"/>
              </w:rPr>
              <w:t>The annual cash and long-term</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incentive programs employ multiple performance measures to assure focus is on</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the entire business. Further, long-term incentive programs include awards that</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vest over several different and overlapping periods to help ensure that</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performance during any one period is not maximized to the detriment of other</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periods.</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Uses Award Caps. </w:t>
            </w:r>
            <w:r>
              <w:rPr>
                <w:rFonts w:ascii="Arial" w:cs="Arial" w:eastAsia="Arial" w:hAnsi="Arial"/>
                <w:sz w:val="18"/>
                <w:szCs w:val="18"/>
                <w:color w:val="auto"/>
              </w:rPr>
              <w:t>Annual cash incentives and PSUs are capped at 200% of</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target to discourage excessive risk-taking.</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Clawback Policy. </w:t>
            </w:r>
            <w:r>
              <w:rPr>
                <w:rFonts w:ascii="Arial" w:cs="Arial" w:eastAsia="Arial" w:hAnsi="Arial"/>
                <w:sz w:val="18"/>
                <w:szCs w:val="18"/>
                <w:color w:val="auto"/>
              </w:rPr>
              <w:t>The Company’s Incentive-Based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Recoupment Policy, also known as a clawback policy, requires the Company to</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recoup incentive-based compensation erroneously awarded due to a financial</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restatement and allows recoupment for employee misconduct.</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Conducts Annual Compensation Risk Assessment. </w:t>
            </w:r>
            <w:r>
              <w:rPr>
                <w:rFonts w:ascii="Arial" w:cs="Arial" w:eastAsia="Arial" w:hAnsi="Arial"/>
                <w:sz w:val="18"/>
                <w:szCs w:val="18"/>
                <w:color w:val="auto"/>
              </w:rPr>
              <w:t>The Committee annually</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assesses the Company’s compensation programs and determines whether the</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Company’s policies and practices create risks that are reasonably likely to have a</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material adverse effect on the Company.</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Stock Ownership Guidelines. </w:t>
            </w:r>
            <w:r>
              <w:rPr>
                <w:rFonts w:ascii="Arial" w:cs="Arial" w:eastAsia="Arial" w:hAnsi="Arial"/>
                <w:sz w:val="18"/>
                <w:szCs w:val="18"/>
                <w:color w:val="auto"/>
              </w:rPr>
              <w:t>The Company has stock ownership</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guidelines for its executive officers and, as of July 1, 2023, each executive officer</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was in compliance.</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Grants Stock Options at Fair Market Value. </w:t>
            </w:r>
            <w:r>
              <w:rPr>
                <w:rFonts w:ascii="Arial" w:cs="Arial" w:eastAsia="Arial" w:hAnsi="Arial"/>
                <w:sz w:val="18"/>
                <w:szCs w:val="18"/>
                <w:color w:val="auto"/>
              </w:rPr>
              <w:t>When the Company grants stock</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the options are granted with an exercise price at the fair market value of</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the Company’s Common Stock on the date of the grant.</w:t>
            </w:r>
          </w:p>
        </w:tc>
        <w:tc>
          <w:tcPr>
            <w:tcW w:w="80" w:type="dxa"/>
            <w:vAlign w:val="bottom"/>
          </w:tcPr>
          <w:p>
            <w:pPr>
              <w:spacing w:after="0"/>
              <w:rPr>
                <w:sz w:val="19"/>
                <w:szCs w:val="19"/>
                <w:color w:val="auto"/>
              </w:rPr>
            </w:pPr>
          </w:p>
        </w:tc>
      </w:tr>
      <w:tr>
        <w:trPr>
          <w:trHeight w:val="24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Committee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Committee is made up entirely of Independent Directors.</w:t>
            </w:r>
          </w:p>
        </w:tc>
        <w:tc>
          <w:tcPr>
            <w:tcW w:w="80" w:type="dxa"/>
            <w:vAlign w:val="bottom"/>
          </w:tcPr>
          <w:p>
            <w:pPr>
              <w:spacing w:after="0"/>
              <w:rPr>
                <w:sz w:val="19"/>
                <w:szCs w:val="19"/>
                <w:color w:val="auto"/>
              </w:rPr>
            </w:pPr>
          </w:p>
        </w:tc>
      </w:tr>
      <w:tr>
        <w:trPr>
          <w:trHeight w:val="28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Consultant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Consultant does not provide any services to management other than its services</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9"/>
              </w:rPr>
              <w:t>to the Committee, and the Committee annually assesses the independence of the</w:t>
            </w:r>
          </w:p>
        </w:tc>
        <w:tc>
          <w:tcPr>
            <w:tcW w:w="80" w:type="dxa"/>
            <w:vAlign w:val="bottom"/>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Compensation Consultant.</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280" w:space="60"/>
            <w:col w:w="753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44     </w:t>
      </w:r>
      <w:r>
        <w:rPr>
          <w:sz w:val="1"/>
          <w:szCs w:val="1"/>
          <w:color w:val="auto"/>
        </w:rPr>
        <w:drawing>
          <wp:inline distT="0" distB="0" distL="0" distR="0">
            <wp:extent cx="1242695"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309880</wp:posOffset>
            </wp:positionV>
            <wp:extent cx="4637405" cy="3625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37405" cy="362585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840" w:hanging="117"/>
        <w:spacing w:after="0"/>
        <w:tabs>
          <w:tab w:leader="none" w:pos="1840" w:val="left"/>
        </w:tabs>
        <w:numPr>
          <w:ilvl w:val="0"/>
          <w:numId w:val="54"/>
        </w:numPr>
        <w:rPr>
          <w:rFonts w:ascii="Arial" w:cs="Arial" w:eastAsia="Arial" w:hAnsi="Arial"/>
          <w:sz w:val="18"/>
          <w:szCs w:val="18"/>
          <w:b w:val="1"/>
          <w:bCs w:val="1"/>
          <w:color w:val="FEFEFE"/>
        </w:rPr>
      </w:pPr>
      <w:r>
        <w:rPr>
          <w:rFonts w:ascii="Arial" w:cs="Arial" w:eastAsia="Arial" w:hAnsi="Arial"/>
          <w:sz w:val="18"/>
          <w:szCs w:val="18"/>
          <w:b w:val="1"/>
          <w:bCs w:val="1"/>
          <w:color w:val="FEFEFE"/>
        </w:rPr>
        <w:t>What the Company Doesn’t Do:</w:t>
      </w:r>
    </w:p>
    <w:p>
      <w:pPr>
        <w:spacing w:after="0" w:line="70" w:lineRule="exact"/>
        <w:rPr>
          <w:rFonts w:ascii="Arial" w:cs="Arial" w:eastAsia="Arial" w:hAnsi="Arial"/>
          <w:sz w:val="18"/>
          <w:szCs w:val="18"/>
          <w:b w:val="1"/>
          <w:bCs w:val="1"/>
          <w:color w:val="FEFEFE"/>
        </w:rPr>
      </w:pPr>
    </w:p>
    <w:p>
      <w:pPr>
        <w:ind w:left="2340" w:hanging="617"/>
        <w:spacing w:after="0" w:line="188" w:lineRule="auto"/>
        <w:tabs>
          <w:tab w:leader="none" w:pos="2124" w:val="left"/>
        </w:tabs>
        <w:numPr>
          <w:ilvl w:val="0"/>
          <w:numId w:val="54"/>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Doesn’t Provide for Excise Tax Gross-Ups. </w:t>
      </w:r>
      <w:r>
        <w:rPr>
          <w:rFonts w:ascii="Arial" w:cs="Arial" w:eastAsia="Arial" w:hAnsi="Arial"/>
          <w:sz w:val="18"/>
          <w:szCs w:val="18"/>
          <w:color w:val="auto"/>
        </w:rPr>
        <w:t>The Company’s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do not provide for excise tax reimbursements to any of the Company’s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FEFEFE"/>
        </w:rPr>
        <w: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83" w:lineRule="exact"/>
        <w:rPr>
          <w:sz w:val="20"/>
          <w:szCs w:val="20"/>
          <w:color w:val="auto"/>
        </w:rPr>
      </w:pPr>
    </w:p>
    <w:p>
      <w:pPr>
        <w:sectPr>
          <w:pgSz w:w="11900" w:h="16838" w:orient="portrait"/>
          <w:cols w:equalWidth="0" w:num="2">
            <w:col w:w="8680" w:space="180"/>
            <w:col w:w="1019"/>
          </w:cols>
          <w:pgMar w:left="580" w:top="90"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Doesn’t Pay Dividends or Dividend Equivalents on Equity Awards. </w:t>
            </w:r>
            <w:r>
              <w:rPr>
                <w:rFonts w:ascii="Arial" w:cs="Arial" w:eastAsia="Arial" w:hAnsi="Arial"/>
                <w:sz w:val="18"/>
                <w:szCs w:val="18"/>
                <w:color w:val="auto"/>
              </w:rPr>
              <w:t>Equity</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awards may provide for the accrual of dividends or dividends equivalents during</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w w:val="98"/>
              </w:rPr>
              <w:t>the vesting period, which are paid solely to the extent the underlying equity awards</w:t>
            </w:r>
          </w:p>
        </w:tc>
        <w:tc>
          <w:tcPr>
            <w:tcW w:w="60" w:type="dxa"/>
            <w:vAlign w:val="bottom"/>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vest. Dividends or dividend equivalents are not paid on unearned PSUs.</w:t>
            </w:r>
          </w:p>
        </w:tc>
        <w:tc>
          <w:tcPr>
            <w:tcW w:w="60" w:type="dxa"/>
            <w:vAlign w:val="bottom"/>
          </w:tcPr>
          <w:p>
            <w:pPr>
              <w:spacing w:after="0"/>
              <w:rPr>
                <w:sz w:val="19"/>
                <w:szCs w:val="19"/>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Doesn’t Permit Hedging or Pledging of Company Shares. </w:t>
            </w:r>
            <w:r>
              <w:rPr>
                <w:rFonts w:ascii="Arial" w:cs="Arial" w:eastAsia="Arial" w:hAnsi="Arial"/>
                <w:sz w:val="18"/>
                <w:szCs w:val="18"/>
                <w:color w:val="auto"/>
              </w:rPr>
              <w:t>The Company’s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Insider Trading Policy prohibits Directors and executive officers from hedging the</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Company’s securities and prohibits them from pledging the Company’s securities</w:t>
            </w:r>
          </w:p>
        </w:tc>
        <w:tc>
          <w:tcPr>
            <w:tcW w:w="60" w:type="dxa"/>
            <w:vAlign w:val="bottom"/>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without advance approval.</w:t>
            </w:r>
          </w:p>
        </w:tc>
        <w:tc>
          <w:tcPr>
            <w:tcW w:w="60" w:type="dxa"/>
            <w:vAlign w:val="bottom"/>
          </w:tcPr>
          <w:p>
            <w:pPr>
              <w:spacing w:after="0"/>
              <w:rPr>
                <w:sz w:val="19"/>
                <w:szCs w:val="19"/>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Doesn’t Provide Above-Market Returns. </w:t>
            </w:r>
            <w:r>
              <w:rPr>
                <w:rFonts w:ascii="Arial" w:cs="Arial" w:eastAsia="Arial" w:hAnsi="Arial"/>
                <w:sz w:val="18"/>
                <w:szCs w:val="18"/>
                <w:color w:val="auto"/>
              </w:rPr>
              <w:t>The Company does not offer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preferential or above-market returns on deferred compensation.</w:t>
            </w:r>
          </w:p>
        </w:tc>
        <w:tc>
          <w:tcPr>
            <w:tcW w:w="6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2280" w:space="60"/>
            <w:col w:w="7539"/>
          </w:cols>
          <w:pgMar w:left="580" w:top="90"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959"/>
        <w:spacing w:after="0" w:line="206" w:lineRule="auto"/>
        <w:rPr>
          <w:sz w:val="20"/>
          <w:szCs w:val="20"/>
          <w:color w:val="auto"/>
        </w:rPr>
      </w:pPr>
      <w:r>
        <w:rPr>
          <w:rFonts w:ascii="Arial" w:cs="Arial" w:eastAsia="Arial" w:hAnsi="Arial"/>
          <w:sz w:val="18"/>
          <w:szCs w:val="18"/>
          <w:b w:val="1"/>
          <w:bCs w:val="1"/>
          <w:color w:val="auto"/>
        </w:rPr>
        <w:t xml:space="preserve">Doesn’t Reprice Awards. </w:t>
      </w:r>
      <w:r>
        <w:rPr>
          <w:rFonts w:ascii="Arial" w:cs="Arial" w:eastAsia="Arial" w:hAnsi="Arial"/>
          <w:sz w:val="18"/>
          <w:szCs w:val="18"/>
          <w:color w:val="auto"/>
        </w:rPr>
        <w:t>Repricing of stock options and stock appreciation rights</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prohibited without shareholder approval. The Company does not have a history of repricing equity awards.</w:t>
      </w:r>
    </w:p>
    <w:p>
      <w:pPr>
        <w:spacing w:after="0" w:line="1" w:lineRule="exact"/>
        <w:rPr>
          <w:sz w:val="20"/>
          <w:szCs w:val="20"/>
          <w:color w:val="auto"/>
        </w:rPr>
      </w:pPr>
    </w:p>
    <w:p>
      <w:pPr>
        <w:ind w:right="959"/>
        <w:spacing w:after="0" w:line="191" w:lineRule="auto"/>
        <w:rPr>
          <w:sz w:val="20"/>
          <w:szCs w:val="20"/>
          <w:color w:val="auto"/>
        </w:rPr>
      </w:pPr>
      <w:r>
        <w:rPr>
          <w:rFonts w:ascii="Arial" w:cs="Arial" w:eastAsia="Arial" w:hAnsi="Arial"/>
          <w:sz w:val="18"/>
          <w:szCs w:val="18"/>
          <w:b w:val="1"/>
          <w:bCs w:val="1"/>
          <w:color w:val="auto"/>
        </w:rPr>
        <w:t xml:space="preserve">Doesn’t Provide Excessive Severance Benefits or Perquisites.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only limited severance benefits and perquisites to executives.</w:t>
      </w:r>
    </w:p>
    <w:p>
      <w:pPr>
        <w:spacing w:after="0" w:line="181" w:lineRule="auto"/>
        <w:tabs>
          <w:tab w:leader="none" w:pos="6500" w:val="left"/>
        </w:tabs>
        <w:rPr>
          <w:sz w:val="20"/>
          <w:szCs w:val="20"/>
          <w:color w:val="auto"/>
        </w:rPr>
      </w:pPr>
      <w:r>
        <w:rPr>
          <w:rFonts w:ascii="Arial" w:cs="Arial" w:eastAsia="Arial" w:hAnsi="Arial"/>
          <w:sz w:val="18"/>
          <w:szCs w:val="18"/>
          <w:b w:val="1"/>
          <w:bCs w:val="1"/>
          <w:color w:val="auto"/>
        </w:rPr>
        <w:t>Doesn’t Reimburse or Indemnify Against Recouped Incentive-Based</w:t>
      </w:r>
      <w:r>
        <w:rPr>
          <w:sz w:val="20"/>
          <w:szCs w:val="20"/>
          <w:color w:val="auto"/>
        </w:rPr>
        <w:tab/>
      </w:r>
      <w:r>
        <w:rPr>
          <w:rFonts w:ascii="Arial" w:cs="Arial" w:eastAsia="Arial" w:hAnsi="Arial"/>
          <w:sz w:val="31"/>
          <w:szCs w:val="31"/>
          <w:color w:val="auto"/>
          <w:vertAlign w:val="superscript"/>
        </w:rPr>
        <w:t>​</w:t>
      </w:r>
    </w:p>
    <w:p>
      <w:pPr>
        <w:spacing w:after="0" w:line="1" w:lineRule="exact"/>
        <w:rPr>
          <w:sz w:val="20"/>
          <w:szCs w:val="20"/>
          <w:color w:val="auto"/>
        </w:rPr>
      </w:pPr>
    </w:p>
    <w:p>
      <w:pPr>
        <w:ind w:right="1019"/>
        <w:spacing w:after="0" w:line="254"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Company does not reimburse executive officers for recouped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or indemnify or insure executive officers in connection with recoupment of incentive-based compensation under its clawback policy.</w:t>
      </w:r>
    </w:p>
    <w:p>
      <w:pPr>
        <w:spacing w:after="0" w:line="191" w:lineRule="exact"/>
        <w:rPr>
          <w:sz w:val="20"/>
          <w:szCs w:val="20"/>
          <w:color w:val="auto"/>
        </w:rPr>
      </w:pPr>
    </w:p>
    <w:p>
      <w:pPr>
        <w:sectPr>
          <w:pgSz w:w="11900" w:h="16838" w:orient="portrait"/>
          <w:cols w:equalWidth="0" w:num="2">
            <w:col w:w="2280" w:space="60"/>
            <w:col w:w="7539"/>
          </w:cols>
          <w:pgMar w:left="580" w:top="90" w:right="1440" w:bottom="1440" w:gutter="0" w:footer="0" w:header="0"/>
          <w:type w:val="continuous"/>
        </w:sectPr>
      </w:pPr>
    </w:p>
    <w:p>
      <w:pPr>
        <w:ind w:left="1340"/>
        <w:spacing w:after="0"/>
        <w:rPr>
          <w:sz w:val="20"/>
          <w:szCs w:val="20"/>
          <w:color w:val="auto"/>
        </w:rPr>
      </w:pPr>
      <w:r>
        <w:rPr>
          <w:rFonts w:ascii="Arial" w:cs="Arial" w:eastAsia="Arial" w:hAnsi="Arial"/>
          <w:sz w:val="20"/>
          <w:szCs w:val="20"/>
          <w:b w:val="1"/>
          <w:bCs w:val="1"/>
          <w:color w:val="auto"/>
        </w:rPr>
        <w:t>Compensation Risk Management</w:t>
      </w:r>
    </w:p>
    <w:p>
      <w:pPr>
        <w:spacing w:after="0" w:line="163" w:lineRule="exact"/>
        <w:rPr>
          <w:sz w:val="20"/>
          <w:szCs w:val="20"/>
          <w:color w:val="auto"/>
        </w:rPr>
      </w:pPr>
    </w:p>
    <w:p>
      <w:pPr>
        <w:ind w:left="1000" w:right="179"/>
        <w:spacing w:after="0" w:line="241" w:lineRule="auto"/>
        <w:rPr>
          <w:sz w:val="20"/>
          <w:szCs w:val="20"/>
          <w:color w:val="auto"/>
        </w:rPr>
      </w:pPr>
      <w:r>
        <w:rPr>
          <w:rFonts w:ascii="Arial" w:cs="Arial" w:eastAsia="Arial" w:hAnsi="Arial"/>
          <w:sz w:val="18"/>
          <w:szCs w:val="18"/>
          <w:color w:val="auto"/>
        </w:rPr>
        <w:t>The Committee reviewed the annual assessment of the Company’s executive compensation programs prepared by its independent compensation consultant. It concluded that the Company’s compensation policies and practices for fiscal 2023 did not create risks that are reasonably likely to have a material adverse effect on the Company or create inappropriate or unintended significant risk to the Company as a whole. It further concluded that the incentive compensation programs provide incentives that do not encourage excessive risk-taking that is beyond the Company’s ability to effectively identify and manage. The Committee and management believe that the incentive compensation programs are compatible with effective internal controls and the Company’s risk management practices and are supported by the Committee’s oversight and administration.</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ELEMENTS OF EXECUTIVE COMPENSATION</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Base Salary</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base salaries as of fiscal year ends 2022 and 2023 were as follows.</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00" w:type="dxa"/>
            <w:vAlign w:val="bottom"/>
            <w:shd w:val="clear" w:color="auto" w:fill="53C072"/>
          </w:tcPr>
          <w:p>
            <w:pPr>
              <w:spacing w:after="0"/>
              <w:rPr>
                <w:sz w:val="18"/>
                <w:szCs w:val="18"/>
                <w:color w:val="auto"/>
              </w:rPr>
            </w:pPr>
          </w:p>
        </w:tc>
        <w:tc>
          <w:tcPr>
            <w:tcW w:w="2960" w:type="dxa"/>
            <w:vAlign w:val="bottom"/>
            <w:gridSpan w:val="2"/>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2022 FY End</w:t>
            </w:r>
          </w:p>
        </w:tc>
        <w:tc>
          <w:tcPr>
            <w:tcW w:w="1140" w:type="dxa"/>
            <w:vAlign w:val="bottom"/>
            <w:gridSpan w:val="2"/>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2023 FY End</w:t>
            </w:r>
          </w:p>
        </w:tc>
        <w:tc>
          <w:tcPr>
            <w:tcW w:w="1060" w:type="dxa"/>
            <w:vAlign w:val="bottom"/>
            <w:shd w:val="clear" w:color="auto" w:fill="53C07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53C072"/>
          </w:tcPr>
          <w:p>
            <w:pPr>
              <w:spacing w:after="0"/>
              <w:rPr>
                <w:sz w:val="14"/>
                <w:szCs w:val="14"/>
                <w:color w:val="auto"/>
              </w:rPr>
            </w:pPr>
          </w:p>
        </w:tc>
        <w:tc>
          <w:tcPr>
            <w:tcW w:w="212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Annual</w:t>
            </w:r>
          </w:p>
        </w:tc>
        <w:tc>
          <w:tcPr>
            <w:tcW w:w="30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Annual</w:t>
            </w:r>
          </w:p>
        </w:tc>
        <w:tc>
          <w:tcPr>
            <w:tcW w:w="1060" w:type="dxa"/>
            <w:vAlign w:val="bottom"/>
            <w:vMerge w:val="restart"/>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 Change</w:t>
            </w:r>
            <w:r>
              <w:rPr>
                <w:rFonts w:ascii="Arial" w:cs="Arial" w:eastAsia="Arial" w:hAnsi="Arial"/>
                <w:sz w:val="21"/>
                <w:szCs w:val="21"/>
                <w:b w:val="1"/>
                <w:bCs w:val="1"/>
                <w:color w:val="FEFEFE"/>
                <w:vertAlign w:val="superscript"/>
              </w:rPr>
              <w:t>(1)</w:t>
            </w:r>
          </w:p>
        </w:tc>
        <w:tc>
          <w:tcPr>
            <w:tcW w:w="0" w:type="dxa"/>
            <w:vAlign w:val="bottom"/>
          </w:tcPr>
          <w:p>
            <w:pPr>
              <w:spacing w:after="0"/>
              <w:rPr>
                <w:sz w:val="1"/>
                <w:szCs w:val="1"/>
                <w:color w:val="auto"/>
              </w:rPr>
            </w:pPr>
          </w:p>
        </w:tc>
      </w:tr>
      <w:tr>
        <w:trPr>
          <w:trHeight w:val="175"/>
        </w:trPr>
        <w:tc>
          <w:tcPr>
            <w:tcW w:w="36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2960" w:type="dxa"/>
            <w:vAlign w:val="bottom"/>
            <w:gridSpan w:val="2"/>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Base Salary</w:t>
            </w:r>
          </w:p>
        </w:tc>
        <w:tc>
          <w:tcPr>
            <w:tcW w:w="1140" w:type="dxa"/>
            <w:vAlign w:val="bottom"/>
            <w:gridSpan w:val="2"/>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Base Salary</w:t>
            </w:r>
          </w:p>
        </w:tc>
        <w:tc>
          <w:tcPr>
            <w:tcW w:w="1060" w:type="dxa"/>
            <w:vAlign w:val="bottom"/>
            <w:vMerge w:val="continue"/>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00" w:type="dxa"/>
            <w:vAlign w:val="bottom"/>
          </w:tcPr>
          <w:p>
            <w:pPr>
              <w:ind w:left="60"/>
              <w:spacing w:after="0"/>
              <w:rPr>
                <w:sz w:val="20"/>
                <w:szCs w:val="20"/>
                <w:color w:val="auto"/>
              </w:rPr>
            </w:pPr>
            <w:r>
              <w:rPr>
                <w:rFonts w:ascii="Arial" w:cs="Arial" w:eastAsia="Arial" w:hAnsi="Arial"/>
                <w:sz w:val="18"/>
                <w:szCs w:val="18"/>
                <w:color w:val="auto"/>
              </w:rPr>
              <w:t>​Gallagher</w:t>
            </w:r>
          </w:p>
        </w:tc>
        <w:tc>
          <w:tcPr>
            <w:tcW w:w="2960" w:type="dxa"/>
            <w:vAlign w:val="bottom"/>
            <w:gridSpan w:val="2"/>
          </w:tcPr>
          <w:p>
            <w:pPr>
              <w:jc w:val="right"/>
              <w:ind w:right="33"/>
              <w:spacing w:after="0"/>
              <w:rPr>
                <w:sz w:val="20"/>
                <w:szCs w:val="20"/>
                <w:color w:val="auto"/>
              </w:rPr>
            </w:pPr>
            <w:r>
              <w:rPr>
                <w:rFonts w:ascii="Arial" w:cs="Arial" w:eastAsia="Arial" w:hAnsi="Arial"/>
                <w:sz w:val="18"/>
                <w:szCs w:val="18"/>
                <w:color w:val="auto"/>
              </w:rPr>
              <w:t>​$1,100,000</w:t>
            </w:r>
          </w:p>
        </w:tc>
        <w:tc>
          <w:tcPr>
            <w:tcW w:w="1140" w:type="dxa"/>
            <w:vAlign w:val="bottom"/>
            <w:gridSpan w:val="2"/>
          </w:tcPr>
          <w:p>
            <w:pPr>
              <w:jc w:val="right"/>
              <w:ind w:right="13"/>
              <w:spacing w:after="0"/>
              <w:rPr>
                <w:sz w:val="20"/>
                <w:szCs w:val="20"/>
                <w:color w:val="auto"/>
              </w:rPr>
            </w:pPr>
            <w:r>
              <w:rPr>
                <w:rFonts w:ascii="Arial" w:cs="Arial" w:eastAsia="Arial" w:hAnsi="Arial"/>
                <w:sz w:val="18"/>
                <w:szCs w:val="18"/>
                <w:color w:val="auto"/>
              </w:rPr>
              <w:t>​$1,150,000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3600" w:type="dxa"/>
            <w:vAlign w:val="bottom"/>
            <w:shd w:val="clear" w:color="auto" w:fill="CBECD5"/>
          </w:tcPr>
          <w:p>
            <w:pPr>
              <w:ind w:left="60"/>
              <w:spacing w:after="0" w:line="270" w:lineRule="exact"/>
              <w:rPr>
                <w:sz w:val="20"/>
                <w:szCs w:val="20"/>
                <w:color w:val="auto"/>
              </w:rPr>
            </w:pPr>
            <w:r>
              <w:rPr>
                <w:rFonts w:ascii="Arial" w:cs="Arial" w:eastAsia="Arial" w:hAnsi="Arial"/>
                <w:sz w:val="18"/>
                <w:szCs w:val="18"/>
                <w:color w:val="auto"/>
              </w:rPr>
              <w:t>​Jacobson</w:t>
            </w:r>
            <w:r>
              <w:rPr>
                <w:rFonts w:ascii="Arial" w:cs="Arial" w:eastAsia="Arial" w:hAnsi="Arial"/>
                <w:sz w:val="26"/>
                <w:szCs w:val="26"/>
                <w:color w:val="auto"/>
                <w:vertAlign w:val="superscript"/>
              </w:rPr>
              <w:t>(2)</w:t>
            </w:r>
          </w:p>
        </w:tc>
        <w:tc>
          <w:tcPr>
            <w:tcW w:w="2120" w:type="dxa"/>
            <w:vAlign w:val="bottom"/>
            <w:shd w:val="clear" w:color="auto" w:fill="CBECD5"/>
          </w:tcPr>
          <w:p>
            <w:pPr>
              <w:ind w:left="19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380,626</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500,000</w:t>
            </w:r>
          </w:p>
        </w:tc>
        <w:tc>
          <w:tcPr>
            <w:tcW w:w="10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6"/>
        </w:trPr>
        <w:tc>
          <w:tcPr>
            <w:tcW w:w="3600" w:type="dxa"/>
            <w:vAlign w:val="bottom"/>
          </w:tcPr>
          <w:p>
            <w:pPr>
              <w:ind w:left="60"/>
              <w:spacing w:after="0"/>
              <w:rPr>
                <w:sz w:val="20"/>
                <w:szCs w:val="20"/>
                <w:color w:val="auto"/>
              </w:rPr>
            </w:pPr>
            <w:r>
              <w:rPr>
                <w:rFonts w:ascii="Arial" w:cs="Arial" w:eastAsia="Arial" w:hAnsi="Arial"/>
                <w:sz w:val="18"/>
                <w:szCs w:val="18"/>
                <w:color w:val="auto"/>
              </w:rPr>
              <w:t>​Arnold</w:t>
            </w:r>
          </w:p>
        </w:tc>
        <w:tc>
          <w:tcPr>
            <w:tcW w:w="2120" w:type="dxa"/>
            <w:vAlign w:val="bottom"/>
          </w:tcPr>
          <w:p>
            <w:pPr>
              <w:ind w:left="19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500,000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3600" w:type="dxa"/>
            <w:vAlign w:val="bottom"/>
            <w:shd w:val="clear" w:color="auto" w:fill="CBECD5"/>
          </w:tcPr>
          <w:p>
            <w:pPr>
              <w:ind w:left="60"/>
              <w:spacing w:after="0"/>
              <w:rPr>
                <w:sz w:val="20"/>
                <w:szCs w:val="20"/>
                <w:color w:val="auto"/>
              </w:rPr>
            </w:pPr>
            <w:r>
              <w:rPr>
                <w:rFonts w:ascii="Arial" w:cs="Arial" w:eastAsia="Arial" w:hAnsi="Arial"/>
                <w:sz w:val="18"/>
                <w:szCs w:val="18"/>
                <w:color w:val="auto"/>
              </w:rPr>
              <w:t>​McCoy</w:t>
            </w:r>
          </w:p>
        </w:tc>
        <w:tc>
          <w:tcPr>
            <w:tcW w:w="2120" w:type="dxa"/>
            <w:vAlign w:val="bottom"/>
            <w:shd w:val="clear" w:color="auto" w:fill="CBECD5"/>
          </w:tcPr>
          <w:p>
            <w:pPr>
              <w:ind w:left="19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550,000</w:t>
            </w:r>
          </w:p>
        </w:tc>
        <w:tc>
          <w:tcPr>
            <w:tcW w:w="10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84"/>
        </w:trPr>
        <w:tc>
          <w:tcPr>
            <w:tcW w:w="3600" w:type="dxa"/>
            <w:vAlign w:val="bottom"/>
          </w:tcPr>
          <w:p>
            <w:pPr>
              <w:ind w:left="60"/>
              <w:spacing w:after="0" w:line="283" w:lineRule="exact"/>
              <w:rPr>
                <w:sz w:val="20"/>
                <w:szCs w:val="20"/>
                <w:color w:val="auto"/>
              </w:rPr>
            </w:pPr>
            <w:r>
              <w:rPr>
                <w:rFonts w:ascii="Arial" w:cs="Arial" w:eastAsia="Arial" w:hAnsi="Arial"/>
                <w:sz w:val="18"/>
                <w:szCs w:val="18"/>
                <w:color w:val="auto"/>
              </w:rPr>
              <w:t>​Obregon-Jimenez</w:t>
            </w:r>
            <w:r>
              <w:rPr>
                <w:rFonts w:ascii="Arial" w:cs="Arial" w:eastAsia="Arial" w:hAnsi="Arial"/>
                <w:sz w:val="26"/>
                <w:szCs w:val="26"/>
                <w:color w:val="auto"/>
                <w:vertAlign w:val="superscript"/>
              </w:rPr>
              <w:t>(3)</w:t>
            </w:r>
          </w:p>
        </w:tc>
        <w:tc>
          <w:tcPr>
            <w:tcW w:w="2120" w:type="dxa"/>
            <w:vAlign w:val="bottom"/>
          </w:tcPr>
          <w:p>
            <w:pPr>
              <w:ind w:left="19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520,000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600" w:type="dxa"/>
            <w:vAlign w:val="bottom"/>
            <w:shd w:val="clear" w:color="auto" w:fill="CBECD5"/>
          </w:tcPr>
          <w:p>
            <w:pPr>
              <w:ind w:left="60"/>
              <w:spacing w:after="0" w:line="283" w:lineRule="exact"/>
              <w:rPr>
                <w:sz w:val="20"/>
                <w:szCs w:val="20"/>
                <w:color w:val="auto"/>
              </w:rPr>
            </w:pPr>
            <w:r>
              <w:rPr>
                <w:rFonts w:ascii="Arial" w:cs="Arial" w:eastAsia="Arial" w:hAnsi="Arial"/>
                <w:sz w:val="18"/>
                <w:szCs w:val="18"/>
                <w:color w:val="auto"/>
              </w:rPr>
              <w:t>​Liguori</w:t>
            </w:r>
            <w:r>
              <w:rPr>
                <w:rFonts w:ascii="Arial" w:cs="Arial" w:eastAsia="Arial" w:hAnsi="Arial"/>
                <w:sz w:val="26"/>
                <w:szCs w:val="26"/>
                <w:color w:val="auto"/>
                <w:vertAlign w:val="superscript"/>
              </w:rPr>
              <w:t>(4)</w:t>
            </w:r>
          </w:p>
        </w:tc>
        <w:tc>
          <w:tcPr>
            <w:tcW w:w="2120" w:type="dxa"/>
            <w:vAlign w:val="bottom"/>
            <w:shd w:val="clear" w:color="auto" w:fill="CBECD5"/>
          </w:tcPr>
          <w:p>
            <w:pPr>
              <w:ind w:left="19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585,000</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585,000</w:t>
            </w:r>
          </w:p>
        </w:tc>
        <w:tc>
          <w:tcPr>
            <w:tcW w:w="10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spacing w:after="0" w:line="1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720" w:right="319" w:hanging="730"/>
        <w:spacing w:after="0" w:line="256" w:lineRule="auto"/>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the increases to base salaries for fiscal 2023, the Committee considered the NEO’s experience in the position, the long-term performance of the individual NEO, and the benchmarking data, and aligned compensation for each NEO more closely to market.</w:t>
      </w:r>
    </w:p>
    <w:p>
      <w:pPr>
        <w:spacing w:after="0" w:line="124" w:lineRule="exact"/>
        <w:rPr>
          <w:rFonts w:ascii="Arial" w:cs="Arial" w:eastAsia="Arial" w:hAnsi="Arial"/>
          <w:sz w:val="18"/>
          <w:szCs w:val="18"/>
          <w:color w:val="auto"/>
        </w:rPr>
      </w:pPr>
    </w:p>
    <w:p>
      <w:pPr>
        <w:ind w:left="1720" w:right="519" w:hanging="730"/>
        <w:spacing w:after="0" w:line="275" w:lineRule="auto"/>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Jacobson’s annual base salary increased for fiscal 2023 in connection with his promotion to CFO effective September 6, 2022.</w:t>
      </w:r>
    </w:p>
    <w:p>
      <w:pPr>
        <w:spacing w:after="0" w:line="92" w:lineRule="exact"/>
        <w:rPr>
          <w:rFonts w:ascii="Arial" w:cs="Arial" w:eastAsia="Arial" w:hAnsi="Arial"/>
          <w:sz w:val="18"/>
          <w:szCs w:val="18"/>
          <w:color w:val="auto"/>
        </w:rPr>
      </w:pPr>
    </w:p>
    <w:p>
      <w:pPr>
        <w:ind w:left="1720" w:hanging="730"/>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Obregon-Jimenez joined the Company on December 30, 2022.</w:t>
      </w:r>
    </w:p>
    <w:p>
      <w:pPr>
        <w:spacing w:after="0" w:line="144" w:lineRule="exact"/>
        <w:rPr>
          <w:rFonts w:ascii="Arial" w:cs="Arial" w:eastAsia="Arial" w:hAnsi="Arial"/>
          <w:sz w:val="18"/>
          <w:szCs w:val="18"/>
          <w:color w:val="auto"/>
        </w:rPr>
      </w:pPr>
    </w:p>
    <w:p>
      <w:pPr>
        <w:ind w:left="1720" w:right="419" w:hanging="730"/>
        <w:spacing w:after="0" w:line="306" w:lineRule="auto"/>
        <w:tabs>
          <w:tab w:leader="none" w:pos="1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Liguori transitioned from CFO, effective September 6, 2022, to a senior advisor through March 31, 2023. His annual base salary for fiscal 2023 reflects his base salary at the date of his departure.</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Annual Cash Incentives</w:t>
      </w:r>
    </w:p>
    <w:p>
      <w:pPr>
        <w:spacing w:after="0" w:line="163" w:lineRule="exact"/>
        <w:rPr>
          <w:sz w:val="20"/>
          <w:szCs w:val="20"/>
          <w:color w:val="auto"/>
        </w:rPr>
      </w:pPr>
    </w:p>
    <w:p>
      <w:pPr>
        <w:ind w:left="1000" w:right="199"/>
        <w:spacing w:after="0" w:line="245" w:lineRule="auto"/>
        <w:rPr>
          <w:sz w:val="20"/>
          <w:szCs w:val="20"/>
          <w:color w:val="auto"/>
        </w:rPr>
      </w:pPr>
      <w:r>
        <w:rPr>
          <w:rFonts w:ascii="Arial" w:cs="Arial" w:eastAsia="Arial" w:hAnsi="Arial"/>
          <w:sz w:val="18"/>
          <w:szCs w:val="18"/>
          <w:color w:val="auto"/>
        </w:rPr>
        <w:t>For fiscal 2023, the Committee approved the NEOs’ participation in the Company’s short-term incentive plan, making them eligible to receive annual cash incentive compensation based on pre-established performance goals as set forth in the following table. The design included both financial and non-financial metrics. The Committee believes the design reflects the Company’s business strategy, and effectively drives behaviors and decisions consistent with the Company’s strategic objectives.</w:t>
      </w:r>
    </w:p>
    <w:p>
      <w:pPr>
        <w:spacing w:after="0" w:line="146" w:lineRule="exact"/>
        <w:rPr>
          <w:sz w:val="20"/>
          <w:szCs w:val="20"/>
          <w:color w:val="auto"/>
        </w:rPr>
      </w:pPr>
    </w:p>
    <w:tbl>
      <w:tblPr>
        <w:tblLayout w:type="fixed"/>
        <w:tblInd w:w="990" w:type="dxa"/>
        <w:tblCellMar>
          <w:top w:w="0" w:type="dxa"/>
          <w:left w:w="0" w:type="dxa"/>
          <w:bottom w:w="0" w:type="dxa"/>
          <w:right w:w="0" w:type="dxa"/>
        </w:tblCellMar>
      </w:tblPr>
      <w:tr>
        <w:trPr>
          <w:trHeight w:val="322"/>
        </w:trPr>
        <w:tc>
          <w:tcPr>
            <w:tcW w:w="1540" w:type="dxa"/>
            <w:vAlign w:val="bottom"/>
            <w:tcBorders>
              <w:left w:val="single" w:sz="8" w:color="53C072"/>
            </w:tcBorders>
            <w:gridSpan w:val="2"/>
            <w:shd w:val="clear" w:color="auto" w:fill="53C072"/>
          </w:tcPr>
          <w:p>
            <w:pPr>
              <w:ind w:left="12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Metrics</w:t>
            </w:r>
          </w:p>
        </w:tc>
        <w:tc>
          <w:tcPr>
            <w:tcW w:w="1340" w:type="dxa"/>
            <w:vAlign w:val="bottom"/>
            <w:gridSpan w:val="5"/>
            <w:shd w:val="clear" w:color="auto" w:fill="53C072"/>
          </w:tcPr>
          <w:p>
            <w:pPr>
              <w:ind w:left="20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28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Financial Performance Metrics</w:t>
            </w:r>
          </w:p>
        </w:tc>
        <w:tc>
          <w:tcPr>
            <w:tcW w:w="1160" w:type="dxa"/>
            <w:vAlign w:val="bottom"/>
            <w:gridSpan w:val="5"/>
            <w:shd w:val="clear" w:color="auto" w:fill="53C072"/>
          </w:tcPr>
          <w:p>
            <w:pPr>
              <w:ind w:left="6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440" w:type="dxa"/>
            <w:vAlign w:val="bottom"/>
            <w:tcBorders>
              <w:right w:val="single" w:sz="8" w:color="53C072"/>
            </w:tcBorders>
            <w:shd w:val="clear" w:color="auto" w:fill="53C072"/>
          </w:tcPr>
          <w:p>
            <w:pPr>
              <w:jc w:val="center"/>
              <w:ind w:right="13"/>
              <w:spacing w:after="0"/>
              <w:rPr>
                <w:sz w:val="20"/>
                <w:szCs w:val="20"/>
                <w:color w:val="auto"/>
              </w:rPr>
            </w:pPr>
            <w:r>
              <w:rPr>
                <w:rFonts w:ascii="Arial" w:cs="Arial" w:eastAsia="Arial" w:hAnsi="Arial"/>
                <w:sz w:val="14"/>
                <w:szCs w:val="14"/>
                <w:b w:val="1"/>
                <w:bCs w:val="1"/>
                <w:color w:val="FEFEFE"/>
              </w:rPr>
              <w:t>Target Performance Goal</w:t>
            </w:r>
          </w:p>
        </w:tc>
        <w:tc>
          <w:tcPr>
            <w:tcW w:w="0" w:type="dxa"/>
            <w:vAlign w:val="bottom"/>
          </w:tcPr>
          <w:p>
            <w:pPr>
              <w:spacing w:after="0"/>
              <w:rPr>
                <w:sz w:val="1"/>
                <w:szCs w:val="1"/>
                <w:color w:val="auto"/>
              </w:rPr>
            </w:pPr>
          </w:p>
        </w:tc>
      </w:tr>
      <w:tr>
        <w:trPr>
          <w:trHeight w:val="244"/>
        </w:trPr>
        <w:tc>
          <w:tcPr>
            <w:tcW w:w="200" w:type="dxa"/>
            <w:vAlign w:val="bottom"/>
            <w:tcBorders>
              <w:left w:val="single" w:sz="8" w:color="53C072"/>
            </w:tcBorders>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Borders>
              <w:right w:val="single" w:sz="8" w:color="53C072"/>
            </w:tcBorders>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53C072"/>
            </w:tcBorders>
          </w:tcPr>
          <w:p>
            <w:pPr>
              <w:spacing w:after="0"/>
              <w:rPr>
                <w:sz w:val="21"/>
                <w:szCs w:val="21"/>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right w:val="single" w:sz="8" w:color="53C072"/>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53C072"/>
            </w:tcBorders>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Borders>
              <w:right w:val="single" w:sz="8" w:color="53C072"/>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0" w:type="dxa"/>
            <w:vAlign w:val="bottom"/>
            <w:tcBorders>
              <w:left w:val="single" w:sz="8" w:color="53C072"/>
            </w:tcBorders>
          </w:tcPr>
          <w:p>
            <w:pPr>
              <w:spacing w:after="0"/>
              <w:rPr>
                <w:sz w:val="22"/>
                <w:szCs w:val="22"/>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Financial</w:t>
            </w:r>
          </w:p>
        </w:tc>
        <w:tc>
          <w:tcPr>
            <w:tcW w:w="260" w:type="dxa"/>
            <w:vAlign w:val="bottom"/>
            <w:tcBorders>
              <w:right w:val="single" w:sz="8" w:color="53C072"/>
            </w:tcBorders>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53C072"/>
            </w:tcBorders>
          </w:tcPr>
          <w:p>
            <w:pPr>
              <w:spacing w:after="0"/>
              <w:rPr>
                <w:sz w:val="22"/>
                <w:szCs w:val="22"/>
                <w:color w:val="auto"/>
              </w:rPr>
            </w:pPr>
          </w:p>
        </w:tc>
        <w:tc>
          <w:tcPr>
            <w:tcW w:w="1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53C072"/>
            </w:tcBorders>
          </w:tcPr>
          <w:p>
            <w:pPr>
              <w:ind w:left="100"/>
              <w:spacing w:after="0"/>
              <w:rPr>
                <w:sz w:val="20"/>
                <w:szCs w:val="20"/>
                <w:color w:val="auto"/>
              </w:rPr>
            </w:pPr>
            <w:r>
              <w:rPr>
                <w:rFonts w:ascii="Arial" w:cs="Arial" w:eastAsia="Arial" w:hAnsi="Arial"/>
                <w:sz w:val="18"/>
                <w:szCs w:val="18"/>
                <w:color w:val="auto"/>
              </w:rPr>
              <w:t>$ (OI$)</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53C072"/>
            </w:tcBorders>
          </w:tcPr>
          <w:p>
            <w:pPr>
              <w:ind w:left="100"/>
              <w:spacing w:after="0"/>
              <w:rPr>
                <w:sz w:val="20"/>
                <w:szCs w:val="20"/>
                <w:color w:val="auto"/>
              </w:rPr>
            </w:pPr>
            <w:r>
              <w:rPr>
                <w:rFonts w:ascii="Arial" w:cs="Arial" w:eastAsia="Arial" w:hAnsi="Arial"/>
                <w:sz w:val="18"/>
                <w:szCs w:val="18"/>
                <w:color w:val="auto"/>
              </w:rPr>
              <w:t>​ 40%</w:t>
            </w:r>
          </w:p>
        </w:tc>
        <w:tc>
          <w:tcPr>
            <w:tcW w:w="140" w:type="dxa"/>
            <w:vAlign w:val="bottom"/>
            <w:tcBorders>
              <w:bottom w:val="single" w:sz="8" w:color="53C072"/>
              <w:right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53C072"/>
              <w:right w:val="single" w:sz="8" w:color="53C072"/>
            </w:tcBorders>
          </w:tcPr>
          <w:p>
            <w:pPr>
              <w:jc w:val="center"/>
              <w:ind w:right="13"/>
              <w:spacing w:after="0"/>
              <w:rPr>
                <w:sz w:val="20"/>
                <w:szCs w:val="20"/>
                <w:color w:val="auto"/>
              </w:rPr>
            </w:pPr>
            <w:r>
              <w:rPr>
                <w:rFonts w:ascii="Arial" w:cs="Arial" w:eastAsia="Arial" w:hAnsi="Arial"/>
                <w:sz w:val="18"/>
                <w:szCs w:val="18"/>
                <w:color w:val="auto"/>
                <w:w w:val="99"/>
              </w:rPr>
              <w:t>$1,000.5 M</w:t>
            </w:r>
          </w:p>
        </w:tc>
        <w:tc>
          <w:tcPr>
            <w:tcW w:w="0" w:type="dxa"/>
            <w:vAlign w:val="bottom"/>
          </w:tcPr>
          <w:p>
            <w:pPr>
              <w:spacing w:after="0"/>
              <w:rPr>
                <w:sz w:val="1"/>
                <w:szCs w:val="1"/>
                <w:color w:val="auto"/>
              </w:rPr>
            </w:pPr>
          </w:p>
        </w:tc>
      </w:tr>
      <w:tr>
        <w:trPr>
          <w:trHeight w:val="116"/>
        </w:trPr>
        <w:tc>
          <w:tcPr>
            <w:tcW w:w="200" w:type="dxa"/>
            <w:vAlign w:val="bottom"/>
            <w:tcBorders>
              <w:left w:val="single" w:sz="8" w:color="53C072"/>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260" w:type="dxa"/>
            <w:vAlign w:val="bottom"/>
            <w:tcBorders>
              <w:right w:val="single" w:sz="8" w:color="53C072"/>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right w:val="single" w:sz="8" w:color="53C072"/>
            </w:tcBorders>
          </w:tcPr>
          <w:p>
            <w:pPr>
              <w:spacing w:after="0"/>
              <w:rPr>
                <w:sz w:val="10"/>
                <w:szCs w:val="10"/>
                <w:color w:val="auto"/>
              </w:rPr>
            </w:pPr>
          </w:p>
        </w:tc>
        <w:tc>
          <w:tcPr>
            <w:tcW w:w="2440" w:type="dxa"/>
            <w:vAlign w:val="bottom"/>
            <w:gridSpan w:val="2"/>
            <w:vMerge w:val="restart"/>
          </w:tcPr>
          <w:p>
            <w:pPr>
              <w:ind w:left="40"/>
              <w:spacing w:after="0"/>
              <w:rPr>
                <w:sz w:val="20"/>
                <w:szCs w:val="20"/>
                <w:color w:val="auto"/>
              </w:rPr>
            </w:pPr>
            <w:r>
              <w:rPr>
                <w:rFonts w:ascii="Arial" w:cs="Arial" w:eastAsia="Arial" w:hAnsi="Arial"/>
                <w:sz w:val="18"/>
                <w:szCs w:val="18"/>
                <w:color w:val="auto"/>
              </w:rPr>
              <w:t>​Return on Working Capital %</w:t>
            </w:r>
          </w:p>
        </w:tc>
        <w:tc>
          <w:tcPr>
            <w:tcW w:w="140" w:type="dxa"/>
            <w:vAlign w:val="bottom"/>
            <w:tcBorders>
              <w:right w:val="single" w:sz="8" w:color="53C072"/>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auto"/>
              </w:rPr>
              <w:t>​ 40%</w:t>
            </w:r>
          </w:p>
        </w:tc>
        <w:tc>
          <w:tcPr>
            <w:tcW w:w="140" w:type="dxa"/>
            <w:vAlign w:val="bottom"/>
            <w:tcBorders>
              <w:right w:val="single" w:sz="8" w:color="53C072"/>
            </w:tcBorders>
            <w:vMerge w:val="restart"/>
          </w:tcPr>
          <w:p>
            <w:pPr>
              <w:ind w:left="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right w:val="single" w:sz="8" w:color="53C072"/>
            </w:tcBorders>
            <w:vMerge w:val="restart"/>
          </w:tcPr>
          <w:p>
            <w:pPr>
              <w:jc w:val="center"/>
              <w:spacing w:after="0"/>
              <w:rPr>
                <w:sz w:val="20"/>
                <w:szCs w:val="20"/>
                <w:color w:val="auto"/>
              </w:rPr>
            </w:pPr>
            <w:r>
              <w:rPr>
                <w:rFonts w:ascii="Arial" w:cs="Arial" w:eastAsia="Arial" w:hAnsi="Arial"/>
                <w:sz w:val="18"/>
                <w:szCs w:val="18"/>
                <w:color w:val="auto"/>
                <w:w w:val="98"/>
              </w:rPr>
              <w:t>20.10%</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Borders>
              <w:right w:val="single" w:sz="8" w:color="53C072"/>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44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0" w:type="dxa"/>
            <w:vAlign w:val="bottom"/>
            <w:tcBorders>
              <w:left w:val="single" w:sz="8" w:color="53C072"/>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260" w:type="dxa"/>
            <w:vAlign w:val="bottom"/>
            <w:tcBorders>
              <w:right w:val="single" w:sz="8" w:color="53C072"/>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53C072"/>
            </w:tcBorders>
          </w:tcPr>
          <w:p>
            <w:pPr>
              <w:spacing w:after="0"/>
              <w:rPr>
                <w:sz w:val="10"/>
                <w:szCs w:val="10"/>
                <w:color w:val="auto"/>
              </w:rPr>
            </w:pPr>
          </w:p>
        </w:tc>
        <w:tc>
          <w:tcPr>
            <w:tcW w:w="2440" w:type="dxa"/>
            <w:vAlign w:val="bottom"/>
            <w:gridSpan w:val="2"/>
            <w:vMerge w:val="restart"/>
          </w:tcPr>
          <w:p>
            <w:pPr>
              <w:ind w:left="80"/>
              <w:spacing w:after="0"/>
              <w:rPr>
                <w:sz w:val="20"/>
                <w:szCs w:val="20"/>
                <w:color w:val="auto"/>
              </w:rPr>
            </w:pPr>
            <w:r>
              <w:rPr>
                <w:rFonts w:ascii="Arial" w:cs="Arial" w:eastAsia="Arial" w:hAnsi="Arial"/>
                <w:sz w:val="18"/>
                <w:szCs w:val="18"/>
                <w:color w:val="auto"/>
              </w:rPr>
              <w:t>(ROWC)</w:t>
            </w:r>
          </w:p>
        </w:tc>
        <w:tc>
          <w:tcPr>
            <w:tcW w:w="140" w:type="dxa"/>
            <w:vAlign w:val="bottom"/>
            <w:tcBorders>
              <w:right w:val="single" w:sz="8" w:color="53C072"/>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53C072"/>
            </w:tcBorders>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Borders>
              <w:right w:val="single" w:sz="8" w:color="53C072"/>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Borders>
              <w:right w:val="single" w:sz="8" w:color="53C072"/>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53C072"/>
            </w:tcBorders>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Borders>
              <w:right w:val="single" w:sz="8" w:color="53C072"/>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53C072"/>
            </w:tcBorders>
          </w:tcPr>
          <w:p>
            <w:pPr>
              <w:spacing w:after="0"/>
              <w:rPr>
                <w:sz w:val="2"/>
                <w:szCs w:val="2"/>
                <w:color w:val="auto"/>
              </w:rPr>
            </w:pPr>
          </w:p>
        </w:tc>
        <w:tc>
          <w:tcPr>
            <w:tcW w:w="2440" w:type="dxa"/>
            <w:vAlign w:val="bottom"/>
            <w:tcBorders>
              <w:bottom w:val="single" w:sz="8" w:color="53C072"/>
            </w:tcBorders>
            <w:gridSpan w:val="2"/>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600" w:type="dxa"/>
            <w:vAlign w:val="bottom"/>
            <w:tcBorders>
              <w:bottom w:val="single" w:sz="8" w:color="53C072"/>
            </w:tcBorders>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44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0" w:type="dxa"/>
            <w:vAlign w:val="bottom"/>
            <w:tcBorders>
              <w:left w:val="single" w:sz="8" w:color="53C072"/>
              <w:bottom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53C072"/>
            </w:tcBorders>
          </w:tcPr>
          <w:p>
            <w:pPr>
              <w:spacing w:after="0"/>
              <w:rPr>
                <w:sz w:val="22"/>
                <w:szCs w:val="22"/>
                <w:color w:val="auto"/>
              </w:rPr>
            </w:pPr>
          </w:p>
        </w:tc>
        <w:tc>
          <w:tcPr>
            <w:tcW w:w="26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3C072"/>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Relative Market Share</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53C072"/>
            </w:tcBorders>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20%</w:t>
            </w:r>
          </w:p>
        </w:tc>
        <w:tc>
          <w:tcPr>
            <w:tcW w:w="140" w:type="dxa"/>
            <w:vAlign w:val="bottom"/>
            <w:tcBorders>
              <w:bottom w:val="single" w:sz="8" w:color="53C072"/>
              <w:right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53C072"/>
              <w:right w:val="single" w:sz="8" w:color="53C072"/>
            </w:tcBorders>
          </w:tcPr>
          <w:p>
            <w:pPr>
              <w:jc w:val="center"/>
              <w:spacing w:after="0"/>
              <w:rPr>
                <w:sz w:val="20"/>
                <w:szCs w:val="20"/>
                <w:color w:val="auto"/>
              </w:rPr>
            </w:pPr>
            <w:r>
              <w:rPr>
                <w:rFonts w:ascii="Arial" w:cs="Arial" w:eastAsia="Arial" w:hAnsi="Arial"/>
                <w:sz w:val="18"/>
                <w:szCs w:val="18"/>
                <w:color w:val="auto"/>
                <w:w w:val="99"/>
              </w:rPr>
              <w:t>+50 bps</w:t>
            </w:r>
          </w:p>
        </w:tc>
        <w:tc>
          <w:tcPr>
            <w:tcW w:w="0" w:type="dxa"/>
            <w:vAlign w:val="bottom"/>
          </w:tcPr>
          <w:p>
            <w:pPr>
              <w:spacing w:after="0"/>
              <w:rPr>
                <w:sz w:val="1"/>
                <w:szCs w:val="1"/>
                <w:color w:val="auto"/>
              </w:rPr>
            </w:pPr>
          </w:p>
        </w:tc>
      </w:tr>
      <w:tr>
        <w:trPr>
          <w:trHeight w:val="224"/>
        </w:trPr>
        <w:tc>
          <w:tcPr>
            <w:tcW w:w="200" w:type="dxa"/>
            <w:vAlign w:val="bottom"/>
            <w:tcBorders>
              <w:left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Non-Financial</w:t>
            </w:r>
          </w:p>
        </w:tc>
        <w:tc>
          <w:tcPr>
            <w:tcW w:w="26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40"/>
              <w:spacing w:after="0"/>
              <w:rPr>
                <w:sz w:val="20"/>
                <w:szCs w:val="20"/>
                <w:color w:val="auto"/>
              </w:rPr>
            </w:pPr>
            <w:r>
              <w:rPr>
                <w:rFonts w:ascii="Arial" w:cs="Arial" w:eastAsia="Arial" w:hAnsi="Arial"/>
                <w:sz w:val="18"/>
                <w:szCs w:val="18"/>
                <w:color w:val="auto"/>
              </w:rPr>
              <w:t>​Individual Goals</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ind w:left="10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2540" w:type="dxa"/>
            <w:vAlign w:val="bottom"/>
            <w:tcBorders>
              <w:right w:val="single" w:sz="8" w:color="53C072"/>
            </w:tcBorders>
            <w:gridSpan w:val="2"/>
          </w:tcPr>
          <w:p>
            <w:pPr>
              <w:ind w:left="40"/>
              <w:spacing w:after="0"/>
              <w:rPr>
                <w:sz w:val="20"/>
                <w:szCs w:val="20"/>
                <w:color w:val="auto"/>
              </w:rPr>
            </w:pPr>
            <w:r>
              <w:rPr>
                <w:rFonts w:ascii="Arial" w:cs="Arial" w:eastAsia="Arial" w:hAnsi="Arial"/>
                <w:sz w:val="18"/>
                <w:szCs w:val="18"/>
                <w:color w:val="auto"/>
              </w:rPr>
              <w:t>​ Individual contribution to the</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Borders>
              <w:right w:val="single" w:sz="8" w:color="53C072"/>
            </w:tcBorders>
            <w:vMerge w:val="restart"/>
          </w:tcPr>
          <w:p>
            <w:pPr>
              <w:jc w:val="center"/>
              <w:ind w:right="53"/>
              <w:spacing w:after="0"/>
              <w:rPr>
                <w:sz w:val="20"/>
                <w:szCs w:val="20"/>
                <w:color w:val="auto"/>
              </w:rPr>
            </w:pPr>
            <w:r>
              <w:rPr>
                <w:rFonts w:ascii="Arial" w:cs="Arial" w:eastAsia="Arial" w:hAnsi="Arial"/>
                <w:sz w:val="18"/>
                <w:szCs w:val="18"/>
                <w:color w:val="auto"/>
                <w:w w:val="99"/>
              </w:rPr>
              <w:t>Company’s Diversity and</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0" w:type="dxa"/>
            <w:vAlign w:val="bottom"/>
            <w:tcBorders>
              <w:left w:val="single" w:sz="8" w:color="53C072"/>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260" w:type="dxa"/>
            <w:vAlign w:val="bottom"/>
            <w:tcBorders>
              <w:right w:val="single" w:sz="8" w:color="53C072"/>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53C072"/>
            </w:tcBorders>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Borders>
              <w:right w:val="single" w:sz="8" w:color="53C072"/>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53C072"/>
            </w:tcBorders>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Borders>
              <w:right w:val="single" w:sz="8" w:color="53C072"/>
            </w:tcBorders>
            <w:vMerge w:val="restart"/>
          </w:tcPr>
          <w:p>
            <w:pPr>
              <w:jc w:val="center"/>
              <w:ind w:right="13"/>
              <w:spacing w:after="0"/>
              <w:rPr>
                <w:sz w:val="20"/>
                <w:szCs w:val="20"/>
                <w:color w:val="auto"/>
              </w:rPr>
            </w:pPr>
            <w:r>
              <w:rPr>
                <w:rFonts w:ascii="Arial" w:cs="Arial" w:eastAsia="Arial" w:hAnsi="Arial"/>
                <w:sz w:val="18"/>
                <w:szCs w:val="18"/>
                <w:color w:val="auto"/>
                <w:w w:val="99"/>
              </w:rPr>
              <w:t>Employee Engagement goals</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0" w:type="dxa"/>
            <w:vAlign w:val="bottom"/>
            <w:tcBorders>
              <w:left w:val="single" w:sz="8" w:color="53C072"/>
              <w:bottom w:val="single" w:sz="8" w:color="53C072"/>
            </w:tcBorders>
          </w:tcPr>
          <w:p>
            <w:pPr>
              <w:spacing w:after="0"/>
              <w:rPr>
                <w:sz w:val="3"/>
                <w:szCs w:val="3"/>
                <w:color w:val="auto"/>
              </w:rPr>
            </w:pPr>
          </w:p>
        </w:tc>
        <w:tc>
          <w:tcPr>
            <w:tcW w:w="1340" w:type="dxa"/>
            <w:vAlign w:val="bottom"/>
            <w:tcBorders>
              <w:bottom w:val="single" w:sz="8" w:color="53C072"/>
            </w:tcBorders>
          </w:tcPr>
          <w:p>
            <w:pPr>
              <w:spacing w:after="0"/>
              <w:rPr>
                <w:sz w:val="3"/>
                <w:szCs w:val="3"/>
                <w:color w:val="auto"/>
              </w:rPr>
            </w:pPr>
          </w:p>
        </w:tc>
        <w:tc>
          <w:tcPr>
            <w:tcW w:w="260" w:type="dxa"/>
            <w:vAlign w:val="bottom"/>
            <w:tcBorders>
              <w:bottom w:val="single" w:sz="8" w:color="53C072"/>
              <w:right w:val="single" w:sz="8" w:color="53C072"/>
            </w:tcBorders>
          </w:tcPr>
          <w:p>
            <w:pPr>
              <w:spacing w:after="0"/>
              <w:rPr>
                <w:sz w:val="3"/>
                <w:szCs w:val="3"/>
                <w:color w:val="auto"/>
              </w:rPr>
            </w:pPr>
          </w:p>
        </w:tc>
        <w:tc>
          <w:tcPr>
            <w:tcW w:w="220" w:type="dxa"/>
            <w:vAlign w:val="bottom"/>
            <w:tcBorders>
              <w:bottom w:val="single" w:sz="8" w:color="53C072"/>
            </w:tcBorders>
          </w:tcPr>
          <w:p>
            <w:pPr>
              <w:spacing w:after="0"/>
              <w:rPr>
                <w:sz w:val="3"/>
                <w:szCs w:val="3"/>
                <w:color w:val="auto"/>
              </w:rPr>
            </w:pPr>
          </w:p>
        </w:tc>
        <w:tc>
          <w:tcPr>
            <w:tcW w:w="540" w:type="dxa"/>
            <w:vAlign w:val="bottom"/>
            <w:tcBorders>
              <w:bottom w:val="single" w:sz="8" w:color="53C072"/>
            </w:tcBorders>
          </w:tcPr>
          <w:p>
            <w:pPr>
              <w:spacing w:after="0"/>
              <w:rPr>
                <w:sz w:val="3"/>
                <w:szCs w:val="3"/>
                <w:color w:val="auto"/>
              </w:rPr>
            </w:pPr>
          </w:p>
        </w:tc>
        <w:tc>
          <w:tcPr>
            <w:tcW w:w="160" w:type="dxa"/>
            <w:vAlign w:val="bottom"/>
            <w:tcBorders>
              <w:bottom w:val="single" w:sz="8" w:color="53C072"/>
              <w:right w:val="single" w:sz="8" w:color="53C072"/>
            </w:tcBorders>
          </w:tcPr>
          <w:p>
            <w:pPr>
              <w:spacing w:after="0"/>
              <w:rPr>
                <w:sz w:val="3"/>
                <w:szCs w:val="3"/>
                <w:color w:val="auto"/>
              </w:rPr>
            </w:pPr>
          </w:p>
        </w:tc>
        <w:tc>
          <w:tcPr>
            <w:tcW w:w="160" w:type="dxa"/>
            <w:vAlign w:val="bottom"/>
            <w:tcBorders>
              <w:bottom w:val="single" w:sz="8" w:color="53C072"/>
            </w:tcBorders>
          </w:tcPr>
          <w:p>
            <w:pPr>
              <w:spacing w:after="0"/>
              <w:rPr>
                <w:sz w:val="3"/>
                <w:szCs w:val="3"/>
                <w:color w:val="auto"/>
              </w:rPr>
            </w:pPr>
          </w:p>
        </w:tc>
        <w:tc>
          <w:tcPr>
            <w:tcW w:w="2280" w:type="dxa"/>
            <w:vAlign w:val="bottom"/>
            <w:tcBorders>
              <w:bottom w:val="single" w:sz="8" w:color="53C072"/>
            </w:tcBorders>
          </w:tcPr>
          <w:p>
            <w:pPr>
              <w:spacing w:after="0"/>
              <w:rPr>
                <w:sz w:val="3"/>
                <w:szCs w:val="3"/>
                <w:color w:val="auto"/>
              </w:rPr>
            </w:pPr>
          </w:p>
        </w:tc>
        <w:tc>
          <w:tcPr>
            <w:tcW w:w="140" w:type="dxa"/>
            <w:vAlign w:val="bottom"/>
            <w:tcBorders>
              <w:bottom w:val="single" w:sz="8" w:color="53C072"/>
              <w:right w:val="single" w:sz="8" w:color="53C072"/>
            </w:tcBorders>
          </w:tcPr>
          <w:p>
            <w:pPr>
              <w:spacing w:after="0"/>
              <w:rPr>
                <w:sz w:val="3"/>
                <w:szCs w:val="3"/>
                <w:color w:val="auto"/>
              </w:rPr>
            </w:pPr>
          </w:p>
        </w:tc>
        <w:tc>
          <w:tcPr>
            <w:tcW w:w="180" w:type="dxa"/>
            <w:vAlign w:val="bottom"/>
            <w:tcBorders>
              <w:bottom w:val="single" w:sz="8" w:color="53C072"/>
            </w:tcBorders>
          </w:tcPr>
          <w:p>
            <w:pPr>
              <w:spacing w:after="0"/>
              <w:rPr>
                <w:sz w:val="3"/>
                <w:szCs w:val="3"/>
                <w:color w:val="auto"/>
              </w:rPr>
            </w:pPr>
          </w:p>
        </w:tc>
        <w:tc>
          <w:tcPr>
            <w:tcW w:w="600" w:type="dxa"/>
            <w:vAlign w:val="bottom"/>
            <w:tcBorders>
              <w:bottom w:val="single" w:sz="8" w:color="53C072"/>
            </w:tcBorders>
          </w:tcPr>
          <w:p>
            <w:pPr>
              <w:spacing w:after="0"/>
              <w:rPr>
                <w:sz w:val="3"/>
                <w:szCs w:val="3"/>
                <w:color w:val="auto"/>
              </w:rPr>
            </w:pPr>
          </w:p>
        </w:tc>
        <w:tc>
          <w:tcPr>
            <w:tcW w:w="140" w:type="dxa"/>
            <w:vAlign w:val="bottom"/>
            <w:tcBorders>
              <w:bottom w:val="single" w:sz="8" w:color="53C072"/>
              <w:right w:val="single" w:sz="8" w:color="53C072"/>
            </w:tcBorders>
          </w:tcPr>
          <w:p>
            <w:pPr>
              <w:spacing w:after="0"/>
              <w:rPr>
                <w:sz w:val="3"/>
                <w:szCs w:val="3"/>
                <w:color w:val="auto"/>
              </w:rPr>
            </w:pPr>
          </w:p>
        </w:tc>
        <w:tc>
          <w:tcPr>
            <w:tcW w:w="100" w:type="dxa"/>
            <w:vAlign w:val="bottom"/>
            <w:tcBorders>
              <w:bottom w:val="single" w:sz="8" w:color="53C072"/>
            </w:tcBorders>
          </w:tcPr>
          <w:p>
            <w:pPr>
              <w:spacing w:after="0"/>
              <w:rPr>
                <w:sz w:val="3"/>
                <w:szCs w:val="3"/>
                <w:color w:val="auto"/>
              </w:rPr>
            </w:pPr>
          </w:p>
        </w:tc>
        <w:tc>
          <w:tcPr>
            <w:tcW w:w="244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-1285240</wp:posOffset>
            </wp:positionV>
            <wp:extent cx="5537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79" w:lineRule="exact"/>
        <w:rPr>
          <w:sz w:val="20"/>
          <w:szCs w:val="20"/>
          <w:color w:val="auto"/>
        </w:rPr>
      </w:pPr>
    </w:p>
    <w:p>
      <w:pPr>
        <w:ind w:left="1000" w:right="599"/>
        <w:spacing w:after="0" w:line="261" w:lineRule="auto"/>
        <w:rPr>
          <w:sz w:val="20"/>
          <w:szCs w:val="20"/>
          <w:color w:val="auto"/>
        </w:rPr>
      </w:pPr>
      <w:r>
        <w:rPr>
          <w:rFonts w:ascii="Arial" w:cs="Arial" w:eastAsia="Arial" w:hAnsi="Arial"/>
          <w:sz w:val="18"/>
          <w:szCs w:val="18"/>
          <w:b w:val="1"/>
          <w:bCs w:val="1"/>
          <w:color w:val="53C072"/>
        </w:rPr>
        <w:t xml:space="preserve">Target Annual Cash Incentive. </w:t>
      </w:r>
      <w:r>
        <w:rPr>
          <w:rFonts w:ascii="Arial" w:cs="Arial" w:eastAsia="Arial" w:hAnsi="Arial"/>
          <w:sz w:val="18"/>
          <w:szCs w:val="18"/>
          <w:color w:val="000000"/>
        </w:rPr>
        <w:t>The Committee sets each NEO’s target incentive opportunity based on</w:t>
      </w:r>
      <w:r>
        <w:rPr>
          <w:rFonts w:ascii="Arial" w:cs="Arial" w:eastAsia="Arial" w:hAnsi="Arial"/>
          <w:sz w:val="18"/>
          <w:szCs w:val="18"/>
          <w:b w:val="1"/>
          <w:bCs w:val="1"/>
          <w:color w:val="53C072"/>
        </w:rPr>
        <w:t xml:space="preserve"> </w:t>
      </w:r>
      <w:r>
        <w:rPr>
          <w:rFonts w:ascii="Arial" w:cs="Arial" w:eastAsia="Arial" w:hAnsi="Arial"/>
          <w:sz w:val="18"/>
          <w:szCs w:val="18"/>
          <w:color w:val="000000"/>
        </w:rPr>
        <w:t>market competitive data, internal equity, and other factors. The annualized target annual cash incentive compensation for fiscal 2022 and fiscal 2023 for the NEOs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100330</wp:posOffset>
            </wp:positionV>
            <wp:extent cx="555498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FEFEFE"/>
        </w:rPr>
        <w:t>NEO</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​Gallagher</w:t>
      </w:r>
    </w:p>
    <w:p>
      <w:pPr>
        <w:ind w:left="1040"/>
        <w:spacing w:after="0" w:line="200"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Jacobson</w:t>
      </w:r>
      <w:r>
        <w:rPr>
          <w:rFonts w:ascii="Arial" w:cs="Arial" w:eastAsia="Arial" w:hAnsi="Arial"/>
          <w:sz w:val="23"/>
          <w:szCs w:val="23"/>
          <w:color w:val="auto"/>
          <w:vertAlign w:val="superscript"/>
        </w:rPr>
        <w:t>(1)</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​Arnold</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​McCoy</w:t>
      </w:r>
    </w:p>
    <w:p>
      <w:pPr>
        <w:ind w:left="1040"/>
        <w:spacing w:after="0" w:line="203" w:lineRule="auto"/>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Obregon-Jimenez</w:t>
      </w:r>
      <w:r>
        <w:rPr>
          <w:rFonts w:ascii="Arial" w:cs="Arial" w:eastAsia="Arial" w:hAnsi="Arial"/>
          <w:sz w:val="22"/>
          <w:szCs w:val="22"/>
          <w:color w:val="auto"/>
          <w:vertAlign w:val="superscript"/>
        </w:rPr>
        <w:t>(2)</w:t>
      </w:r>
    </w:p>
    <w:p>
      <w:pPr>
        <w:ind w:left="1040"/>
        <w:spacing w:after="0" w:line="191"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Liguori</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FEFEFE"/>
              </w:rPr>
              <w:t>FY 2022</w:t>
            </w:r>
          </w:p>
        </w:tc>
        <w:tc>
          <w:tcPr>
            <w:tcW w:w="3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FEFEFE"/>
              </w:rPr>
              <w:t>FY 2023</w:t>
            </w: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FEFEFE"/>
              </w:rPr>
              <w:t>% Change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FEFEFE"/>
              </w:rPr>
              <w:t>% Base Salary</w:t>
            </w:r>
          </w:p>
        </w:tc>
      </w:tr>
      <w:tr>
        <w:trPr>
          <w:trHeight w:val="285"/>
        </w:trPr>
        <w:tc>
          <w:tcPr>
            <w:tcW w:w="1040" w:type="dxa"/>
            <w:vAlign w:val="bottom"/>
            <w:gridSpan w:val="2"/>
          </w:tcPr>
          <w:p>
            <w:pPr>
              <w:jc w:val="right"/>
              <w:ind w:right="33"/>
              <w:spacing w:after="0"/>
              <w:rPr>
                <w:sz w:val="20"/>
                <w:szCs w:val="20"/>
                <w:color w:val="auto"/>
              </w:rPr>
            </w:pPr>
            <w:r>
              <w:rPr>
                <w:rFonts w:ascii="Arial" w:cs="Arial" w:eastAsia="Arial" w:hAnsi="Arial"/>
                <w:sz w:val="18"/>
                <w:szCs w:val="18"/>
                <w:color w:val="auto"/>
                <w:w w:val="99"/>
              </w:rPr>
              <w:t>​$1,650,000</w:t>
            </w:r>
          </w:p>
        </w:tc>
        <w:tc>
          <w:tcPr>
            <w:tcW w:w="1140" w:type="dxa"/>
            <w:vAlign w:val="bottom"/>
            <w:gridSpan w:val="2"/>
          </w:tcPr>
          <w:p>
            <w:pPr>
              <w:jc w:val="right"/>
              <w:ind w:right="13"/>
              <w:spacing w:after="0"/>
              <w:rPr>
                <w:sz w:val="20"/>
                <w:szCs w:val="20"/>
                <w:color w:val="auto"/>
              </w:rPr>
            </w:pPr>
            <w:r>
              <w:rPr>
                <w:rFonts w:ascii="Arial" w:cs="Arial" w:eastAsia="Arial" w:hAnsi="Arial"/>
                <w:sz w:val="18"/>
                <w:szCs w:val="18"/>
                <w:color w:val="auto"/>
              </w:rPr>
              <w:t>​$1,725,000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170,626</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442,708</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159.5%</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350,000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393,750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350,000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412,500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195,000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77"/>
        </w:trPr>
        <w:tc>
          <w:tcPr>
            <w:tcW w:w="200" w:type="dxa"/>
            <w:vAlign w:val="bottom"/>
          </w:tcPr>
          <w:p>
            <w:pPr>
              <w:spacing w:after="0" w:line="376" w:lineRule="exact"/>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585,000</w:t>
            </w:r>
          </w:p>
        </w:tc>
        <w:tc>
          <w:tcPr>
            <w:tcW w:w="300" w:type="dxa"/>
            <w:vAlign w:val="bottom"/>
          </w:tcPr>
          <w:p>
            <w:pPr>
              <w:ind w:left="120"/>
              <w:spacing w:after="0" w:line="376" w:lineRule="exact"/>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438,750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-941705</wp:posOffset>
            </wp:positionV>
            <wp:extent cx="555498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54980" cy="179705"/>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-598805</wp:posOffset>
            </wp:positionV>
            <wp:extent cx="55549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-255905</wp:posOffset>
            </wp:positionV>
            <wp:extent cx="555498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54980"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00" w:space="720"/>
            <w:col w:w="4459"/>
          </w:cols>
          <w:pgMar w:left="580" w:top="90" w:right="1440" w:bottom="1440" w:gutter="0" w:footer="0" w:header="0"/>
          <w:type w:val="continuous"/>
        </w:sectPr>
      </w:pPr>
    </w:p>
    <w:p>
      <w:pPr>
        <w:ind w:left="1720" w:right="319" w:hanging="730"/>
        <w:spacing w:after="0" w:line="254" w:lineRule="auto"/>
        <w:tabs>
          <w:tab w:leader="none" w:pos="1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Jacobson, the target for fiscal 2023 reflects (1) the annual target of $179,166 prorated for the period in fiscal 2023 during which he served as Controller, which was $31,994; and (2) the annual target of $500,000 prorated for the period in fiscal 2023 during which he served as CFO, which was $410,714.</w:t>
      </w:r>
    </w:p>
    <w:p>
      <w:pPr>
        <w:spacing w:after="0" w:line="110" w:lineRule="exact"/>
        <w:rPr>
          <w:rFonts w:ascii="Arial" w:cs="Arial" w:eastAsia="Arial" w:hAnsi="Arial"/>
          <w:sz w:val="18"/>
          <w:szCs w:val="18"/>
          <w:color w:val="auto"/>
        </w:rPr>
      </w:pPr>
    </w:p>
    <w:p>
      <w:pPr>
        <w:ind w:left="1720" w:right="419" w:hanging="730"/>
        <w:spacing w:after="0" w:line="275" w:lineRule="auto"/>
        <w:tabs>
          <w:tab w:leader="none" w:pos="1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Obregon-Jimenez, the target for fiscal 2023 reflects the annual target of $390,000 prorated for the period in fiscal 2023 during which she was employed by the Company.</w:t>
      </w:r>
    </w:p>
    <w:p>
      <w:pPr>
        <w:spacing w:after="0" w:line="92" w:lineRule="exact"/>
        <w:rPr>
          <w:rFonts w:ascii="Arial" w:cs="Arial" w:eastAsia="Arial" w:hAnsi="Arial"/>
          <w:sz w:val="18"/>
          <w:szCs w:val="18"/>
          <w:color w:val="auto"/>
        </w:rPr>
      </w:pPr>
    </w:p>
    <w:p>
      <w:pPr>
        <w:ind w:left="1720" w:right="279" w:hanging="730"/>
        <w:spacing w:after="0" w:line="263" w:lineRule="auto"/>
        <w:tabs>
          <w:tab w:leader="none" w:pos="1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Liguori, the target for fiscal 2023 reflects the annual target of $585,000 prorated for the period in fiscal 2023 during which he was employed by the Company, prior to his departure on March 31, 2023.</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46     </w:t>
      </w:r>
      <w:r>
        <w:rPr>
          <w:sz w:val="1"/>
          <w:szCs w:val="1"/>
          <w:color w:val="auto"/>
        </w:rPr>
        <w:drawing>
          <wp:inline distT="0" distB="0" distL="0" distR="0">
            <wp:extent cx="1242695"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b w:val="1"/>
          <w:bCs w:val="1"/>
          <w:color w:val="53C072"/>
        </w:rPr>
        <w:t xml:space="preserve">Financial Performance Metrics. </w:t>
      </w:r>
      <w:r>
        <w:rPr>
          <w:rFonts w:ascii="Arial" w:cs="Arial" w:eastAsia="Arial" w:hAnsi="Arial"/>
          <w:sz w:val="18"/>
          <w:szCs w:val="18"/>
          <w:color w:val="000000"/>
        </w:rPr>
        <w:t>For NEOs, 80% of their target annual cash incentive compensation was</w:t>
      </w:r>
      <w:r>
        <w:rPr>
          <w:rFonts w:ascii="Arial" w:cs="Arial" w:eastAsia="Arial" w:hAnsi="Arial"/>
          <w:sz w:val="18"/>
          <w:szCs w:val="18"/>
          <w:b w:val="1"/>
          <w:bCs w:val="1"/>
          <w:color w:val="53C072"/>
        </w:rPr>
        <w:t xml:space="preserve"> </w:t>
      </w:r>
      <w:r>
        <w:rPr>
          <w:rFonts w:ascii="Arial" w:cs="Arial" w:eastAsia="Arial" w:hAnsi="Arial"/>
          <w:sz w:val="18"/>
          <w:szCs w:val="18"/>
          <w:color w:val="000000"/>
        </w:rPr>
        <w:t>tied to the achievement of financial performance goals. Such goals are reviewed in conjunction with the Company’s budget for the upcoming fiscal year. When determining the goals, the Board seeks to ensure that they are fair, challenging, and forward-looking, without encouraging excessive risk-taking. Additionally, when determining the fiscal 2023 budget for executive compensation, the Board considered the Company’s results in fiscal 2022, projected growth, and the operating environment as projected by industry analysts. At its August 30, 2022 meeting, the Committee or the Board, as appropriate, finalized the financial performance goals and the target cash incentive compensation relating to such financial performance goals.</w:t>
      </w:r>
    </w:p>
    <w:p>
      <w:pPr>
        <w:spacing w:after="0" w:line="1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Financial performance goals were based on the percentage achievement of the Company’s fiscal 2023:</w:t>
      </w:r>
    </w:p>
    <w:p>
      <w:pPr>
        <w:spacing w:after="0" w:line="21" w:lineRule="exact"/>
        <w:rPr>
          <w:sz w:val="20"/>
          <w:szCs w:val="20"/>
          <w:color w:val="auto"/>
        </w:rPr>
      </w:pPr>
    </w:p>
    <w:p>
      <w:pPr>
        <w:ind w:left="1000" w:right="219" w:hanging="10"/>
        <w:spacing w:after="0" w:line="254" w:lineRule="auto"/>
        <w:tabs>
          <w:tab w:leader="none" w:pos="12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Adjusted Operating Income Dollars (“OI$)”), (2) Return on Working Capital (“ROWC”) and (3) Relative Market Share. These goals reinforced the focus on profitable growth by rewarding growth in operating income while maintaining an appropriate amount of sensitivity to the developments in gross margin and efficiency in the use of working capital. For purposes of the fiscal 2023 awards, definitions are as follows:</w:t>
      </w:r>
    </w:p>
    <w:p>
      <w:pPr>
        <w:spacing w:after="0" w:line="97" w:lineRule="exact"/>
        <w:rPr>
          <w:rFonts w:ascii="Arial" w:cs="Arial" w:eastAsia="Arial" w:hAnsi="Arial"/>
          <w:sz w:val="18"/>
          <w:szCs w:val="18"/>
          <w:color w:val="auto"/>
        </w:rPr>
      </w:pPr>
    </w:p>
    <w:p>
      <w:pPr>
        <w:ind w:left="1980" w:right="259" w:hanging="270"/>
        <w:spacing w:after="0" w:line="263" w:lineRule="auto"/>
        <w:tabs>
          <w:tab w:leader="none" w:pos="1980" w:val="left"/>
        </w:tabs>
        <w:numPr>
          <w:ilvl w:val="1"/>
          <w:numId w:val="57"/>
        </w:numPr>
        <w:rPr>
          <w:rFonts w:ascii="Arial" w:cs="Arial" w:eastAsia="Arial" w:hAnsi="Arial"/>
          <w:sz w:val="18"/>
          <w:szCs w:val="18"/>
          <w:color w:val="53C072"/>
        </w:rPr>
      </w:pPr>
      <w:r>
        <w:rPr>
          <w:rFonts w:ascii="Arial" w:cs="Arial" w:eastAsia="Arial" w:hAnsi="Arial"/>
          <w:sz w:val="18"/>
          <w:szCs w:val="18"/>
          <w:color w:val="auto"/>
        </w:rPr>
        <w:t>ROWC is defined as adjusted operating income divided by the quarterly average of working capital. Working capital is defined as total accounts receivable plus net inventories less accounts payable.</w:t>
      </w:r>
    </w:p>
    <w:p>
      <w:pPr>
        <w:spacing w:after="0" w:line="75" w:lineRule="exact"/>
        <w:rPr>
          <w:rFonts w:ascii="Arial" w:cs="Arial" w:eastAsia="Arial" w:hAnsi="Arial"/>
          <w:sz w:val="18"/>
          <w:szCs w:val="18"/>
          <w:color w:val="53C072"/>
        </w:rPr>
      </w:pPr>
    </w:p>
    <w:p>
      <w:pPr>
        <w:ind w:left="1980" w:right="239" w:hanging="270"/>
        <w:spacing w:after="0" w:line="258" w:lineRule="auto"/>
        <w:tabs>
          <w:tab w:leader="none" w:pos="1980" w:val="left"/>
        </w:tabs>
        <w:numPr>
          <w:ilvl w:val="1"/>
          <w:numId w:val="57"/>
        </w:numPr>
        <w:rPr>
          <w:rFonts w:ascii="Arial" w:cs="Arial" w:eastAsia="Arial" w:hAnsi="Arial"/>
          <w:sz w:val="18"/>
          <w:szCs w:val="18"/>
          <w:color w:val="53C072"/>
        </w:rPr>
      </w:pPr>
      <w:r>
        <w:rPr>
          <w:rFonts w:ascii="Arial" w:cs="Arial" w:eastAsia="Arial" w:hAnsi="Arial"/>
          <w:sz w:val="18"/>
          <w:szCs w:val="18"/>
          <w:color w:val="auto"/>
        </w:rPr>
        <w:t>Relative market share measures the Company’s ability to increase market share against its main competitor in its Core business. It is defined as the relative organic sales growth in constant currency of the Company as compared to Arrow Electronics’ Components segment (“ARWC”) for fiscal 2023.</w:t>
      </w:r>
    </w:p>
    <w:p>
      <w:pPr>
        <w:spacing w:after="0" w:line="109" w:lineRule="exact"/>
        <w:rPr>
          <w:sz w:val="20"/>
          <w:szCs w:val="20"/>
          <w:color w:val="auto"/>
        </w:rPr>
      </w:pPr>
    </w:p>
    <w:p>
      <w:pPr>
        <w:ind w:left="1000" w:right="159"/>
        <w:spacing w:after="0" w:line="263"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for such measures if actual performance was less than 80% of the financial targets.</w:t>
      </w:r>
    </w:p>
    <w:p>
      <w:pPr>
        <w:spacing w:after="0" w:line="106" w:lineRule="exact"/>
        <w:rPr>
          <w:sz w:val="20"/>
          <w:szCs w:val="20"/>
          <w:color w:val="auto"/>
        </w:rPr>
      </w:pPr>
    </w:p>
    <w:p>
      <w:pPr>
        <w:ind w:left="1000" w:right="399"/>
        <w:spacing w:after="0" w:line="287" w:lineRule="auto"/>
        <w:rPr>
          <w:sz w:val="20"/>
          <w:szCs w:val="20"/>
          <w:color w:val="auto"/>
        </w:rPr>
      </w:pPr>
      <w:r>
        <w:rPr>
          <w:rFonts w:ascii="Arial" w:cs="Arial" w:eastAsia="Arial" w:hAnsi="Arial"/>
          <w:sz w:val="18"/>
          <w:szCs w:val="18"/>
          <w:b w:val="1"/>
          <w:bCs w:val="1"/>
          <w:color w:val="53C072"/>
        </w:rPr>
        <w:t xml:space="preserve">Non-Financial Performance Metrics. </w:t>
      </w:r>
      <w:r>
        <w:rPr>
          <w:rFonts w:ascii="Arial" w:cs="Arial" w:eastAsia="Arial" w:hAnsi="Arial"/>
          <w:sz w:val="18"/>
          <w:szCs w:val="18"/>
          <w:color w:val="000000"/>
        </w:rPr>
        <w:t>For NEOs, 20% of their target annual cash incentive compensation</w:t>
      </w:r>
      <w:r>
        <w:rPr>
          <w:rFonts w:ascii="Arial" w:cs="Arial" w:eastAsia="Arial" w:hAnsi="Arial"/>
          <w:sz w:val="18"/>
          <w:szCs w:val="18"/>
          <w:b w:val="1"/>
          <w:bCs w:val="1"/>
          <w:color w:val="53C072"/>
        </w:rPr>
        <w:t xml:space="preserve"> </w:t>
      </w:r>
      <w:r>
        <w:rPr>
          <w:rFonts w:ascii="Arial" w:cs="Arial" w:eastAsia="Arial" w:hAnsi="Arial"/>
          <w:sz w:val="18"/>
          <w:szCs w:val="18"/>
          <w:color w:val="000000"/>
        </w:rPr>
        <w:t>was tied to the individual achievement of non-financial performance goals regarding:</w:t>
      </w:r>
    </w:p>
    <w:p>
      <w:pPr>
        <w:spacing w:after="0" w:line="55" w:lineRule="exact"/>
        <w:rPr>
          <w:sz w:val="20"/>
          <w:szCs w:val="20"/>
          <w:color w:val="auto"/>
        </w:rPr>
      </w:pPr>
    </w:p>
    <w:p>
      <w:pPr>
        <w:ind w:left="1980" w:hanging="270"/>
        <w:spacing w:after="0"/>
        <w:tabs>
          <w:tab w:leader="none" w:pos="1980" w:val="left"/>
        </w:tabs>
        <w:numPr>
          <w:ilvl w:val="0"/>
          <w:numId w:val="58"/>
        </w:numPr>
        <w:rPr>
          <w:rFonts w:ascii="Arial" w:cs="Arial" w:eastAsia="Arial" w:hAnsi="Arial"/>
          <w:sz w:val="18"/>
          <w:szCs w:val="18"/>
          <w:color w:val="53C072"/>
        </w:rPr>
      </w:pPr>
      <w:r>
        <w:rPr>
          <w:rFonts w:ascii="Arial" w:cs="Arial" w:eastAsia="Arial" w:hAnsi="Arial"/>
          <w:sz w:val="18"/>
          <w:szCs w:val="18"/>
          <w:color w:val="auto"/>
        </w:rPr>
        <w:t>Talent Acquisition</w:t>
      </w:r>
    </w:p>
    <w:p>
      <w:pPr>
        <w:spacing w:after="0" w:line="130" w:lineRule="exact"/>
        <w:rPr>
          <w:rFonts w:ascii="Arial" w:cs="Arial" w:eastAsia="Arial" w:hAnsi="Arial"/>
          <w:sz w:val="18"/>
          <w:szCs w:val="18"/>
          <w:color w:val="53C072"/>
        </w:rPr>
      </w:pPr>
    </w:p>
    <w:p>
      <w:pPr>
        <w:ind w:left="1980" w:hanging="270"/>
        <w:spacing w:after="0"/>
        <w:tabs>
          <w:tab w:leader="none" w:pos="1980" w:val="left"/>
        </w:tabs>
        <w:numPr>
          <w:ilvl w:val="0"/>
          <w:numId w:val="58"/>
        </w:numPr>
        <w:rPr>
          <w:rFonts w:ascii="Arial" w:cs="Arial" w:eastAsia="Arial" w:hAnsi="Arial"/>
          <w:sz w:val="18"/>
          <w:szCs w:val="18"/>
          <w:color w:val="53C072"/>
        </w:rPr>
      </w:pPr>
      <w:r>
        <w:rPr>
          <w:rFonts w:ascii="Arial" w:cs="Arial" w:eastAsia="Arial" w:hAnsi="Arial"/>
          <w:sz w:val="18"/>
          <w:szCs w:val="18"/>
          <w:color w:val="auto"/>
        </w:rPr>
        <w:t>Employee Engagement</w:t>
      </w:r>
    </w:p>
    <w:p>
      <w:pPr>
        <w:spacing w:after="0" w:line="117" w:lineRule="exact"/>
        <w:rPr>
          <w:rFonts w:ascii="Arial" w:cs="Arial" w:eastAsia="Arial" w:hAnsi="Arial"/>
          <w:sz w:val="18"/>
          <w:szCs w:val="18"/>
          <w:color w:val="53C072"/>
        </w:rPr>
      </w:pPr>
    </w:p>
    <w:p>
      <w:pPr>
        <w:ind w:left="1980" w:hanging="270"/>
        <w:spacing w:after="0"/>
        <w:tabs>
          <w:tab w:leader="none" w:pos="1980" w:val="left"/>
        </w:tabs>
        <w:numPr>
          <w:ilvl w:val="0"/>
          <w:numId w:val="58"/>
        </w:numPr>
        <w:rPr>
          <w:rFonts w:ascii="Arial" w:cs="Arial" w:eastAsia="Arial" w:hAnsi="Arial"/>
          <w:sz w:val="18"/>
          <w:szCs w:val="18"/>
          <w:color w:val="53C072"/>
        </w:rPr>
      </w:pPr>
      <w:r>
        <w:rPr>
          <w:rFonts w:ascii="Arial" w:cs="Arial" w:eastAsia="Arial" w:hAnsi="Arial"/>
          <w:sz w:val="18"/>
          <w:szCs w:val="18"/>
          <w:color w:val="auto"/>
        </w:rPr>
        <w:t>Talent Retention</w:t>
      </w:r>
    </w:p>
    <w:p>
      <w:pPr>
        <w:spacing w:after="0" w:line="117" w:lineRule="exact"/>
        <w:rPr>
          <w:rFonts w:ascii="Arial" w:cs="Arial" w:eastAsia="Arial" w:hAnsi="Arial"/>
          <w:sz w:val="18"/>
          <w:szCs w:val="18"/>
          <w:color w:val="53C072"/>
        </w:rPr>
      </w:pPr>
    </w:p>
    <w:p>
      <w:pPr>
        <w:ind w:left="1980" w:hanging="270"/>
        <w:spacing w:after="0"/>
        <w:tabs>
          <w:tab w:leader="none" w:pos="1980" w:val="left"/>
        </w:tabs>
        <w:numPr>
          <w:ilvl w:val="0"/>
          <w:numId w:val="58"/>
        </w:numPr>
        <w:rPr>
          <w:rFonts w:ascii="Arial" w:cs="Arial" w:eastAsia="Arial" w:hAnsi="Arial"/>
          <w:sz w:val="18"/>
          <w:szCs w:val="18"/>
          <w:color w:val="53C072"/>
        </w:rPr>
      </w:pPr>
      <w:r>
        <w:rPr>
          <w:rFonts w:ascii="Arial" w:cs="Arial" w:eastAsia="Arial" w:hAnsi="Arial"/>
          <w:sz w:val="18"/>
          <w:szCs w:val="18"/>
          <w:color w:val="auto"/>
        </w:rPr>
        <w:t>Diverse Representation</w:t>
      </w:r>
    </w:p>
    <w:p>
      <w:pPr>
        <w:spacing w:after="0" w:line="158" w:lineRule="exact"/>
        <w:rPr>
          <w:sz w:val="20"/>
          <w:szCs w:val="20"/>
          <w:color w:val="auto"/>
        </w:rPr>
      </w:pPr>
    </w:p>
    <w:p>
      <w:pPr>
        <w:ind w:left="1000" w:right="279"/>
        <w:spacing w:after="0" w:line="255" w:lineRule="auto"/>
        <w:rPr>
          <w:sz w:val="20"/>
          <w:szCs w:val="20"/>
          <w:color w:val="auto"/>
        </w:rPr>
      </w:pPr>
      <w:r>
        <w:rPr>
          <w:rFonts w:ascii="Arial" w:cs="Arial" w:eastAsia="Arial" w:hAnsi="Arial"/>
          <w:sz w:val="18"/>
          <w:szCs w:val="18"/>
          <w:color w:val="auto"/>
        </w:rPr>
        <w:t>The CEO communicated these focus areas and the desired behaviors and activities associated with them to the NEOs. At the end of the year, the CEO reviews each NEO, other than himself, against these focus areas. The CEO reviews and discusses these results with each NEO prior to making the recommendations to the Committee. Based on these and other factors, the CEO will recommend the percentage of achievement for each NEO to the Committee. Maximum annual cash incentive compensation relating to the non-financial performance goals was capped at 100% of target.</w:t>
      </w:r>
    </w:p>
    <w:p>
      <w:pPr>
        <w:spacing w:after="0" w:line="101" w:lineRule="exact"/>
        <w:rPr>
          <w:sz w:val="20"/>
          <w:szCs w:val="20"/>
          <w:color w:val="auto"/>
        </w:rPr>
      </w:pPr>
    </w:p>
    <w:p>
      <w:pPr>
        <w:ind w:left="1000" w:right="739"/>
        <w:spacing w:after="0" w:line="287" w:lineRule="auto"/>
        <w:rPr>
          <w:sz w:val="20"/>
          <w:szCs w:val="20"/>
          <w:color w:val="auto"/>
        </w:rPr>
      </w:pPr>
      <w:r>
        <w:rPr>
          <w:rFonts w:ascii="Arial" w:cs="Arial" w:eastAsia="Arial" w:hAnsi="Arial"/>
          <w:sz w:val="18"/>
          <w:szCs w:val="18"/>
          <w:b w:val="1"/>
          <w:bCs w:val="1"/>
          <w:color w:val="53C072"/>
        </w:rPr>
        <w:t xml:space="preserve">Fiscal 2023 Goals. </w:t>
      </w:r>
      <w:r>
        <w:rPr>
          <w:rFonts w:ascii="Arial" w:cs="Arial" w:eastAsia="Arial" w:hAnsi="Arial"/>
          <w:sz w:val="18"/>
          <w:szCs w:val="18"/>
          <w:color w:val="000000"/>
        </w:rPr>
        <w:t>The fiscal 2023 financial performance metrics, weightings, goals, and methods for</w:t>
      </w:r>
      <w:r>
        <w:rPr>
          <w:rFonts w:ascii="Arial" w:cs="Arial" w:eastAsia="Arial" w:hAnsi="Arial"/>
          <w:sz w:val="18"/>
          <w:szCs w:val="18"/>
          <w:b w:val="1"/>
          <w:bCs w:val="1"/>
          <w:color w:val="53C072"/>
        </w:rPr>
        <w:t xml:space="preserve"> </w:t>
      </w:r>
      <w:r>
        <w:rPr>
          <w:rFonts w:ascii="Arial" w:cs="Arial" w:eastAsia="Arial" w:hAnsi="Arial"/>
          <w:sz w:val="18"/>
          <w:szCs w:val="18"/>
          <w:color w:val="000000"/>
        </w:rPr>
        <w:t>calculation are presented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94615</wp:posOffset>
            </wp:positionV>
            <wp:extent cx="5554980" cy="1183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54980" cy="1183005"/>
                    </a:xfrm>
                    <a:prstGeom prst="rect">
                      <a:avLst/>
                    </a:prstGeom>
                    <a:noFill/>
                  </pic:spPr>
                </pic:pic>
              </a:graphicData>
            </a:graphic>
          </wp:anchor>
        </w:drawing>
      </w: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FEFEFE"/>
        </w:rPr>
        <w:t>Fiscal 2023</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FEFEFE"/>
        </w:rPr>
        <w:t>Adjusted OI$ Goals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FEFEFE"/>
        </w:rPr>
        <w:t>40% Weighting</w:t>
      </w:r>
    </w:p>
    <w:p>
      <w:pPr>
        <w:spacing w:after="0" w:line="41"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shd w:val="clear" w:color="auto" w:fill="53C072"/>
          </w:tcPr>
          <w:p>
            <w:pPr>
              <w:spacing w:after="0"/>
              <w:rPr>
                <w:sz w:val="21"/>
                <w:szCs w:val="21"/>
                <w:color w:val="auto"/>
              </w:rPr>
            </w:pPr>
          </w:p>
        </w:tc>
        <w:tc>
          <w:tcPr>
            <w:tcW w:w="32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1820" w:type="dxa"/>
            <w:vAlign w:val="bottom"/>
            <w:shd w:val="clear" w:color="auto" w:fill="53C072"/>
          </w:tcPr>
          <w:p>
            <w:pPr>
              <w:jc w:val="center"/>
              <w:ind w:right="34"/>
              <w:spacing w:after="0"/>
              <w:rPr>
                <w:sz w:val="20"/>
                <w:szCs w:val="20"/>
                <w:color w:val="auto"/>
              </w:rPr>
            </w:pPr>
            <w:r>
              <w:rPr>
                <w:rFonts w:ascii="Arial" w:cs="Arial" w:eastAsia="Arial" w:hAnsi="Arial"/>
                <w:sz w:val="14"/>
                <w:szCs w:val="14"/>
                <w:b w:val="1"/>
                <w:bCs w:val="1"/>
                <w:color w:val="FEFEFE"/>
              </w:rPr>
              <w:t>% Attainment</w:t>
            </w:r>
          </w:p>
        </w:tc>
        <w:tc>
          <w:tcPr>
            <w:tcW w:w="48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460" w:type="dxa"/>
            <w:vAlign w:val="bottom"/>
            <w:shd w:val="clear" w:color="auto" w:fill="53C072"/>
          </w:tcPr>
          <w:p>
            <w:pPr>
              <w:jc w:val="right"/>
              <w:ind w:right="216"/>
              <w:spacing w:after="0"/>
              <w:rPr>
                <w:sz w:val="20"/>
                <w:szCs w:val="20"/>
                <w:color w:val="auto"/>
              </w:rPr>
            </w:pPr>
            <w:r>
              <w:rPr>
                <w:rFonts w:ascii="Arial" w:cs="Arial" w:eastAsia="Arial" w:hAnsi="Arial"/>
                <w:sz w:val="14"/>
                <w:szCs w:val="14"/>
                <w:b w:val="1"/>
                <w:bCs w:val="1"/>
                <w:color w:val="FEFEFE"/>
              </w:rPr>
              <w:t>Adjusted OI$</w:t>
            </w:r>
          </w:p>
        </w:tc>
        <w:tc>
          <w:tcPr>
            <w:tcW w:w="620" w:type="dxa"/>
            <w:vAlign w:val="bottom"/>
            <w:gridSpan w:val="2"/>
            <w:shd w:val="clear" w:color="auto" w:fill="53C072"/>
          </w:tcPr>
          <w:p>
            <w:pPr>
              <w:ind w:left="300"/>
              <w:spacing w:after="0"/>
              <w:rPr>
                <w:sz w:val="20"/>
                <w:szCs w:val="20"/>
                <w:color w:val="auto"/>
              </w:rPr>
            </w:pPr>
            <w:r>
              <w:rPr>
                <w:rFonts w:ascii="Arial" w:cs="Arial" w:eastAsia="Arial" w:hAnsi="Arial"/>
                <w:sz w:val="14"/>
                <w:szCs w:val="14"/>
                <w:b w:val="1"/>
                <w:bCs w:val="1"/>
                <w:color w:val="FEFEFE"/>
              </w:rPr>
              <w:t>​ ​</w:t>
            </w:r>
          </w:p>
        </w:tc>
        <w:tc>
          <w:tcPr>
            <w:tcW w:w="2940" w:type="dxa"/>
            <w:vAlign w:val="bottom"/>
            <w:tcBorders>
              <w:right w:val="single" w:sz="8" w:color="53C072"/>
            </w:tcBorders>
            <w:shd w:val="clear" w:color="auto" w:fill="53C072"/>
          </w:tcPr>
          <w:p>
            <w:pPr>
              <w:jc w:val="center"/>
              <w:ind w:right="154"/>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40" w:type="dxa"/>
            <w:vAlign w:val="bottom"/>
          </w:tcPr>
          <w:p>
            <w:pPr>
              <w:spacing w:after="0"/>
              <w:rPr>
                <w:sz w:val="23"/>
                <w:szCs w:val="23"/>
                <w:color w:val="auto"/>
              </w:rPr>
            </w:pPr>
          </w:p>
        </w:tc>
        <w:tc>
          <w:tcPr>
            <w:tcW w:w="220" w:type="dxa"/>
            <w:vAlign w:val="bottom"/>
            <w:tcBorders>
              <w:bottom w:val="single" w:sz="8" w:color="53C072"/>
            </w:tcBorders>
          </w:tcPr>
          <w:p>
            <w:pPr>
              <w:spacing w:after="0"/>
              <w:rPr>
                <w:sz w:val="23"/>
                <w:szCs w:val="23"/>
                <w:color w:val="auto"/>
              </w:rPr>
            </w:pPr>
          </w:p>
        </w:tc>
        <w:tc>
          <w:tcPr>
            <w:tcW w:w="86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Maximum</w:t>
            </w:r>
          </w:p>
        </w:tc>
        <w:tc>
          <w:tcPr>
            <w:tcW w:w="12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53C072"/>
            </w:tcBorders>
          </w:tcPr>
          <w:p>
            <w:pPr>
              <w:jc w:val="right"/>
              <w:ind w:right="65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tcPr>
          <w:p>
            <w:pPr>
              <w:jc w:val="right"/>
              <w:ind w:right="236"/>
              <w:spacing w:after="0"/>
              <w:rPr>
                <w:sz w:val="20"/>
                <w:szCs w:val="20"/>
                <w:color w:val="auto"/>
              </w:rPr>
            </w:pPr>
            <w:r>
              <w:rPr>
                <w:rFonts w:ascii="Arial" w:cs="Arial" w:eastAsia="Arial" w:hAnsi="Arial"/>
                <w:sz w:val="18"/>
                <w:szCs w:val="18"/>
                <w:color w:val="auto"/>
              </w:rPr>
              <w:t>$1,334.2M</w:t>
            </w:r>
          </w:p>
        </w:tc>
        <w:tc>
          <w:tcPr>
            <w:tcW w:w="360" w:type="dxa"/>
            <w:vAlign w:val="bottom"/>
            <w:tcBorders>
              <w:bottom w:val="single" w:sz="8" w:color="53C072"/>
              <w:right w:val="single" w:sz="8" w:color="53C072"/>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53C072"/>
              <w:right w:val="single" w:sz="8" w:color="53C072"/>
            </w:tcBorders>
          </w:tcPr>
          <w:p>
            <w:pPr>
              <w:jc w:val="right"/>
              <w:ind w:right="1274"/>
              <w:spacing w:after="0"/>
              <w:rPr>
                <w:sz w:val="20"/>
                <w:szCs w:val="20"/>
                <w:color w:val="auto"/>
              </w:rPr>
            </w:pPr>
            <w:r>
              <w:rPr>
                <w:rFonts w:ascii="Arial" w:cs="Arial" w:eastAsia="Arial" w:hAnsi="Arial"/>
                <w:sz w:val="18"/>
                <w:szCs w:val="18"/>
                <w:color w:val="auto"/>
              </w:rPr>
              <w:t>200%</w:t>
            </w:r>
          </w:p>
        </w:tc>
      </w:tr>
      <w:tr>
        <w:trPr>
          <w:trHeight w:val="197"/>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line="197" w:lineRule="exact"/>
              <w:rPr>
                <w:sz w:val="20"/>
                <w:szCs w:val="20"/>
                <w:color w:val="auto"/>
              </w:rPr>
            </w:pPr>
            <w:r>
              <w:rPr>
                <w:rFonts w:ascii="Arial" w:cs="Arial" w:eastAsia="Arial" w:hAnsi="Arial"/>
                <w:sz w:val="18"/>
                <w:szCs w:val="18"/>
                <w:color w:val="auto"/>
              </w:rPr>
              <w:t>&gt; Target</w:t>
            </w:r>
          </w:p>
        </w:tc>
        <w:tc>
          <w:tcPr>
            <w:tcW w:w="120" w:type="dxa"/>
            <w:vAlign w:val="bottom"/>
            <w:tcBorders>
              <w:right w:val="single" w:sz="8" w:color="53C072"/>
            </w:tcBorders>
          </w:tcPr>
          <w:p>
            <w:pPr>
              <w:ind w:left="40"/>
              <w:spacing w:after="0" w:line="197" w:lineRule="exact"/>
              <w:rPr>
                <w:sz w:val="20"/>
                <w:szCs w:val="20"/>
                <w:color w:val="auto"/>
              </w:rPr>
            </w:pPr>
            <w:r>
              <w:rPr>
                <w:rFonts w:ascii="Arial" w:cs="Arial" w:eastAsia="Arial" w:hAnsi="Arial"/>
                <w:sz w:val="18"/>
                <w:szCs w:val="18"/>
                <w:color w:val="auto"/>
              </w:rPr>
              <w:t>​</w:t>
            </w:r>
          </w:p>
        </w:tc>
        <w:tc>
          <w:tcPr>
            <w:tcW w:w="200" w:type="dxa"/>
            <w:vAlign w:val="bottom"/>
          </w:tcPr>
          <w:p>
            <w:pPr>
              <w:ind w:left="40"/>
              <w:spacing w:after="0" w:line="197" w:lineRule="exact"/>
              <w:rPr>
                <w:sz w:val="20"/>
                <w:szCs w:val="20"/>
                <w:color w:val="auto"/>
              </w:rPr>
            </w:pPr>
            <w:r>
              <w:rPr>
                <w:rFonts w:ascii="Arial" w:cs="Arial" w:eastAsia="Arial" w:hAnsi="Arial"/>
                <w:sz w:val="18"/>
                <w:szCs w:val="18"/>
                <w:color w:val="auto"/>
              </w:rPr>
              <w:t>​</w:t>
            </w:r>
          </w:p>
        </w:tc>
        <w:tc>
          <w:tcPr>
            <w:tcW w:w="1820" w:type="dxa"/>
            <w:vAlign w:val="bottom"/>
          </w:tcPr>
          <w:p>
            <w:pPr>
              <w:jc w:val="center"/>
              <w:ind w:right="14"/>
              <w:spacing w:after="0" w:line="197" w:lineRule="exact"/>
              <w:rPr>
                <w:sz w:val="20"/>
                <w:szCs w:val="20"/>
                <w:color w:val="auto"/>
              </w:rPr>
            </w:pPr>
            <w:r>
              <w:rPr>
                <w:rFonts w:ascii="Arial" w:cs="Arial" w:eastAsia="Arial" w:hAnsi="Arial"/>
                <w:sz w:val="18"/>
                <w:szCs w:val="18"/>
                <w:color w:val="auto"/>
                <w:w w:val="99"/>
              </w:rPr>
              <w:t>1% change = 1%</w:t>
            </w:r>
          </w:p>
        </w:tc>
        <w:tc>
          <w:tcPr>
            <w:tcW w:w="120" w:type="dxa"/>
            <w:vAlign w:val="bottom"/>
            <w:tcBorders>
              <w:right w:val="single" w:sz="8" w:color="53C072"/>
            </w:tcBorders>
          </w:tcPr>
          <w:p>
            <w:pPr>
              <w:ind w:left="60"/>
              <w:spacing w:after="0" w:line="197" w:lineRule="exact"/>
              <w:rPr>
                <w:sz w:val="20"/>
                <w:szCs w:val="20"/>
                <w:color w:val="auto"/>
              </w:rPr>
            </w:pPr>
            <w:r>
              <w:rPr>
                <w:rFonts w:ascii="Arial" w:cs="Arial" w:eastAsia="Arial" w:hAnsi="Arial"/>
                <w:sz w:val="18"/>
                <w:szCs w:val="18"/>
                <w:color w:val="auto"/>
              </w:rPr>
              <w:t>​</w:t>
            </w:r>
          </w:p>
        </w:tc>
        <w:tc>
          <w:tcPr>
            <w:tcW w:w="2180" w:type="dxa"/>
            <w:vAlign w:val="bottom"/>
            <w:tcBorders>
              <w:right w:val="single" w:sz="8" w:color="53C072"/>
            </w:tcBorders>
            <w:gridSpan w:val="3"/>
          </w:tcPr>
          <w:p>
            <w:pPr>
              <w:ind w:left="40"/>
              <w:spacing w:after="0" w:line="197" w:lineRule="exact"/>
              <w:rPr>
                <w:sz w:val="20"/>
                <w:szCs w:val="20"/>
                <w:color w:val="auto"/>
              </w:rPr>
            </w:pPr>
            <w:r>
              <w:rPr>
                <w:rFonts w:ascii="Arial" w:cs="Arial" w:eastAsia="Arial" w:hAnsi="Arial"/>
                <w:sz w:val="18"/>
                <w:szCs w:val="18"/>
                <w:color w:val="auto"/>
              </w:rPr>
              <w:t>​$1,000.6M — $1,334.1M ​</w:t>
            </w:r>
          </w:p>
        </w:tc>
        <w:tc>
          <w:tcPr>
            <w:tcW w:w="260" w:type="dxa"/>
            <w:vAlign w:val="bottom"/>
          </w:tcPr>
          <w:p>
            <w:pPr>
              <w:ind w:left="40"/>
              <w:spacing w:after="0" w:line="197" w:lineRule="exact"/>
              <w:rPr>
                <w:sz w:val="20"/>
                <w:szCs w:val="20"/>
                <w:color w:val="auto"/>
              </w:rPr>
            </w:pPr>
            <w:r>
              <w:rPr>
                <w:rFonts w:ascii="Arial" w:cs="Arial" w:eastAsia="Arial" w:hAnsi="Arial"/>
                <w:sz w:val="18"/>
                <w:szCs w:val="18"/>
                <w:color w:val="auto"/>
              </w:rPr>
              <w:t>​</w:t>
            </w:r>
          </w:p>
        </w:tc>
        <w:tc>
          <w:tcPr>
            <w:tcW w:w="2940" w:type="dxa"/>
            <w:vAlign w:val="bottom"/>
            <w:tcBorders>
              <w:right w:val="single" w:sz="8" w:color="53C072"/>
            </w:tcBorders>
          </w:tcPr>
          <w:p>
            <w:pPr>
              <w:jc w:val="center"/>
              <w:ind w:right="154"/>
              <w:spacing w:after="0" w:line="197" w:lineRule="exact"/>
              <w:rPr>
                <w:sz w:val="20"/>
                <w:szCs w:val="20"/>
                <w:color w:val="auto"/>
              </w:rPr>
            </w:pPr>
            <w:r>
              <w:rPr>
                <w:rFonts w:ascii="Arial" w:cs="Arial" w:eastAsia="Arial" w:hAnsi="Arial"/>
                <w:sz w:val="18"/>
                <w:szCs w:val="18"/>
                <w:color w:val="auto"/>
                <w:w w:val="99"/>
              </w:rPr>
              <w:t>3% increase in payout per 1%</w:t>
            </w:r>
          </w:p>
        </w:tc>
      </w:tr>
      <w:tr>
        <w:trPr>
          <w:trHeight w:val="229"/>
        </w:trPr>
        <w:tc>
          <w:tcPr>
            <w:tcW w:w="40" w:type="dxa"/>
            <w:vAlign w:val="bottom"/>
          </w:tcPr>
          <w:p>
            <w:pPr>
              <w:spacing w:after="0"/>
              <w:rPr>
                <w:sz w:val="19"/>
                <w:szCs w:val="19"/>
                <w:color w:val="auto"/>
              </w:rPr>
            </w:pPr>
          </w:p>
        </w:tc>
        <w:tc>
          <w:tcPr>
            <w:tcW w:w="220" w:type="dxa"/>
            <w:vAlign w:val="bottom"/>
            <w:tcBorders>
              <w:bottom w:val="single" w:sz="8" w:color="53C072"/>
            </w:tcBorders>
          </w:tcPr>
          <w:p>
            <w:pPr>
              <w:spacing w:after="0"/>
              <w:rPr>
                <w:sz w:val="19"/>
                <w:szCs w:val="19"/>
                <w:color w:val="auto"/>
              </w:rPr>
            </w:pPr>
          </w:p>
        </w:tc>
        <w:tc>
          <w:tcPr>
            <w:tcW w:w="860" w:type="dxa"/>
            <w:vAlign w:val="bottom"/>
            <w:tcBorders>
              <w:bottom w:val="single" w:sz="8" w:color="53C072"/>
            </w:tcBorders>
          </w:tcPr>
          <w:p>
            <w:pPr>
              <w:spacing w:after="0"/>
              <w:rPr>
                <w:sz w:val="19"/>
                <w:szCs w:val="19"/>
                <w:color w:val="auto"/>
              </w:rPr>
            </w:pPr>
          </w:p>
        </w:tc>
        <w:tc>
          <w:tcPr>
            <w:tcW w:w="120" w:type="dxa"/>
            <w:vAlign w:val="bottom"/>
            <w:tcBorders>
              <w:bottom w:val="single" w:sz="8" w:color="53C072"/>
              <w:right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182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change in attainment</w:t>
            </w:r>
          </w:p>
        </w:tc>
        <w:tc>
          <w:tcPr>
            <w:tcW w:w="120" w:type="dxa"/>
            <w:vAlign w:val="bottom"/>
            <w:tcBorders>
              <w:bottom w:val="single" w:sz="8" w:color="53C072"/>
              <w:right w:val="single" w:sz="8" w:color="53C072"/>
            </w:tcBorders>
          </w:tcPr>
          <w:p>
            <w:pPr>
              <w:spacing w:after="0"/>
              <w:rPr>
                <w:sz w:val="19"/>
                <w:szCs w:val="19"/>
                <w:color w:val="auto"/>
              </w:rPr>
            </w:pPr>
          </w:p>
        </w:tc>
        <w:tc>
          <w:tcPr>
            <w:tcW w:w="360" w:type="dxa"/>
            <w:vAlign w:val="bottom"/>
            <w:tcBorders>
              <w:bottom w:val="single" w:sz="8" w:color="53C072"/>
            </w:tcBorders>
          </w:tcPr>
          <w:p>
            <w:pPr>
              <w:spacing w:after="0"/>
              <w:rPr>
                <w:sz w:val="19"/>
                <w:szCs w:val="19"/>
                <w:color w:val="auto"/>
              </w:rPr>
            </w:pPr>
          </w:p>
        </w:tc>
        <w:tc>
          <w:tcPr>
            <w:tcW w:w="1460" w:type="dxa"/>
            <w:vAlign w:val="bottom"/>
            <w:tcBorders>
              <w:bottom w:val="single" w:sz="8" w:color="53C072"/>
            </w:tcBorders>
          </w:tcPr>
          <w:p>
            <w:pPr>
              <w:spacing w:after="0"/>
              <w:rPr>
                <w:sz w:val="19"/>
                <w:szCs w:val="19"/>
                <w:color w:val="auto"/>
              </w:rPr>
            </w:pPr>
          </w:p>
        </w:tc>
        <w:tc>
          <w:tcPr>
            <w:tcW w:w="360" w:type="dxa"/>
            <w:vAlign w:val="bottom"/>
            <w:tcBorders>
              <w:bottom w:val="single" w:sz="8" w:color="53C072"/>
              <w:right w:val="single" w:sz="8" w:color="53C072"/>
            </w:tcBorders>
          </w:tcPr>
          <w:p>
            <w:pPr>
              <w:spacing w:after="0"/>
              <w:rPr>
                <w:sz w:val="19"/>
                <w:szCs w:val="19"/>
                <w:color w:val="auto"/>
              </w:rPr>
            </w:pPr>
          </w:p>
        </w:tc>
        <w:tc>
          <w:tcPr>
            <w:tcW w:w="260" w:type="dxa"/>
            <w:vAlign w:val="bottom"/>
            <w:tcBorders>
              <w:bottom w:val="single" w:sz="8" w:color="53C072"/>
            </w:tcBorders>
          </w:tcPr>
          <w:p>
            <w:pPr>
              <w:spacing w:after="0"/>
              <w:rPr>
                <w:sz w:val="19"/>
                <w:szCs w:val="19"/>
                <w:color w:val="auto"/>
              </w:rPr>
            </w:pPr>
          </w:p>
        </w:tc>
        <w:tc>
          <w:tcPr>
            <w:tcW w:w="2940" w:type="dxa"/>
            <w:vAlign w:val="bottom"/>
            <w:tcBorders>
              <w:bottom w:val="single" w:sz="8" w:color="53C072"/>
              <w:right w:val="single" w:sz="8" w:color="53C072"/>
            </w:tcBorders>
          </w:tcPr>
          <w:p>
            <w:pPr>
              <w:ind w:left="560"/>
              <w:spacing w:after="0"/>
              <w:rPr>
                <w:sz w:val="20"/>
                <w:szCs w:val="20"/>
                <w:color w:val="auto"/>
              </w:rPr>
            </w:pPr>
            <w:r>
              <w:rPr>
                <w:rFonts w:ascii="Arial" w:cs="Arial" w:eastAsia="Arial" w:hAnsi="Arial"/>
                <w:sz w:val="18"/>
                <w:szCs w:val="18"/>
                <w:color w:val="auto"/>
              </w:rPr>
              <w:t>increase in attainment</w:t>
            </w:r>
          </w:p>
        </w:tc>
      </w:tr>
      <w:tr>
        <w:trPr>
          <w:trHeight w:val="223"/>
        </w:trPr>
        <w:tc>
          <w:tcPr>
            <w:tcW w:w="40" w:type="dxa"/>
            <w:vAlign w:val="bottom"/>
            <w:tcBorders>
              <w:bottom w:val="single" w:sz="8" w:color="53C072"/>
            </w:tcBorders>
          </w:tcPr>
          <w:p>
            <w:pPr>
              <w:spacing w:after="0"/>
              <w:rPr>
                <w:sz w:val="19"/>
                <w:szCs w:val="19"/>
                <w:color w:val="auto"/>
              </w:rPr>
            </w:pPr>
          </w:p>
        </w:tc>
        <w:tc>
          <w:tcPr>
            <w:tcW w:w="220" w:type="dxa"/>
            <w:vAlign w:val="bottom"/>
            <w:tcBorders>
              <w:bottom w:val="single" w:sz="8" w:color="53C072"/>
            </w:tcBorders>
            <w:shd w:val="clear" w:color="auto" w:fill="CBECD5"/>
          </w:tcPr>
          <w:p>
            <w:pPr>
              <w:spacing w:after="0"/>
              <w:rPr>
                <w:sz w:val="19"/>
                <w:szCs w:val="19"/>
                <w:color w:val="auto"/>
              </w:rPr>
            </w:pPr>
          </w:p>
        </w:tc>
        <w:tc>
          <w:tcPr>
            <w:tcW w:w="86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b w:val="1"/>
                <w:bCs w:val="1"/>
                <w:color w:val="auto"/>
              </w:rPr>
              <w:t>Target</w:t>
            </w:r>
          </w:p>
        </w:tc>
        <w:tc>
          <w:tcPr>
            <w:tcW w:w="12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53C072"/>
            </w:tcBorders>
            <w:shd w:val="clear" w:color="auto" w:fill="CBECD5"/>
          </w:tcPr>
          <w:p>
            <w:pPr>
              <w:jc w:val="right"/>
              <w:ind w:right="574"/>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53C072"/>
              <w:right w:val="single" w:sz="8" w:color="53C072"/>
            </w:tcBorders>
            <w:shd w:val="clear" w:color="auto" w:fill="CBECD5"/>
          </w:tcPr>
          <w:p>
            <w:pPr>
              <w:ind w:left="6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3C072"/>
            </w:tcBorders>
            <w:shd w:val="clear" w:color="auto" w:fill="CBECD5"/>
          </w:tcPr>
          <w:p>
            <w:pPr>
              <w:jc w:val="right"/>
              <w:ind w:right="236"/>
              <w:spacing w:after="0"/>
              <w:rPr>
                <w:sz w:val="20"/>
                <w:szCs w:val="20"/>
                <w:color w:val="auto"/>
              </w:rPr>
            </w:pPr>
            <w:r>
              <w:rPr>
                <w:rFonts w:ascii="Arial" w:cs="Arial" w:eastAsia="Arial" w:hAnsi="Arial"/>
                <w:sz w:val="18"/>
                <w:szCs w:val="18"/>
                <w:b w:val="1"/>
                <w:bCs w:val="1"/>
                <w:color w:val="auto"/>
              </w:rPr>
              <w:t>$1,000.5M</w:t>
            </w:r>
          </w:p>
        </w:tc>
        <w:tc>
          <w:tcPr>
            <w:tcW w:w="360" w:type="dxa"/>
            <w:vAlign w:val="bottom"/>
            <w:tcBorders>
              <w:bottom w:val="single" w:sz="8" w:color="53C072"/>
              <w:right w:val="single" w:sz="8" w:color="53C072"/>
            </w:tcBorders>
            <w:shd w:val="clear" w:color="auto" w:fill="CBECD5"/>
          </w:tcPr>
          <w:p>
            <w:pPr>
              <w:ind w:left="3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53C072"/>
              <w:right w:val="single" w:sz="8" w:color="53C072"/>
            </w:tcBorders>
            <w:shd w:val="clear" w:color="auto" w:fill="CBECD5"/>
          </w:tcPr>
          <w:p>
            <w:pPr>
              <w:jc w:val="right"/>
              <w:ind w:right="1194"/>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154305</wp:posOffset>
            </wp:positionV>
            <wp:extent cx="124333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332"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283845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tbl>
      <w:tblPr>
        <w:tblLayout w:type="fixed"/>
        <w:tblInd w:w="990" w:type="dxa"/>
        <w:tblCellMar>
          <w:top w:w="0" w:type="dxa"/>
          <w:left w:w="0" w:type="dxa"/>
          <w:bottom w:w="0" w:type="dxa"/>
          <w:right w:w="0" w:type="dxa"/>
        </w:tblCellMar>
      </w:tblPr>
      <w:tr>
        <w:trPr>
          <w:trHeight w:val="200"/>
        </w:trPr>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vMerge w:val="restart"/>
          </w:tcPr>
          <w:p>
            <w:pPr>
              <w:ind w:left="28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1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6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0" w:type="dxa"/>
            <w:vAlign w:val="bottom"/>
            <w:tcBorders>
              <w:left w:val="single" w:sz="8" w:color="53C072"/>
            </w:tcBorders>
            <w:shd w:val="clear" w:color="auto" w:fill="53C072"/>
          </w:tcPr>
          <w:p>
            <w:pPr>
              <w:spacing w:after="0"/>
              <w:rPr>
                <w:sz w:val="22"/>
                <w:szCs w:val="22"/>
                <w:color w:val="auto"/>
              </w:rPr>
            </w:pPr>
          </w:p>
        </w:tc>
        <w:tc>
          <w:tcPr>
            <w:tcW w:w="900" w:type="dxa"/>
            <w:vAlign w:val="bottom"/>
            <w:shd w:val="clear" w:color="auto" w:fill="53C072"/>
          </w:tcPr>
          <w:p>
            <w:pPr>
              <w:spacing w:after="0"/>
              <w:rPr>
                <w:sz w:val="22"/>
                <w:szCs w:val="22"/>
                <w:color w:val="auto"/>
              </w:rPr>
            </w:pPr>
          </w:p>
        </w:tc>
        <w:tc>
          <w:tcPr>
            <w:tcW w:w="120" w:type="dxa"/>
            <w:vAlign w:val="bottom"/>
            <w:tcBorders>
              <w:right w:val="single" w:sz="8" w:color="53C072"/>
            </w:tcBorders>
            <w:shd w:val="clear" w:color="auto" w:fill="53C072"/>
          </w:tcPr>
          <w:p>
            <w:pPr>
              <w:spacing w:after="0"/>
              <w:rPr>
                <w:sz w:val="22"/>
                <w:szCs w:val="22"/>
                <w:color w:val="auto"/>
              </w:rPr>
            </w:pPr>
          </w:p>
        </w:tc>
        <w:tc>
          <w:tcPr>
            <w:tcW w:w="220" w:type="dxa"/>
            <w:vAlign w:val="bottom"/>
            <w:shd w:val="clear" w:color="auto" w:fill="53C072"/>
          </w:tcPr>
          <w:p>
            <w:pPr>
              <w:spacing w:after="0"/>
              <w:rPr>
                <w:sz w:val="22"/>
                <w:szCs w:val="22"/>
                <w:color w:val="auto"/>
              </w:rPr>
            </w:pPr>
          </w:p>
        </w:tc>
        <w:tc>
          <w:tcPr>
            <w:tcW w:w="26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0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4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3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480" w:type="dxa"/>
            <w:vAlign w:val="bottom"/>
            <w:shd w:val="clear" w:color="auto" w:fill="53C072"/>
          </w:tcPr>
          <w:p>
            <w:pPr>
              <w:jc w:val="center"/>
              <w:ind w:right="440"/>
              <w:spacing w:after="0"/>
              <w:rPr>
                <w:sz w:val="20"/>
                <w:szCs w:val="20"/>
                <w:color w:val="auto"/>
              </w:rPr>
            </w:pPr>
            <w:r>
              <w:rPr>
                <w:rFonts w:ascii="Arial" w:cs="Arial" w:eastAsia="Arial" w:hAnsi="Arial"/>
                <w:sz w:val="14"/>
                <w:szCs w:val="14"/>
                <w:b w:val="1"/>
                <w:bCs w:val="1"/>
                <w:color w:val="FEFEFE"/>
              </w:rPr>
              <w:t>Fiscal 2023</w:t>
            </w:r>
          </w:p>
        </w:tc>
        <w:tc>
          <w:tcPr>
            <w:tcW w:w="12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4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2780" w:type="dxa"/>
            <w:vAlign w:val="bottom"/>
            <w:tcBorders>
              <w:right w:val="single" w:sz="8" w:color="53C072"/>
            </w:tcBorders>
            <w:shd w:val="clear" w:color="auto" w:fill="53C07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53C072"/>
            </w:tcBorders>
            <w:shd w:val="clear" w:color="auto" w:fill="53C072"/>
          </w:tcPr>
          <w:p>
            <w:pPr>
              <w:spacing w:after="0"/>
              <w:rPr>
                <w:sz w:val="14"/>
                <w:szCs w:val="14"/>
                <w:color w:val="auto"/>
              </w:rPr>
            </w:pPr>
          </w:p>
        </w:tc>
        <w:tc>
          <w:tcPr>
            <w:tcW w:w="900" w:type="dxa"/>
            <w:vAlign w:val="bottom"/>
            <w:shd w:val="clear" w:color="auto" w:fill="53C072"/>
          </w:tcPr>
          <w:p>
            <w:pPr>
              <w:spacing w:after="0"/>
              <w:rPr>
                <w:sz w:val="14"/>
                <w:szCs w:val="14"/>
                <w:color w:val="auto"/>
              </w:rPr>
            </w:pPr>
          </w:p>
        </w:tc>
        <w:tc>
          <w:tcPr>
            <w:tcW w:w="120" w:type="dxa"/>
            <w:vAlign w:val="bottom"/>
            <w:tcBorders>
              <w:right w:val="single" w:sz="8" w:color="53C072"/>
            </w:tcBorders>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26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960" w:type="dxa"/>
            <w:vAlign w:val="bottom"/>
            <w:gridSpan w:val="3"/>
            <w:shd w:val="clear" w:color="auto" w:fill="53C072"/>
          </w:tcPr>
          <w:p>
            <w:pPr>
              <w:jc w:val="center"/>
              <w:spacing w:after="0"/>
              <w:rPr>
                <w:sz w:val="20"/>
                <w:szCs w:val="20"/>
                <w:color w:val="auto"/>
              </w:rPr>
            </w:pPr>
            <w:r>
              <w:rPr>
                <w:rFonts w:ascii="Arial" w:cs="Arial" w:eastAsia="Arial" w:hAnsi="Arial"/>
                <w:sz w:val="14"/>
                <w:szCs w:val="14"/>
                <w:b w:val="1"/>
                <w:bCs w:val="1"/>
                <w:color w:val="FEFEFE"/>
              </w:rPr>
              <w:t>Adjusted OI$ Goals</w:t>
            </w:r>
          </w:p>
        </w:tc>
        <w:tc>
          <w:tcPr>
            <w:tcW w:w="12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4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2780" w:type="dxa"/>
            <w:vAlign w:val="bottom"/>
            <w:tcBorders>
              <w:right w:val="single" w:sz="8" w:color="53C072"/>
            </w:tcBorders>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0" w:type="dxa"/>
            <w:vAlign w:val="bottom"/>
            <w:tcBorders>
              <w:left w:val="single" w:sz="8" w:color="53C072"/>
            </w:tcBorders>
            <w:shd w:val="clear" w:color="auto" w:fill="53C072"/>
          </w:tcPr>
          <w:p>
            <w:pPr>
              <w:spacing w:after="0"/>
              <w:rPr>
                <w:sz w:val="17"/>
                <w:szCs w:val="17"/>
                <w:color w:val="auto"/>
              </w:rPr>
            </w:pPr>
          </w:p>
        </w:tc>
        <w:tc>
          <w:tcPr>
            <w:tcW w:w="90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20" w:type="dxa"/>
            <w:vAlign w:val="bottom"/>
            <w:shd w:val="clear" w:color="auto" w:fill="53C072"/>
          </w:tcPr>
          <w:p>
            <w:pPr>
              <w:spacing w:after="0"/>
              <w:rPr>
                <w:sz w:val="17"/>
                <w:szCs w:val="17"/>
                <w:color w:val="auto"/>
              </w:rPr>
            </w:pPr>
          </w:p>
        </w:tc>
        <w:tc>
          <w:tcPr>
            <w:tcW w:w="26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480" w:type="dxa"/>
            <w:vAlign w:val="bottom"/>
            <w:shd w:val="clear" w:color="auto" w:fill="53C072"/>
          </w:tcPr>
          <w:p>
            <w:pPr>
              <w:jc w:val="center"/>
              <w:ind w:right="380"/>
              <w:spacing w:after="0"/>
              <w:rPr>
                <w:sz w:val="20"/>
                <w:szCs w:val="20"/>
                <w:color w:val="auto"/>
              </w:rPr>
            </w:pPr>
            <w:r>
              <w:rPr>
                <w:rFonts w:ascii="Arial" w:cs="Arial" w:eastAsia="Arial" w:hAnsi="Arial"/>
                <w:sz w:val="14"/>
                <w:szCs w:val="14"/>
                <w:b w:val="1"/>
                <w:bCs w:val="1"/>
                <w:color w:val="FEFEFE"/>
              </w:rPr>
              <w:t>40% Weighting</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27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20" w:type="dxa"/>
            <w:vAlign w:val="bottom"/>
            <w:tcBorders>
              <w:left w:val="single" w:sz="8" w:color="53C072"/>
            </w:tcBorders>
            <w:shd w:val="clear" w:color="auto" w:fill="53C072"/>
          </w:tcPr>
          <w:p>
            <w:pPr>
              <w:spacing w:after="0"/>
              <w:rPr>
                <w:sz w:val="22"/>
                <w:szCs w:val="22"/>
                <w:color w:val="auto"/>
              </w:rPr>
            </w:pPr>
          </w:p>
        </w:tc>
        <w:tc>
          <w:tcPr>
            <w:tcW w:w="900" w:type="dxa"/>
            <w:vAlign w:val="bottom"/>
            <w:shd w:val="clear" w:color="auto" w:fill="53C072"/>
          </w:tcPr>
          <w:p>
            <w:pPr>
              <w:spacing w:after="0"/>
              <w:rPr>
                <w:sz w:val="22"/>
                <w:szCs w:val="22"/>
                <w:color w:val="auto"/>
              </w:rPr>
            </w:pPr>
          </w:p>
        </w:tc>
        <w:tc>
          <w:tcPr>
            <w:tcW w:w="34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26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460" w:type="dxa"/>
            <w:vAlign w:val="bottom"/>
            <w:gridSpan w:val="3"/>
            <w:shd w:val="clear" w:color="auto" w:fill="53C072"/>
          </w:tcPr>
          <w:p>
            <w:pPr>
              <w:jc w:val="right"/>
              <w:ind w:right="450"/>
              <w:spacing w:after="0"/>
              <w:rPr>
                <w:sz w:val="20"/>
                <w:szCs w:val="20"/>
                <w:color w:val="auto"/>
              </w:rPr>
            </w:pPr>
            <w:r>
              <w:rPr>
                <w:rFonts w:ascii="Arial" w:cs="Arial" w:eastAsia="Arial" w:hAnsi="Arial"/>
                <w:sz w:val="14"/>
                <w:szCs w:val="14"/>
                <w:b w:val="1"/>
                <w:bCs w:val="1"/>
                <w:color w:val="FEFEFE"/>
              </w:rPr>
              <w:t>% Attainment</w:t>
            </w:r>
          </w:p>
        </w:tc>
        <w:tc>
          <w:tcPr>
            <w:tcW w:w="20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3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480" w:type="dxa"/>
            <w:vAlign w:val="bottom"/>
            <w:shd w:val="clear" w:color="auto" w:fill="53C072"/>
          </w:tcPr>
          <w:p>
            <w:pPr>
              <w:jc w:val="center"/>
              <w:ind w:right="400"/>
              <w:spacing w:after="0"/>
              <w:rPr>
                <w:sz w:val="20"/>
                <w:szCs w:val="20"/>
                <w:color w:val="auto"/>
              </w:rPr>
            </w:pPr>
            <w:r>
              <w:rPr>
                <w:rFonts w:ascii="Arial" w:cs="Arial" w:eastAsia="Arial" w:hAnsi="Arial"/>
                <w:sz w:val="14"/>
                <w:szCs w:val="14"/>
                <w:b w:val="1"/>
                <w:bCs w:val="1"/>
                <w:color w:val="FEFEFE"/>
              </w:rPr>
              <w:t>Adjusted OI$</w:t>
            </w:r>
          </w:p>
        </w:tc>
        <w:tc>
          <w:tcPr>
            <w:tcW w:w="300" w:type="dxa"/>
            <w:vAlign w:val="bottom"/>
            <w:gridSpan w:val="2"/>
            <w:shd w:val="clear" w:color="auto" w:fill="53C072"/>
          </w:tcPr>
          <w:p>
            <w:pPr>
              <w:jc w:val="right"/>
              <w:ind w:right="10"/>
              <w:spacing w:after="0"/>
              <w:rPr>
                <w:sz w:val="20"/>
                <w:szCs w:val="20"/>
                <w:color w:val="auto"/>
              </w:rPr>
            </w:pPr>
            <w:r>
              <w:rPr>
                <w:rFonts w:ascii="Arial" w:cs="Arial" w:eastAsia="Arial" w:hAnsi="Arial"/>
                <w:sz w:val="14"/>
                <w:szCs w:val="14"/>
                <w:b w:val="1"/>
                <w:bCs w:val="1"/>
                <w:color w:val="FEFEFE"/>
              </w:rPr>
              <w:t>​ ​</w:t>
            </w:r>
          </w:p>
        </w:tc>
        <w:tc>
          <w:tcPr>
            <w:tcW w:w="14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2780" w:type="dxa"/>
            <w:vAlign w:val="bottom"/>
            <w:tcBorders>
              <w:right w:val="single" w:sz="8" w:color="53C072"/>
            </w:tcBorders>
            <w:shd w:val="clear" w:color="auto" w:fill="53C072"/>
          </w:tcPr>
          <w:p>
            <w:pPr>
              <w:jc w:val="center"/>
              <w:ind w:right="314"/>
              <w:spacing w:after="0"/>
              <w:rPr>
                <w:sz w:val="20"/>
                <w:szCs w:val="20"/>
                <w:color w:val="auto"/>
              </w:rPr>
            </w:pPr>
            <w:r>
              <w:rPr>
                <w:rFonts w:ascii="Arial" w:cs="Arial" w:eastAsia="Arial" w:hAnsi="Arial"/>
                <w:sz w:val="14"/>
                <w:szCs w:val="14"/>
                <w:b w:val="1"/>
                <w:bCs w:val="1"/>
                <w:color w:val="FEFEFE"/>
              </w:rPr>
              <w:t>% Payout</w:t>
            </w:r>
          </w:p>
        </w:tc>
        <w:tc>
          <w:tcPr>
            <w:tcW w:w="0" w:type="dxa"/>
            <w:vAlign w:val="bottom"/>
          </w:tcPr>
          <w:p>
            <w:pPr>
              <w:spacing w:after="0"/>
              <w:rPr>
                <w:sz w:val="1"/>
                <w:szCs w:val="1"/>
                <w:color w:val="auto"/>
              </w:rPr>
            </w:pPr>
          </w:p>
        </w:tc>
      </w:tr>
      <w:tr>
        <w:trPr>
          <w:trHeight w:val="224"/>
        </w:trPr>
        <w:tc>
          <w:tcPr>
            <w:tcW w:w="220" w:type="dxa"/>
            <w:vAlign w:val="bottom"/>
            <w:tcBorders>
              <w:top w:val="single" w:sz="8" w:color="53C072"/>
              <w:left w:val="single" w:sz="8" w:color="53C072"/>
            </w:tcBorders>
          </w:tcPr>
          <w:p>
            <w:pPr>
              <w:spacing w:after="0"/>
              <w:rPr>
                <w:sz w:val="19"/>
                <w:szCs w:val="19"/>
                <w:color w:val="auto"/>
              </w:rPr>
            </w:pPr>
          </w:p>
        </w:tc>
        <w:tc>
          <w:tcPr>
            <w:tcW w:w="900" w:type="dxa"/>
            <w:vAlign w:val="bottom"/>
            <w:tcBorders>
              <w:top w:val="single" w:sz="8" w:color="53C072"/>
            </w:tcBorders>
          </w:tcPr>
          <w:p>
            <w:pPr>
              <w:ind w:left="20"/>
              <w:spacing w:after="0"/>
              <w:rPr>
                <w:sz w:val="20"/>
                <w:szCs w:val="20"/>
                <w:color w:val="auto"/>
              </w:rPr>
            </w:pPr>
            <w:r>
              <w:rPr>
                <w:rFonts w:ascii="Arial" w:cs="Arial" w:eastAsia="Arial" w:hAnsi="Arial"/>
                <w:sz w:val="18"/>
                <w:szCs w:val="18"/>
                <w:color w:val="auto"/>
              </w:rPr>
              <w:t>&lt; Target</w:t>
            </w:r>
          </w:p>
        </w:tc>
        <w:tc>
          <w:tcPr>
            <w:tcW w:w="120" w:type="dxa"/>
            <w:vAlign w:val="bottom"/>
            <w:tcBorders>
              <w:top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820" w:type="dxa"/>
            <w:vAlign w:val="bottom"/>
            <w:gridSpan w:val="5"/>
          </w:tcPr>
          <w:p>
            <w:pPr>
              <w:jc w:val="right"/>
              <w:ind w:right="210"/>
              <w:spacing w:after="0"/>
              <w:rPr>
                <w:sz w:val="20"/>
                <w:szCs w:val="20"/>
                <w:color w:val="auto"/>
              </w:rPr>
            </w:pPr>
            <w:r>
              <w:rPr>
                <w:rFonts w:ascii="Arial" w:cs="Arial" w:eastAsia="Arial" w:hAnsi="Arial"/>
                <w:sz w:val="18"/>
                <w:szCs w:val="18"/>
                <w:color w:val="auto"/>
              </w:rPr>
              <w:t>1% change = 1%</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60" w:type="dxa"/>
            <w:vAlign w:val="bottom"/>
            <w:gridSpan w:val="4"/>
          </w:tcPr>
          <w:p>
            <w:pPr>
              <w:ind w:left="40"/>
              <w:spacing w:after="0"/>
              <w:rPr>
                <w:sz w:val="20"/>
                <w:szCs w:val="20"/>
                <w:color w:val="auto"/>
              </w:rPr>
            </w:pPr>
            <w:r>
              <w:rPr>
                <w:rFonts w:ascii="Arial" w:cs="Arial" w:eastAsia="Arial" w:hAnsi="Arial"/>
                <w:sz w:val="18"/>
                <w:szCs w:val="18"/>
                <w:color w:val="auto"/>
              </w:rPr>
              <w:t>​ $800.5M — $1,000.4M</w:t>
            </w:r>
          </w:p>
        </w:tc>
        <w:tc>
          <w:tcPr>
            <w:tcW w:w="120" w:type="dxa"/>
            <w:vAlign w:val="bottom"/>
            <w:tcBorders>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80" w:type="dxa"/>
            <w:vAlign w:val="bottom"/>
            <w:tcBorders>
              <w:right w:val="single" w:sz="8" w:color="53C072"/>
            </w:tcBorders>
            <w:gridSpan w:val="2"/>
          </w:tcPr>
          <w:p>
            <w:pPr>
              <w:jc w:val="center"/>
              <w:ind w:right="194"/>
              <w:spacing w:after="0"/>
              <w:rPr>
                <w:sz w:val="20"/>
                <w:szCs w:val="20"/>
                <w:color w:val="auto"/>
              </w:rPr>
            </w:pPr>
            <w:r>
              <w:rPr>
                <w:rFonts w:ascii="Arial" w:cs="Arial" w:eastAsia="Arial" w:hAnsi="Arial"/>
                <w:sz w:val="18"/>
                <w:szCs w:val="18"/>
                <w:color w:val="auto"/>
                <w:w w:val="99"/>
              </w:rPr>
              <w:t>3% decrease in payout per 1%</w:t>
            </w:r>
          </w:p>
        </w:tc>
        <w:tc>
          <w:tcPr>
            <w:tcW w:w="0" w:type="dxa"/>
            <w:vAlign w:val="bottom"/>
          </w:tcPr>
          <w:p>
            <w:pPr>
              <w:spacing w:after="0"/>
              <w:rPr>
                <w:sz w:val="1"/>
                <w:szCs w:val="1"/>
                <w:color w:val="auto"/>
              </w:rPr>
            </w:pPr>
          </w:p>
        </w:tc>
      </w:tr>
      <w:tr>
        <w:trPr>
          <w:trHeight w:val="229"/>
        </w:trPr>
        <w:tc>
          <w:tcPr>
            <w:tcW w:w="220" w:type="dxa"/>
            <w:vAlign w:val="bottom"/>
            <w:tcBorders>
              <w:left w:val="single" w:sz="8" w:color="53C072"/>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53C072"/>
            </w:tcBorders>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change in attainment</w:t>
            </w:r>
          </w:p>
        </w:tc>
        <w:tc>
          <w:tcPr>
            <w:tcW w:w="100" w:type="dxa"/>
            <w:vAlign w:val="bottom"/>
            <w:tcBorders>
              <w:right w:val="single" w:sz="8" w:color="53C072"/>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Borders>
              <w:right w:val="single" w:sz="8" w:color="53C072"/>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ind w:left="380"/>
              <w:spacing w:after="0"/>
              <w:rPr>
                <w:sz w:val="20"/>
                <w:szCs w:val="20"/>
                <w:color w:val="auto"/>
              </w:rPr>
            </w:pPr>
            <w:r>
              <w:rPr>
                <w:rFonts w:ascii="Arial" w:cs="Arial" w:eastAsia="Arial" w:hAnsi="Arial"/>
                <w:sz w:val="18"/>
                <w:szCs w:val="18"/>
                <w:color w:val="auto"/>
              </w:rPr>
              <w:t>decrease in attainment</w:t>
            </w:r>
          </w:p>
        </w:tc>
        <w:tc>
          <w:tcPr>
            <w:tcW w:w="0" w:type="dxa"/>
            <w:vAlign w:val="bottom"/>
          </w:tcPr>
          <w:p>
            <w:pPr>
              <w:spacing w:after="0"/>
              <w:rPr>
                <w:sz w:val="1"/>
                <w:szCs w:val="1"/>
                <w:color w:val="auto"/>
              </w:rPr>
            </w:pPr>
          </w:p>
        </w:tc>
      </w:tr>
      <w:tr>
        <w:trPr>
          <w:trHeight w:val="27"/>
        </w:trPr>
        <w:tc>
          <w:tcPr>
            <w:tcW w:w="220" w:type="dxa"/>
            <w:vAlign w:val="bottom"/>
            <w:tcBorders>
              <w:left w:val="single" w:sz="8" w:color="53C072"/>
              <w:bottom w:val="single" w:sz="8" w:color="53C072"/>
            </w:tcBorders>
          </w:tcPr>
          <w:p>
            <w:pPr>
              <w:spacing w:after="0"/>
              <w:rPr>
                <w:sz w:val="2"/>
                <w:szCs w:val="2"/>
                <w:color w:val="auto"/>
              </w:rPr>
            </w:pPr>
          </w:p>
        </w:tc>
        <w:tc>
          <w:tcPr>
            <w:tcW w:w="90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78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0" w:type="dxa"/>
            <w:vAlign w:val="bottom"/>
            <w:tcBorders>
              <w:left w:val="single" w:sz="8" w:color="53C072"/>
              <w:bottom w:val="single" w:sz="8" w:color="53C072"/>
            </w:tcBorders>
          </w:tcPr>
          <w:p>
            <w:pPr>
              <w:spacing w:after="0"/>
              <w:rPr>
                <w:sz w:val="21"/>
                <w:szCs w:val="21"/>
                <w:color w:val="auto"/>
              </w:rPr>
            </w:pPr>
          </w:p>
        </w:tc>
        <w:tc>
          <w:tcPr>
            <w:tcW w:w="90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Threshold</w:t>
            </w:r>
          </w:p>
        </w:tc>
        <w:tc>
          <w:tcPr>
            <w:tcW w:w="12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020" w:type="dxa"/>
            <w:vAlign w:val="bottom"/>
            <w:tcBorders>
              <w:bottom w:val="single" w:sz="8" w:color="53C072"/>
            </w:tcBorders>
          </w:tcPr>
          <w:p>
            <w:pPr>
              <w:ind w:left="22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53C072"/>
            </w:tcBorders>
          </w:tcPr>
          <w:p>
            <w:pPr>
              <w:spacing w:after="0"/>
              <w:rPr>
                <w:sz w:val="21"/>
                <w:szCs w:val="21"/>
                <w:color w:val="auto"/>
              </w:rPr>
            </w:pPr>
          </w:p>
        </w:tc>
        <w:tc>
          <w:tcPr>
            <w:tcW w:w="34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480" w:type="dxa"/>
            <w:vAlign w:val="bottom"/>
            <w:tcBorders>
              <w:bottom w:val="single" w:sz="8" w:color="53C072"/>
            </w:tcBorders>
          </w:tcPr>
          <w:p>
            <w:pPr>
              <w:jc w:val="center"/>
              <w:ind w:right="420"/>
              <w:spacing w:after="0"/>
              <w:rPr>
                <w:sz w:val="20"/>
                <w:szCs w:val="20"/>
                <w:color w:val="auto"/>
              </w:rPr>
            </w:pPr>
            <w:r>
              <w:rPr>
                <w:rFonts w:ascii="Arial" w:cs="Arial" w:eastAsia="Arial" w:hAnsi="Arial"/>
                <w:sz w:val="18"/>
                <w:szCs w:val="18"/>
                <w:color w:val="auto"/>
                <w:w w:val="99"/>
              </w:rPr>
              <w:t>$800.4M</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2780" w:type="dxa"/>
            <w:vAlign w:val="bottom"/>
            <w:tcBorders>
              <w:bottom w:val="single" w:sz="8" w:color="53C072"/>
              <w:right w:val="single" w:sz="8" w:color="53C072"/>
            </w:tcBorders>
          </w:tcPr>
          <w:p>
            <w:pPr>
              <w:jc w:val="center"/>
              <w:ind w:right="294"/>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20" w:type="dxa"/>
            <w:vAlign w:val="bottom"/>
            <w:tcBorders>
              <w:left w:val="single" w:sz="8" w:color="53C072"/>
            </w:tcBorders>
            <w:shd w:val="clear" w:color="auto" w:fill="53C072"/>
          </w:tcPr>
          <w:p>
            <w:pPr>
              <w:spacing w:after="0"/>
              <w:rPr>
                <w:sz w:val="22"/>
                <w:szCs w:val="22"/>
                <w:color w:val="auto"/>
              </w:rPr>
            </w:pPr>
          </w:p>
        </w:tc>
        <w:tc>
          <w:tcPr>
            <w:tcW w:w="900" w:type="dxa"/>
            <w:vAlign w:val="bottom"/>
            <w:shd w:val="clear" w:color="auto" w:fill="53C072"/>
          </w:tcPr>
          <w:p>
            <w:pPr>
              <w:spacing w:after="0"/>
              <w:rPr>
                <w:sz w:val="22"/>
                <w:szCs w:val="22"/>
                <w:color w:val="auto"/>
              </w:rPr>
            </w:pPr>
          </w:p>
        </w:tc>
        <w:tc>
          <w:tcPr>
            <w:tcW w:w="120" w:type="dxa"/>
            <w:vAlign w:val="bottom"/>
            <w:tcBorders>
              <w:right w:val="single" w:sz="8" w:color="53C072"/>
            </w:tcBorders>
            <w:shd w:val="clear" w:color="auto" w:fill="53C072"/>
          </w:tcPr>
          <w:p>
            <w:pPr>
              <w:spacing w:after="0"/>
              <w:rPr>
                <w:sz w:val="22"/>
                <w:szCs w:val="22"/>
                <w:color w:val="auto"/>
              </w:rPr>
            </w:pPr>
          </w:p>
        </w:tc>
        <w:tc>
          <w:tcPr>
            <w:tcW w:w="220" w:type="dxa"/>
            <w:vAlign w:val="bottom"/>
            <w:shd w:val="clear" w:color="auto" w:fill="53C072"/>
          </w:tcPr>
          <w:p>
            <w:pPr>
              <w:spacing w:after="0"/>
              <w:rPr>
                <w:sz w:val="22"/>
                <w:szCs w:val="22"/>
                <w:color w:val="auto"/>
              </w:rPr>
            </w:pPr>
          </w:p>
        </w:tc>
        <w:tc>
          <w:tcPr>
            <w:tcW w:w="26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0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4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960" w:type="dxa"/>
            <w:vAlign w:val="bottom"/>
            <w:gridSpan w:val="3"/>
            <w:shd w:val="clear" w:color="auto" w:fill="53C072"/>
          </w:tcPr>
          <w:p>
            <w:pPr>
              <w:jc w:val="center"/>
              <w:spacing w:after="0"/>
              <w:rPr>
                <w:sz w:val="20"/>
                <w:szCs w:val="20"/>
                <w:color w:val="auto"/>
              </w:rPr>
            </w:pPr>
            <w:r>
              <w:rPr>
                <w:rFonts w:ascii="Arial" w:cs="Arial" w:eastAsia="Arial" w:hAnsi="Arial"/>
                <w:sz w:val="14"/>
                <w:szCs w:val="14"/>
                <w:b w:val="1"/>
                <w:bCs w:val="1"/>
                <w:color w:val="FEFEFE"/>
              </w:rPr>
              <w:t>Fiscal 2023 ROWC Goals</w:t>
            </w:r>
          </w:p>
        </w:tc>
        <w:tc>
          <w:tcPr>
            <w:tcW w:w="12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4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2780" w:type="dxa"/>
            <w:vAlign w:val="bottom"/>
            <w:tcBorders>
              <w:right w:val="single" w:sz="8" w:color="53C072"/>
            </w:tcBorders>
            <w:shd w:val="clear" w:color="auto" w:fill="53C072"/>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20" w:type="dxa"/>
            <w:vAlign w:val="bottom"/>
            <w:tcBorders>
              <w:left w:val="single" w:sz="8" w:color="53C072"/>
            </w:tcBorders>
            <w:shd w:val="clear" w:color="auto" w:fill="53C072"/>
          </w:tcPr>
          <w:p>
            <w:pPr>
              <w:spacing w:after="0"/>
              <w:rPr>
                <w:sz w:val="17"/>
                <w:szCs w:val="17"/>
                <w:color w:val="auto"/>
              </w:rPr>
            </w:pPr>
          </w:p>
        </w:tc>
        <w:tc>
          <w:tcPr>
            <w:tcW w:w="90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20" w:type="dxa"/>
            <w:vAlign w:val="bottom"/>
            <w:shd w:val="clear" w:color="auto" w:fill="53C072"/>
          </w:tcPr>
          <w:p>
            <w:pPr>
              <w:spacing w:after="0"/>
              <w:rPr>
                <w:sz w:val="17"/>
                <w:szCs w:val="17"/>
                <w:color w:val="auto"/>
              </w:rPr>
            </w:pPr>
          </w:p>
        </w:tc>
        <w:tc>
          <w:tcPr>
            <w:tcW w:w="26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480" w:type="dxa"/>
            <w:vAlign w:val="bottom"/>
            <w:shd w:val="clear" w:color="auto" w:fill="53C072"/>
          </w:tcPr>
          <w:p>
            <w:pPr>
              <w:jc w:val="center"/>
              <w:ind w:right="380"/>
              <w:spacing w:after="0"/>
              <w:rPr>
                <w:sz w:val="20"/>
                <w:szCs w:val="20"/>
                <w:color w:val="auto"/>
              </w:rPr>
            </w:pPr>
            <w:r>
              <w:rPr>
                <w:rFonts w:ascii="Arial" w:cs="Arial" w:eastAsia="Arial" w:hAnsi="Arial"/>
                <w:sz w:val="14"/>
                <w:szCs w:val="14"/>
                <w:b w:val="1"/>
                <w:bCs w:val="1"/>
                <w:color w:val="FEFEFE"/>
              </w:rPr>
              <w:t>40% Weighting</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27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20" w:type="dxa"/>
            <w:vAlign w:val="bottom"/>
            <w:tcBorders>
              <w:left w:val="single" w:sz="8" w:color="53C072"/>
            </w:tcBorders>
            <w:shd w:val="clear" w:color="auto" w:fill="53C072"/>
          </w:tcPr>
          <w:p>
            <w:pPr>
              <w:spacing w:after="0"/>
              <w:rPr>
                <w:sz w:val="23"/>
                <w:szCs w:val="23"/>
                <w:color w:val="auto"/>
              </w:rPr>
            </w:pPr>
          </w:p>
        </w:tc>
        <w:tc>
          <w:tcPr>
            <w:tcW w:w="900" w:type="dxa"/>
            <w:vAlign w:val="bottom"/>
            <w:shd w:val="clear" w:color="auto" w:fill="53C072"/>
          </w:tcPr>
          <w:p>
            <w:pPr>
              <w:spacing w:after="0"/>
              <w:rPr>
                <w:sz w:val="23"/>
                <w:szCs w:val="23"/>
                <w:color w:val="auto"/>
              </w:rPr>
            </w:pPr>
          </w:p>
        </w:tc>
        <w:tc>
          <w:tcPr>
            <w:tcW w:w="120" w:type="dxa"/>
            <w:vAlign w:val="bottom"/>
            <w:tcBorders>
              <w:right w:val="single" w:sz="8" w:color="53C072"/>
            </w:tcBorders>
            <w:shd w:val="clear" w:color="auto" w:fill="53C072"/>
          </w:tcPr>
          <w:p>
            <w:pPr>
              <w:spacing w:after="0"/>
              <w:rPr>
                <w:sz w:val="23"/>
                <w:szCs w:val="23"/>
                <w:color w:val="auto"/>
              </w:rPr>
            </w:pPr>
          </w:p>
        </w:tc>
        <w:tc>
          <w:tcPr>
            <w:tcW w:w="220" w:type="dxa"/>
            <w:vAlign w:val="bottom"/>
            <w:shd w:val="clear" w:color="auto" w:fill="53C072"/>
          </w:tcPr>
          <w:p>
            <w:pPr>
              <w:spacing w:after="0"/>
              <w:rPr>
                <w:sz w:val="23"/>
                <w:szCs w:val="23"/>
                <w:color w:val="auto"/>
              </w:rPr>
            </w:pPr>
          </w:p>
        </w:tc>
        <w:tc>
          <w:tcPr>
            <w:tcW w:w="360" w:type="dxa"/>
            <w:vAlign w:val="bottom"/>
            <w:gridSpan w:val="2"/>
            <w:shd w:val="clear" w:color="auto" w:fill="53C072"/>
          </w:tcPr>
          <w:p>
            <w:pPr>
              <w:ind w:left="200"/>
              <w:spacing w:after="0"/>
              <w:rPr>
                <w:sz w:val="20"/>
                <w:szCs w:val="20"/>
                <w:color w:val="auto"/>
              </w:rPr>
            </w:pPr>
            <w:r>
              <w:rPr>
                <w:rFonts w:ascii="Arial" w:cs="Arial" w:eastAsia="Arial" w:hAnsi="Arial"/>
                <w:sz w:val="14"/>
                <w:szCs w:val="14"/>
                <w:b w:val="1"/>
                <w:bCs w:val="1"/>
                <w:color w:val="FEFEFE"/>
              </w:rPr>
              <w:t>​ ​</w:t>
            </w:r>
          </w:p>
        </w:tc>
        <w:tc>
          <w:tcPr>
            <w:tcW w:w="1460" w:type="dxa"/>
            <w:vAlign w:val="bottom"/>
            <w:gridSpan w:val="3"/>
            <w:shd w:val="clear" w:color="auto" w:fill="53C072"/>
          </w:tcPr>
          <w:p>
            <w:pPr>
              <w:jc w:val="center"/>
              <w:ind w:left="374"/>
              <w:spacing w:after="0"/>
              <w:rPr>
                <w:sz w:val="20"/>
                <w:szCs w:val="20"/>
                <w:color w:val="auto"/>
              </w:rPr>
            </w:pPr>
            <w:r>
              <w:rPr>
                <w:rFonts w:ascii="Arial" w:cs="Arial" w:eastAsia="Arial" w:hAnsi="Arial"/>
                <w:sz w:val="14"/>
                <w:szCs w:val="14"/>
                <w:b w:val="1"/>
                <w:bCs w:val="1"/>
                <w:color w:val="FEFEFE"/>
              </w:rPr>
              <w:t>% Attainment</w:t>
            </w:r>
          </w:p>
        </w:tc>
        <w:tc>
          <w:tcPr>
            <w:tcW w:w="100" w:type="dxa"/>
            <w:vAlign w:val="bottom"/>
            <w:tcBorders>
              <w:right w:val="single" w:sz="8" w:color="53C072"/>
            </w:tcBorders>
            <w:shd w:val="clear" w:color="auto" w:fill="53C072"/>
          </w:tcPr>
          <w:p>
            <w:pPr>
              <w:spacing w:after="0"/>
              <w:rPr>
                <w:sz w:val="23"/>
                <w:szCs w:val="23"/>
                <w:color w:val="auto"/>
              </w:rPr>
            </w:pPr>
          </w:p>
        </w:tc>
        <w:tc>
          <w:tcPr>
            <w:tcW w:w="100" w:type="dxa"/>
            <w:vAlign w:val="bottom"/>
            <w:shd w:val="clear" w:color="auto" w:fill="53C072"/>
          </w:tcPr>
          <w:p>
            <w:pPr>
              <w:spacing w:after="0"/>
              <w:rPr>
                <w:sz w:val="23"/>
                <w:szCs w:val="23"/>
                <w:color w:val="auto"/>
              </w:rPr>
            </w:pPr>
          </w:p>
        </w:tc>
        <w:tc>
          <w:tcPr>
            <w:tcW w:w="480" w:type="dxa"/>
            <w:vAlign w:val="bottom"/>
            <w:gridSpan w:val="2"/>
            <w:shd w:val="clear" w:color="auto" w:fill="53C072"/>
          </w:tcPr>
          <w:p>
            <w:pPr>
              <w:ind w:left="320"/>
              <w:spacing w:after="0"/>
              <w:rPr>
                <w:sz w:val="20"/>
                <w:szCs w:val="20"/>
                <w:color w:val="auto"/>
              </w:rPr>
            </w:pPr>
            <w:r>
              <w:rPr>
                <w:rFonts w:ascii="Arial" w:cs="Arial" w:eastAsia="Arial" w:hAnsi="Arial"/>
                <w:sz w:val="14"/>
                <w:szCs w:val="14"/>
                <w:b w:val="1"/>
                <w:bCs w:val="1"/>
                <w:color w:val="FEFEFE"/>
              </w:rPr>
              <w:t>​ ​</w:t>
            </w:r>
          </w:p>
        </w:tc>
        <w:tc>
          <w:tcPr>
            <w:tcW w:w="1480" w:type="dxa"/>
            <w:vAlign w:val="bottom"/>
            <w:shd w:val="clear" w:color="auto" w:fill="53C072"/>
          </w:tcPr>
          <w:p>
            <w:pPr>
              <w:ind w:left="440"/>
              <w:spacing w:after="0"/>
              <w:rPr>
                <w:sz w:val="20"/>
                <w:szCs w:val="20"/>
                <w:color w:val="auto"/>
              </w:rPr>
            </w:pPr>
            <w:r>
              <w:rPr>
                <w:rFonts w:ascii="Arial" w:cs="Arial" w:eastAsia="Arial" w:hAnsi="Arial"/>
                <w:sz w:val="14"/>
                <w:szCs w:val="14"/>
                <w:b w:val="1"/>
                <w:bCs w:val="1"/>
                <w:color w:val="FEFEFE"/>
              </w:rPr>
              <w:t>ROWC %</w:t>
            </w:r>
          </w:p>
        </w:tc>
        <w:tc>
          <w:tcPr>
            <w:tcW w:w="300" w:type="dxa"/>
            <w:vAlign w:val="bottom"/>
            <w:gridSpan w:val="2"/>
            <w:shd w:val="clear" w:color="auto" w:fill="53C072"/>
          </w:tcPr>
          <w:p>
            <w:pPr>
              <w:jc w:val="right"/>
              <w:ind w:right="10"/>
              <w:spacing w:after="0"/>
              <w:rPr>
                <w:sz w:val="20"/>
                <w:szCs w:val="20"/>
                <w:color w:val="auto"/>
              </w:rPr>
            </w:pPr>
            <w:r>
              <w:rPr>
                <w:rFonts w:ascii="Arial" w:cs="Arial" w:eastAsia="Arial" w:hAnsi="Arial"/>
                <w:sz w:val="14"/>
                <w:szCs w:val="14"/>
                <w:b w:val="1"/>
                <w:bCs w:val="1"/>
                <w:color w:val="FEFEFE"/>
              </w:rPr>
              <w:t>​ ​</w:t>
            </w:r>
          </w:p>
        </w:tc>
        <w:tc>
          <w:tcPr>
            <w:tcW w:w="140" w:type="dxa"/>
            <w:vAlign w:val="bottom"/>
            <w:tcBorders>
              <w:right w:val="single" w:sz="8" w:color="53C072"/>
            </w:tcBorders>
            <w:shd w:val="clear" w:color="auto" w:fill="53C072"/>
          </w:tcPr>
          <w:p>
            <w:pPr>
              <w:spacing w:after="0"/>
              <w:rPr>
                <w:sz w:val="23"/>
                <w:szCs w:val="23"/>
                <w:color w:val="auto"/>
              </w:rPr>
            </w:pPr>
          </w:p>
        </w:tc>
        <w:tc>
          <w:tcPr>
            <w:tcW w:w="100" w:type="dxa"/>
            <w:vAlign w:val="bottom"/>
            <w:shd w:val="clear" w:color="auto" w:fill="53C072"/>
          </w:tcPr>
          <w:p>
            <w:pPr>
              <w:spacing w:after="0"/>
              <w:rPr>
                <w:sz w:val="23"/>
                <w:szCs w:val="23"/>
                <w:color w:val="auto"/>
              </w:rPr>
            </w:pPr>
          </w:p>
        </w:tc>
        <w:tc>
          <w:tcPr>
            <w:tcW w:w="2780" w:type="dxa"/>
            <w:vAlign w:val="bottom"/>
            <w:tcBorders>
              <w:right w:val="single" w:sz="8" w:color="53C072"/>
            </w:tcBorders>
            <w:shd w:val="clear" w:color="auto" w:fill="53C072"/>
          </w:tcPr>
          <w:p>
            <w:pPr>
              <w:jc w:val="center"/>
              <w:ind w:right="314"/>
              <w:spacing w:after="0"/>
              <w:rPr>
                <w:sz w:val="20"/>
                <w:szCs w:val="20"/>
                <w:color w:val="auto"/>
              </w:rPr>
            </w:pPr>
            <w:r>
              <w:rPr>
                <w:rFonts w:ascii="Arial" w:cs="Arial" w:eastAsia="Arial" w:hAnsi="Arial"/>
                <w:sz w:val="14"/>
                <w:szCs w:val="14"/>
                <w:b w:val="1"/>
                <w:bCs w:val="1"/>
                <w:color w:val="FEFEFE"/>
              </w:rPr>
              <w:t>% Payout</w:t>
            </w:r>
          </w:p>
        </w:tc>
        <w:tc>
          <w:tcPr>
            <w:tcW w:w="0" w:type="dxa"/>
            <w:vAlign w:val="bottom"/>
          </w:tcPr>
          <w:p>
            <w:pPr>
              <w:spacing w:after="0"/>
              <w:rPr>
                <w:sz w:val="1"/>
                <w:szCs w:val="1"/>
                <w:color w:val="auto"/>
              </w:rPr>
            </w:pPr>
          </w:p>
        </w:tc>
      </w:tr>
      <w:tr>
        <w:trPr>
          <w:trHeight w:val="270"/>
        </w:trPr>
        <w:tc>
          <w:tcPr>
            <w:tcW w:w="220" w:type="dxa"/>
            <w:vAlign w:val="bottom"/>
            <w:tcBorders>
              <w:left w:val="single" w:sz="8" w:color="53C072"/>
              <w:bottom w:val="single" w:sz="8" w:color="53C072"/>
            </w:tcBorders>
          </w:tcPr>
          <w:p>
            <w:pPr>
              <w:spacing w:after="0"/>
              <w:rPr>
                <w:sz w:val="23"/>
                <w:szCs w:val="23"/>
                <w:color w:val="auto"/>
              </w:rPr>
            </w:pPr>
          </w:p>
        </w:tc>
        <w:tc>
          <w:tcPr>
            <w:tcW w:w="90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Maximum</w:t>
            </w:r>
          </w:p>
        </w:tc>
        <w:tc>
          <w:tcPr>
            <w:tcW w:w="120" w:type="dxa"/>
            <w:vAlign w:val="bottom"/>
            <w:tcBorders>
              <w:bottom w:val="single" w:sz="8" w:color="53C072"/>
            </w:tcBorders>
          </w:tcPr>
          <w:p>
            <w:pPr>
              <w:spacing w:after="0"/>
              <w:rPr>
                <w:sz w:val="23"/>
                <w:szCs w:val="23"/>
                <w:color w:val="auto"/>
              </w:rPr>
            </w:pPr>
          </w:p>
        </w:tc>
        <w:tc>
          <w:tcPr>
            <w:tcW w:w="220" w:type="dxa"/>
            <w:vAlign w:val="bottom"/>
            <w:tcBorders>
              <w:bottom w:val="single" w:sz="8" w:color="53C072"/>
            </w:tcBorders>
          </w:tcPr>
          <w:p>
            <w:pPr>
              <w:spacing w:after="0"/>
              <w:rPr>
                <w:sz w:val="23"/>
                <w:szCs w:val="23"/>
                <w:color w:val="auto"/>
              </w:rPr>
            </w:pPr>
          </w:p>
        </w:tc>
        <w:tc>
          <w:tcPr>
            <w:tcW w:w="26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gridSpan w:val="3"/>
          </w:tcPr>
          <w:p>
            <w:pPr>
              <w:jc w:val="center"/>
              <w:ind w:left="354"/>
              <w:spacing w:after="0"/>
              <w:rPr>
                <w:sz w:val="20"/>
                <w:szCs w:val="20"/>
                <w:color w:val="auto"/>
              </w:rPr>
            </w:pPr>
            <w:r>
              <w:rPr>
                <w:rFonts w:ascii="Arial" w:cs="Arial" w:eastAsia="Arial" w:hAnsi="Arial"/>
                <w:sz w:val="18"/>
                <w:szCs w:val="18"/>
                <w:color w:val="auto"/>
                <w:w w:val="99"/>
              </w:rPr>
              <w:t>133%</w:t>
            </w:r>
          </w:p>
        </w:tc>
        <w:tc>
          <w:tcPr>
            <w:tcW w:w="10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380" w:type="dxa"/>
            <w:vAlign w:val="bottom"/>
            <w:tcBorders>
              <w:bottom w:val="single" w:sz="8" w:color="53C072"/>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2780" w:type="dxa"/>
            <w:vAlign w:val="bottom"/>
            <w:tcBorders>
              <w:bottom w:val="single" w:sz="8" w:color="53C072"/>
              <w:right w:val="single" w:sz="8" w:color="53C072"/>
            </w:tcBorders>
          </w:tcPr>
          <w:p>
            <w:pPr>
              <w:jc w:val="center"/>
              <w:ind w:right="314"/>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24"/>
        </w:trPr>
        <w:tc>
          <w:tcPr>
            <w:tcW w:w="220" w:type="dxa"/>
            <w:vAlign w:val="bottom"/>
            <w:tcBorders>
              <w:left w:val="single" w:sz="8" w:color="53C072"/>
            </w:tcBorders>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&gt; Target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center"/>
              <w:ind w:left="174"/>
              <w:spacing w:after="0"/>
              <w:rPr>
                <w:sz w:val="20"/>
                <w:szCs w:val="20"/>
                <w:color w:val="auto"/>
              </w:rPr>
            </w:pPr>
            <w:r>
              <w:rPr>
                <w:rFonts w:ascii="Arial" w:cs="Arial" w:eastAsia="Arial" w:hAnsi="Arial"/>
                <w:sz w:val="18"/>
                <w:szCs w:val="18"/>
                <w:color w:val="auto"/>
                <w:w w:val="99"/>
              </w:rPr>
              <w:t>1% change = 1%</w:t>
            </w:r>
          </w:p>
        </w:tc>
        <w:tc>
          <w:tcPr>
            <w:tcW w:w="380" w:type="dxa"/>
            <w:vAlign w:val="bottom"/>
            <w:tcBorders>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rPr>
                <w:sz w:val="20"/>
                <w:szCs w:val="20"/>
                <w:color w:val="auto"/>
              </w:rPr>
            </w:pPr>
            <w:r>
              <w:rPr>
                <w:rFonts w:ascii="Arial" w:cs="Arial" w:eastAsia="Arial" w:hAnsi="Arial"/>
                <w:sz w:val="18"/>
                <w:szCs w:val="18"/>
                <w:color w:val="auto"/>
              </w:rPr>
              <w:t>​ 20.11% — 26.79%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jc w:val="center"/>
              <w:ind w:right="314"/>
              <w:spacing w:after="0"/>
              <w:rPr>
                <w:sz w:val="20"/>
                <w:szCs w:val="20"/>
                <w:color w:val="auto"/>
              </w:rPr>
            </w:pPr>
            <w:r>
              <w:rPr>
                <w:rFonts w:ascii="Arial" w:cs="Arial" w:eastAsia="Arial" w:hAnsi="Arial"/>
                <w:sz w:val="18"/>
                <w:szCs w:val="18"/>
                <w:color w:val="auto"/>
                <w:w w:val="99"/>
              </w:rPr>
              <w:t>3% increase in payout per 1%</w:t>
            </w:r>
          </w:p>
        </w:tc>
        <w:tc>
          <w:tcPr>
            <w:tcW w:w="0" w:type="dxa"/>
            <w:vAlign w:val="bottom"/>
          </w:tcPr>
          <w:p>
            <w:pPr>
              <w:spacing w:after="0"/>
              <w:rPr>
                <w:sz w:val="1"/>
                <w:szCs w:val="1"/>
                <w:color w:val="auto"/>
              </w:rPr>
            </w:pPr>
          </w:p>
        </w:tc>
      </w:tr>
      <w:tr>
        <w:trPr>
          <w:trHeight w:val="229"/>
        </w:trPr>
        <w:tc>
          <w:tcPr>
            <w:tcW w:w="220" w:type="dxa"/>
            <w:vAlign w:val="bottom"/>
            <w:tcBorders>
              <w:left w:val="single" w:sz="8" w:color="53C072"/>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53C072"/>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right w:val="single" w:sz="8" w:color="53C072"/>
            </w:tcBorders>
            <w:gridSpan w:val="6"/>
          </w:tcPr>
          <w:p>
            <w:pPr>
              <w:ind w:left="2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Borders>
              <w:right w:val="single" w:sz="8" w:color="53C072"/>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ind w:left="400"/>
              <w:spacing w:after="0"/>
              <w:rPr>
                <w:sz w:val="20"/>
                <w:szCs w:val="20"/>
                <w:color w:val="auto"/>
              </w:rPr>
            </w:pPr>
            <w:r>
              <w:rPr>
                <w:rFonts w:ascii="Arial" w:cs="Arial" w:eastAsia="Arial" w:hAnsi="Arial"/>
                <w:sz w:val="18"/>
                <w:szCs w:val="18"/>
                <w:color w:val="auto"/>
              </w:rPr>
              <w:t>increase in attainment</w:t>
            </w:r>
          </w:p>
        </w:tc>
        <w:tc>
          <w:tcPr>
            <w:tcW w:w="0" w:type="dxa"/>
            <w:vAlign w:val="bottom"/>
          </w:tcPr>
          <w:p>
            <w:pPr>
              <w:spacing w:after="0"/>
              <w:rPr>
                <w:sz w:val="1"/>
                <w:szCs w:val="1"/>
                <w:color w:val="auto"/>
              </w:rPr>
            </w:pPr>
          </w:p>
        </w:tc>
      </w:tr>
      <w:tr>
        <w:trPr>
          <w:trHeight w:val="27"/>
        </w:trPr>
        <w:tc>
          <w:tcPr>
            <w:tcW w:w="220" w:type="dxa"/>
            <w:vAlign w:val="bottom"/>
            <w:tcBorders>
              <w:left w:val="single" w:sz="8" w:color="53C072"/>
              <w:bottom w:val="single" w:sz="8" w:color="53C072"/>
            </w:tcBorders>
          </w:tcPr>
          <w:p>
            <w:pPr>
              <w:spacing w:after="0"/>
              <w:rPr>
                <w:sz w:val="2"/>
                <w:szCs w:val="2"/>
                <w:color w:val="auto"/>
              </w:rPr>
            </w:pPr>
          </w:p>
        </w:tc>
        <w:tc>
          <w:tcPr>
            <w:tcW w:w="90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26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78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0" w:type="dxa"/>
            <w:vAlign w:val="bottom"/>
            <w:tcBorders>
              <w:left w:val="single" w:sz="8" w:color="53C072"/>
              <w:bottom w:val="single" w:sz="8" w:color="53C072"/>
            </w:tcBorders>
            <w:shd w:val="clear" w:color="auto" w:fill="CBECD5"/>
          </w:tcPr>
          <w:p>
            <w:pPr>
              <w:spacing w:after="0"/>
              <w:rPr>
                <w:sz w:val="22"/>
                <w:szCs w:val="22"/>
                <w:color w:val="auto"/>
              </w:rPr>
            </w:pPr>
          </w:p>
        </w:tc>
        <w:tc>
          <w:tcPr>
            <w:tcW w:w="90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b w:val="1"/>
                <w:bCs w:val="1"/>
                <w:color w:val="auto"/>
              </w:rPr>
              <w:t>Target</w:t>
            </w:r>
          </w:p>
        </w:tc>
        <w:tc>
          <w:tcPr>
            <w:tcW w:w="120" w:type="dxa"/>
            <w:vAlign w:val="bottom"/>
            <w:tcBorders>
              <w:bottom w:val="single" w:sz="8" w:color="53C072"/>
              <w:right w:val="single" w:sz="8" w:color="CBECD5"/>
            </w:tcBorders>
            <w:shd w:val="clear" w:color="auto" w:fill="CBECD5"/>
          </w:tcPr>
          <w:p>
            <w:pPr>
              <w:spacing w:after="0"/>
              <w:rPr>
                <w:sz w:val="22"/>
                <w:szCs w:val="22"/>
                <w:color w:val="auto"/>
              </w:rPr>
            </w:pPr>
          </w:p>
        </w:tc>
        <w:tc>
          <w:tcPr>
            <w:tcW w:w="220" w:type="dxa"/>
            <w:vAlign w:val="bottom"/>
            <w:tcBorders>
              <w:bottom w:val="single" w:sz="8" w:color="53C072"/>
            </w:tcBorders>
            <w:shd w:val="clear" w:color="auto" w:fill="CBECD5"/>
          </w:tcPr>
          <w:p>
            <w:pPr>
              <w:spacing w:after="0"/>
              <w:rPr>
                <w:sz w:val="22"/>
                <w:szCs w:val="22"/>
                <w:color w:val="auto"/>
              </w:rPr>
            </w:pPr>
          </w:p>
        </w:tc>
        <w:tc>
          <w:tcPr>
            <w:tcW w:w="260" w:type="dxa"/>
            <w:vAlign w:val="bottom"/>
            <w:tcBorders>
              <w:bottom w:val="single" w:sz="8" w:color="53C072"/>
              <w:right w:val="single" w:sz="8" w:color="53C072"/>
            </w:tcBorders>
            <w:shd w:val="clear" w:color="auto" w:fill="CBECD5"/>
          </w:tcPr>
          <w:p>
            <w:pPr>
              <w:ind w:left="2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3C072"/>
            </w:tcBorders>
            <w:gridSpan w:val="3"/>
            <w:shd w:val="clear" w:color="auto" w:fill="CBECD5"/>
          </w:tcPr>
          <w:p>
            <w:pPr>
              <w:jc w:val="right"/>
              <w:ind w:right="1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380" w:type="dxa"/>
            <w:vAlign w:val="bottom"/>
            <w:tcBorders>
              <w:bottom w:val="single" w:sz="8" w:color="53C072"/>
              <w:right w:val="single" w:sz="8" w:color="53C072"/>
            </w:tcBorders>
            <w:shd w:val="clear" w:color="auto" w:fill="CBECD5"/>
          </w:tcPr>
          <w:p>
            <w:pPr>
              <w:ind w:left="3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53C072"/>
            </w:tcBorders>
            <w:shd w:val="clear" w:color="auto" w:fill="CBECD5"/>
          </w:tcPr>
          <w:p>
            <w:pPr>
              <w:ind w:left="44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2780" w:type="dxa"/>
            <w:vAlign w:val="bottom"/>
            <w:tcBorders>
              <w:bottom w:val="single" w:sz="8" w:color="53C072"/>
              <w:right w:val="single" w:sz="8" w:color="53C072"/>
            </w:tcBorders>
            <w:shd w:val="clear" w:color="auto" w:fill="CBECD5"/>
          </w:tcPr>
          <w:p>
            <w:pPr>
              <w:jc w:val="center"/>
              <w:ind w:right="294"/>
              <w:spacing w:after="0"/>
              <w:rPr>
                <w:sz w:val="20"/>
                <w:szCs w:val="20"/>
                <w:color w:val="auto"/>
              </w:rPr>
            </w:pPr>
            <w:r>
              <w:rPr>
                <w:rFonts w:ascii="Arial" w:cs="Arial" w:eastAsia="Arial" w:hAnsi="Arial"/>
                <w:sz w:val="18"/>
                <w:szCs w:val="18"/>
                <w:b w:val="1"/>
                <w:bCs w:val="1"/>
                <w:color w:val="auto"/>
                <w:w w:val="98"/>
              </w:rPr>
              <w:t>100.0%</w:t>
            </w:r>
          </w:p>
        </w:tc>
        <w:tc>
          <w:tcPr>
            <w:tcW w:w="0" w:type="dxa"/>
            <w:vAlign w:val="bottom"/>
          </w:tcPr>
          <w:p>
            <w:pPr>
              <w:spacing w:after="0"/>
              <w:rPr>
                <w:sz w:val="1"/>
                <w:szCs w:val="1"/>
                <w:color w:val="auto"/>
              </w:rPr>
            </w:pPr>
          </w:p>
        </w:tc>
      </w:tr>
      <w:tr>
        <w:trPr>
          <w:trHeight w:val="224"/>
        </w:trPr>
        <w:tc>
          <w:tcPr>
            <w:tcW w:w="220" w:type="dxa"/>
            <w:vAlign w:val="bottom"/>
            <w:tcBorders>
              <w:left w:val="single" w:sz="8" w:color="53C072"/>
            </w:tcBorders>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&lt; Target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center"/>
              <w:ind w:left="174"/>
              <w:spacing w:after="0"/>
              <w:rPr>
                <w:sz w:val="20"/>
                <w:szCs w:val="20"/>
                <w:color w:val="auto"/>
              </w:rPr>
            </w:pPr>
            <w:r>
              <w:rPr>
                <w:rFonts w:ascii="Arial" w:cs="Arial" w:eastAsia="Arial" w:hAnsi="Arial"/>
                <w:sz w:val="18"/>
                <w:szCs w:val="18"/>
                <w:color w:val="auto"/>
                <w:w w:val="99"/>
              </w:rPr>
              <w:t>1% change = 1%</w:t>
            </w:r>
          </w:p>
        </w:tc>
        <w:tc>
          <w:tcPr>
            <w:tcW w:w="380" w:type="dxa"/>
            <w:vAlign w:val="bottom"/>
            <w:tcBorders>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rPr>
                <w:sz w:val="20"/>
                <w:szCs w:val="20"/>
                <w:color w:val="auto"/>
              </w:rPr>
            </w:pPr>
            <w:r>
              <w:rPr>
                <w:rFonts w:ascii="Arial" w:cs="Arial" w:eastAsia="Arial" w:hAnsi="Arial"/>
                <w:sz w:val="18"/>
                <w:szCs w:val="18"/>
                <w:color w:val="auto"/>
              </w:rPr>
              <w:t>​16.09% — 20.09%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80" w:type="dxa"/>
            <w:vAlign w:val="bottom"/>
            <w:tcBorders>
              <w:right w:val="single" w:sz="8" w:color="53C072"/>
            </w:tcBorders>
            <w:gridSpan w:val="2"/>
          </w:tcPr>
          <w:p>
            <w:pPr>
              <w:jc w:val="center"/>
              <w:ind w:right="194"/>
              <w:spacing w:after="0"/>
              <w:rPr>
                <w:sz w:val="20"/>
                <w:szCs w:val="20"/>
                <w:color w:val="auto"/>
              </w:rPr>
            </w:pPr>
            <w:r>
              <w:rPr>
                <w:rFonts w:ascii="Arial" w:cs="Arial" w:eastAsia="Arial" w:hAnsi="Arial"/>
                <w:sz w:val="18"/>
                <w:szCs w:val="18"/>
                <w:color w:val="auto"/>
                <w:w w:val="99"/>
              </w:rPr>
              <w:t>3% decrease in payout per 1%</w:t>
            </w:r>
          </w:p>
        </w:tc>
        <w:tc>
          <w:tcPr>
            <w:tcW w:w="0" w:type="dxa"/>
            <w:vAlign w:val="bottom"/>
          </w:tcPr>
          <w:p>
            <w:pPr>
              <w:spacing w:after="0"/>
              <w:rPr>
                <w:sz w:val="1"/>
                <w:szCs w:val="1"/>
                <w:color w:val="auto"/>
              </w:rPr>
            </w:pPr>
          </w:p>
        </w:tc>
      </w:tr>
      <w:tr>
        <w:trPr>
          <w:trHeight w:val="229"/>
        </w:trPr>
        <w:tc>
          <w:tcPr>
            <w:tcW w:w="220" w:type="dxa"/>
            <w:vAlign w:val="bottom"/>
            <w:tcBorders>
              <w:left w:val="single" w:sz="8" w:color="53C072"/>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53C072"/>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right w:val="single" w:sz="8" w:color="53C072"/>
            </w:tcBorders>
            <w:gridSpan w:val="6"/>
          </w:tcPr>
          <w:p>
            <w:pPr>
              <w:ind w:left="2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Borders>
              <w:right w:val="single" w:sz="8" w:color="53C072"/>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ind w:left="380"/>
              <w:spacing w:after="0"/>
              <w:rPr>
                <w:sz w:val="20"/>
                <w:szCs w:val="20"/>
                <w:color w:val="auto"/>
              </w:rPr>
            </w:pPr>
            <w:r>
              <w:rPr>
                <w:rFonts w:ascii="Arial" w:cs="Arial" w:eastAsia="Arial" w:hAnsi="Arial"/>
                <w:sz w:val="18"/>
                <w:szCs w:val="18"/>
                <w:color w:val="auto"/>
              </w:rPr>
              <w:t>decrease in attainment</w:t>
            </w:r>
          </w:p>
        </w:tc>
        <w:tc>
          <w:tcPr>
            <w:tcW w:w="0" w:type="dxa"/>
            <w:vAlign w:val="bottom"/>
          </w:tcPr>
          <w:p>
            <w:pPr>
              <w:spacing w:after="0"/>
              <w:rPr>
                <w:sz w:val="1"/>
                <w:szCs w:val="1"/>
                <w:color w:val="auto"/>
              </w:rPr>
            </w:pPr>
          </w:p>
        </w:tc>
      </w:tr>
      <w:tr>
        <w:trPr>
          <w:trHeight w:val="27"/>
        </w:trPr>
        <w:tc>
          <w:tcPr>
            <w:tcW w:w="220" w:type="dxa"/>
            <w:vAlign w:val="bottom"/>
            <w:tcBorders>
              <w:left w:val="single" w:sz="8" w:color="53C072"/>
              <w:bottom w:val="single" w:sz="8" w:color="53C072"/>
            </w:tcBorders>
          </w:tcPr>
          <w:p>
            <w:pPr>
              <w:spacing w:after="0"/>
              <w:rPr>
                <w:sz w:val="2"/>
                <w:szCs w:val="2"/>
                <w:color w:val="auto"/>
              </w:rPr>
            </w:pPr>
          </w:p>
        </w:tc>
        <w:tc>
          <w:tcPr>
            <w:tcW w:w="90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26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78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0" w:type="dxa"/>
            <w:vAlign w:val="bottom"/>
            <w:tcBorders>
              <w:left w:val="single" w:sz="8" w:color="53C072"/>
              <w:bottom w:val="single" w:sz="8" w:color="53C072"/>
            </w:tcBorders>
          </w:tcPr>
          <w:p>
            <w:pPr>
              <w:spacing w:after="0"/>
              <w:rPr>
                <w:sz w:val="21"/>
                <w:szCs w:val="21"/>
                <w:color w:val="auto"/>
              </w:rPr>
            </w:pPr>
          </w:p>
        </w:tc>
        <w:tc>
          <w:tcPr>
            <w:tcW w:w="90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Threshold</w:t>
            </w:r>
          </w:p>
        </w:tc>
        <w:tc>
          <w:tcPr>
            <w:tcW w:w="120" w:type="dxa"/>
            <w:vAlign w:val="bottom"/>
            <w:tcBorders>
              <w:bottom w:val="single" w:sz="8" w:color="53C072"/>
            </w:tcBorders>
          </w:tcPr>
          <w:p>
            <w:pPr>
              <w:spacing w:after="0"/>
              <w:rPr>
                <w:sz w:val="21"/>
                <w:szCs w:val="21"/>
                <w:color w:val="auto"/>
              </w:rPr>
            </w:pPr>
          </w:p>
        </w:tc>
        <w:tc>
          <w:tcPr>
            <w:tcW w:w="220" w:type="dxa"/>
            <w:vAlign w:val="bottom"/>
            <w:tcBorders>
              <w:bottom w:val="single" w:sz="8" w:color="53C072"/>
            </w:tcBorders>
          </w:tcPr>
          <w:p>
            <w:pPr>
              <w:spacing w:after="0"/>
              <w:rPr>
                <w:sz w:val="21"/>
                <w:szCs w:val="21"/>
                <w:color w:val="auto"/>
              </w:rPr>
            </w:pPr>
          </w:p>
        </w:tc>
        <w:tc>
          <w:tcPr>
            <w:tcW w:w="26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gridSpan w:val="3"/>
          </w:tcPr>
          <w:p>
            <w:pPr>
              <w:jc w:val="right"/>
              <w:ind w:right="15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380" w:type="dxa"/>
            <w:vAlign w:val="bottom"/>
            <w:tcBorders>
              <w:bottom w:val="single" w:sz="8" w:color="53C072"/>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2780" w:type="dxa"/>
            <w:vAlign w:val="bottom"/>
            <w:tcBorders>
              <w:bottom w:val="single" w:sz="8" w:color="53C072"/>
              <w:right w:val="single" w:sz="8" w:color="53C072"/>
            </w:tcBorders>
          </w:tcPr>
          <w:p>
            <w:pPr>
              <w:jc w:val="center"/>
              <w:ind w:right="294"/>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20" w:type="dxa"/>
            <w:vAlign w:val="bottom"/>
            <w:tcBorders>
              <w:left w:val="single" w:sz="8" w:color="53C072"/>
            </w:tcBorders>
            <w:shd w:val="clear" w:color="auto" w:fill="53C072"/>
          </w:tcPr>
          <w:p>
            <w:pPr>
              <w:spacing w:after="0"/>
              <w:rPr>
                <w:sz w:val="22"/>
                <w:szCs w:val="22"/>
                <w:color w:val="auto"/>
              </w:rPr>
            </w:pPr>
          </w:p>
        </w:tc>
        <w:tc>
          <w:tcPr>
            <w:tcW w:w="900" w:type="dxa"/>
            <w:vAlign w:val="bottom"/>
            <w:shd w:val="clear" w:color="auto" w:fill="53C072"/>
          </w:tcPr>
          <w:p>
            <w:pPr>
              <w:spacing w:after="0"/>
              <w:rPr>
                <w:sz w:val="22"/>
                <w:szCs w:val="22"/>
                <w:color w:val="auto"/>
              </w:rPr>
            </w:pPr>
          </w:p>
        </w:tc>
        <w:tc>
          <w:tcPr>
            <w:tcW w:w="120" w:type="dxa"/>
            <w:vAlign w:val="bottom"/>
            <w:tcBorders>
              <w:right w:val="single" w:sz="8" w:color="53C072"/>
            </w:tcBorders>
            <w:shd w:val="clear" w:color="auto" w:fill="53C072"/>
          </w:tcPr>
          <w:p>
            <w:pPr>
              <w:spacing w:after="0"/>
              <w:rPr>
                <w:sz w:val="22"/>
                <w:szCs w:val="22"/>
                <w:color w:val="auto"/>
              </w:rPr>
            </w:pPr>
          </w:p>
        </w:tc>
        <w:tc>
          <w:tcPr>
            <w:tcW w:w="220" w:type="dxa"/>
            <w:vAlign w:val="bottom"/>
            <w:shd w:val="clear" w:color="auto" w:fill="53C072"/>
          </w:tcPr>
          <w:p>
            <w:pPr>
              <w:spacing w:after="0"/>
              <w:rPr>
                <w:sz w:val="22"/>
                <w:szCs w:val="22"/>
                <w:color w:val="auto"/>
              </w:rPr>
            </w:pPr>
          </w:p>
        </w:tc>
        <w:tc>
          <w:tcPr>
            <w:tcW w:w="26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0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4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3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480" w:type="dxa"/>
            <w:vAlign w:val="bottom"/>
            <w:shd w:val="clear" w:color="auto" w:fill="53C072"/>
          </w:tcPr>
          <w:p>
            <w:pPr>
              <w:jc w:val="center"/>
              <w:ind w:right="440"/>
              <w:spacing w:after="0"/>
              <w:rPr>
                <w:sz w:val="20"/>
                <w:szCs w:val="20"/>
                <w:color w:val="auto"/>
              </w:rPr>
            </w:pPr>
            <w:r>
              <w:rPr>
                <w:rFonts w:ascii="Arial" w:cs="Arial" w:eastAsia="Arial" w:hAnsi="Arial"/>
                <w:sz w:val="14"/>
                <w:szCs w:val="14"/>
                <w:b w:val="1"/>
                <w:bCs w:val="1"/>
                <w:color w:val="FEFEFE"/>
              </w:rPr>
              <w:t>Fiscal 2023</w:t>
            </w:r>
          </w:p>
        </w:tc>
        <w:tc>
          <w:tcPr>
            <w:tcW w:w="12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4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2780" w:type="dxa"/>
            <w:vAlign w:val="bottom"/>
            <w:tcBorders>
              <w:right w:val="single" w:sz="8" w:color="53C072"/>
            </w:tcBorders>
            <w:shd w:val="clear" w:color="auto" w:fill="53C07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53C072"/>
            </w:tcBorders>
            <w:shd w:val="clear" w:color="auto" w:fill="53C072"/>
          </w:tcPr>
          <w:p>
            <w:pPr>
              <w:spacing w:after="0"/>
              <w:rPr>
                <w:sz w:val="14"/>
                <w:szCs w:val="14"/>
                <w:color w:val="auto"/>
              </w:rPr>
            </w:pPr>
          </w:p>
        </w:tc>
        <w:tc>
          <w:tcPr>
            <w:tcW w:w="900" w:type="dxa"/>
            <w:vAlign w:val="bottom"/>
            <w:shd w:val="clear" w:color="auto" w:fill="53C072"/>
          </w:tcPr>
          <w:p>
            <w:pPr>
              <w:spacing w:after="0"/>
              <w:rPr>
                <w:sz w:val="14"/>
                <w:szCs w:val="14"/>
                <w:color w:val="auto"/>
              </w:rPr>
            </w:pPr>
          </w:p>
        </w:tc>
        <w:tc>
          <w:tcPr>
            <w:tcW w:w="120" w:type="dxa"/>
            <w:vAlign w:val="bottom"/>
            <w:tcBorders>
              <w:right w:val="single" w:sz="8" w:color="53C072"/>
            </w:tcBorders>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26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960" w:type="dxa"/>
            <w:vAlign w:val="bottom"/>
            <w:gridSpan w:val="3"/>
            <w:shd w:val="clear" w:color="auto" w:fill="53C072"/>
          </w:tcPr>
          <w:p>
            <w:pPr>
              <w:jc w:val="center"/>
              <w:spacing w:after="0"/>
              <w:rPr>
                <w:sz w:val="20"/>
                <w:szCs w:val="20"/>
                <w:color w:val="auto"/>
              </w:rPr>
            </w:pPr>
            <w:r>
              <w:rPr>
                <w:rFonts w:ascii="Arial" w:cs="Arial" w:eastAsia="Arial" w:hAnsi="Arial"/>
                <w:sz w:val="14"/>
                <w:szCs w:val="14"/>
                <w:b w:val="1"/>
                <w:bCs w:val="1"/>
                <w:color w:val="FEFEFE"/>
              </w:rPr>
              <w:t>Relative Market Share Goals</w:t>
            </w:r>
          </w:p>
        </w:tc>
        <w:tc>
          <w:tcPr>
            <w:tcW w:w="12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4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2780" w:type="dxa"/>
            <w:vAlign w:val="bottom"/>
            <w:tcBorders>
              <w:right w:val="single" w:sz="8" w:color="53C072"/>
            </w:tcBorders>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90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20" w:type="dxa"/>
            <w:vAlign w:val="bottom"/>
            <w:shd w:val="clear" w:color="auto" w:fill="53C072"/>
          </w:tcPr>
          <w:p>
            <w:pPr>
              <w:spacing w:after="0"/>
              <w:rPr>
                <w:sz w:val="17"/>
                <w:szCs w:val="17"/>
                <w:color w:val="auto"/>
              </w:rPr>
            </w:pPr>
          </w:p>
        </w:tc>
        <w:tc>
          <w:tcPr>
            <w:tcW w:w="26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580" w:type="dxa"/>
            <w:vAlign w:val="bottom"/>
            <w:gridSpan w:val="2"/>
            <w:shd w:val="clear" w:color="auto" w:fill="53C072"/>
          </w:tcPr>
          <w:p>
            <w:pPr>
              <w:jc w:val="center"/>
              <w:ind w:right="300"/>
              <w:spacing w:after="0"/>
              <w:rPr>
                <w:sz w:val="20"/>
                <w:szCs w:val="20"/>
                <w:color w:val="auto"/>
              </w:rPr>
            </w:pPr>
            <w:r>
              <w:rPr>
                <w:rFonts w:ascii="Arial" w:cs="Arial" w:eastAsia="Arial" w:hAnsi="Arial"/>
                <w:sz w:val="14"/>
                <w:szCs w:val="14"/>
                <w:b w:val="1"/>
                <w:bCs w:val="1"/>
                <w:color w:val="FEFEFE"/>
              </w:rPr>
              <w:t>20% Weighting</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27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left w:val="single" w:sz="8" w:color="53C072"/>
            </w:tcBorders>
            <w:shd w:val="clear" w:color="auto" w:fill="53C072"/>
          </w:tcPr>
          <w:p>
            <w:pPr>
              <w:spacing w:after="0"/>
              <w:rPr>
                <w:sz w:val="17"/>
                <w:szCs w:val="17"/>
                <w:color w:val="auto"/>
              </w:rPr>
            </w:pPr>
          </w:p>
        </w:tc>
        <w:tc>
          <w:tcPr>
            <w:tcW w:w="90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20" w:type="dxa"/>
            <w:vAlign w:val="bottom"/>
            <w:shd w:val="clear" w:color="auto" w:fill="53C072"/>
          </w:tcPr>
          <w:p>
            <w:pPr>
              <w:spacing w:after="0"/>
              <w:rPr>
                <w:sz w:val="17"/>
                <w:szCs w:val="17"/>
                <w:color w:val="auto"/>
              </w:rPr>
            </w:pPr>
          </w:p>
        </w:tc>
        <w:tc>
          <w:tcPr>
            <w:tcW w:w="26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580" w:type="dxa"/>
            <w:vAlign w:val="bottom"/>
            <w:gridSpan w:val="2"/>
            <w:shd w:val="clear" w:color="auto" w:fill="53C072"/>
          </w:tcPr>
          <w:p>
            <w:pPr>
              <w:jc w:val="center"/>
              <w:ind w:right="480"/>
              <w:spacing w:after="0"/>
              <w:rPr>
                <w:sz w:val="20"/>
                <w:szCs w:val="20"/>
                <w:color w:val="auto"/>
              </w:rPr>
            </w:pPr>
            <w:r>
              <w:rPr>
                <w:rFonts w:ascii="Arial" w:cs="Arial" w:eastAsia="Arial" w:hAnsi="Arial"/>
                <w:sz w:val="14"/>
                <w:szCs w:val="14"/>
                <w:b w:val="1"/>
                <w:bCs w:val="1"/>
                <w:color w:val="FEFEFE"/>
              </w:rPr>
              <w:t>Market Share</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27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53C072"/>
            </w:tcBorders>
            <w:shd w:val="clear" w:color="auto" w:fill="53C072"/>
          </w:tcPr>
          <w:p>
            <w:pPr>
              <w:spacing w:after="0"/>
              <w:rPr>
                <w:sz w:val="14"/>
                <w:szCs w:val="14"/>
                <w:color w:val="auto"/>
              </w:rPr>
            </w:pPr>
          </w:p>
        </w:tc>
        <w:tc>
          <w:tcPr>
            <w:tcW w:w="900" w:type="dxa"/>
            <w:vAlign w:val="bottom"/>
            <w:shd w:val="clear" w:color="auto" w:fill="53C072"/>
          </w:tcPr>
          <w:p>
            <w:pPr>
              <w:spacing w:after="0"/>
              <w:rPr>
                <w:sz w:val="14"/>
                <w:szCs w:val="14"/>
                <w:color w:val="auto"/>
              </w:rPr>
            </w:pPr>
          </w:p>
        </w:tc>
        <w:tc>
          <w:tcPr>
            <w:tcW w:w="120" w:type="dxa"/>
            <w:vAlign w:val="bottom"/>
            <w:tcBorders>
              <w:right w:val="single" w:sz="8" w:color="53C072"/>
            </w:tcBorders>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26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380" w:type="dxa"/>
            <w:vAlign w:val="bottom"/>
            <w:tcBorders>
              <w:right w:val="single" w:sz="8" w:color="53C072"/>
            </w:tcBorders>
            <w:shd w:val="clear" w:color="auto" w:fill="53C072"/>
          </w:tcPr>
          <w:p>
            <w:pPr>
              <w:spacing w:after="0"/>
              <w:rPr>
                <w:sz w:val="14"/>
                <w:szCs w:val="14"/>
                <w:color w:val="auto"/>
              </w:rPr>
            </w:pPr>
          </w:p>
        </w:tc>
        <w:tc>
          <w:tcPr>
            <w:tcW w:w="1580" w:type="dxa"/>
            <w:vAlign w:val="bottom"/>
            <w:gridSpan w:val="2"/>
            <w:shd w:val="clear" w:color="auto" w:fill="53C072"/>
          </w:tcPr>
          <w:p>
            <w:pPr>
              <w:jc w:val="center"/>
              <w:ind w:right="400"/>
              <w:spacing w:after="0"/>
              <w:rPr>
                <w:sz w:val="20"/>
                <w:szCs w:val="20"/>
                <w:color w:val="auto"/>
              </w:rPr>
            </w:pPr>
            <w:r>
              <w:rPr>
                <w:rFonts w:ascii="Arial" w:cs="Arial" w:eastAsia="Arial" w:hAnsi="Arial"/>
                <w:sz w:val="14"/>
                <w:szCs w:val="14"/>
                <w:b w:val="1"/>
                <w:bCs w:val="1"/>
                <w:color w:val="FEFEFE"/>
              </w:rPr>
              <w:t>Improvement/​</w:t>
            </w:r>
          </w:p>
        </w:tc>
        <w:tc>
          <w:tcPr>
            <w:tcW w:w="12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4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2780" w:type="dxa"/>
            <w:vAlign w:val="bottom"/>
            <w:tcBorders>
              <w:right w:val="single" w:sz="8" w:color="53C072"/>
            </w:tcBorders>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900" w:type="dxa"/>
            <w:vAlign w:val="bottom"/>
            <w:shd w:val="clear" w:color="auto" w:fill="53C072"/>
          </w:tcPr>
          <w:p>
            <w:pPr>
              <w:spacing w:after="0"/>
              <w:rPr>
                <w:sz w:val="18"/>
                <w:szCs w:val="18"/>
                <w:color w:val="auto"/>
              </w:rPr>
            </w:pPr>
          </w:p>
        </w:tc>
        <w:tc>
          <w:tcPr>
            <w:tcW w:w="120" w:type="dxa"/>
            <w:vAlign w:val="bottom"/>
            <w:tcBorders>
              <w:right w:val="single" w:sz="8" w:color="53C072"/>
            </w:tcBorders>
            <w:shd w:val="clear" w:color="auto" w:fill="53C072"/>
          </w:tcPr>
          <w:p>
            <w:pPr>
              <w:spacing w:after="0"/>
              <w:rPr>
                <w:sz w:val="18"/>
                <w:szCs w:val="18"/>
                <w:color w:val="auto"/>
              </w:rPr>
            </w:pPr>
          </w:p>
        </w:tc>
        <w:tc>
          <w:tcPr>
            <w:tcW w:w="220" w:type="dxa"/>
            <w:vAlign w:val="bottom"/>
            <w:shd w:val="clear" w:color="auto" w:fill="53C072"/>
          </w:tcPr>
          <w:p>
            <w:pPr>
              <w:spacing w:after="0"/>
              <w:rPr>
                <w:sz w:val="18"/>
                <w:szCs w:val="18"/>
                <w:color w:val="auto"/>
              </w:rPr>
            </w:pPr>
          </w:p>
        </w:tc>
        <w:tc>
          <w:tcPr>
            <w:tcW w:w="26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1020" w:type="dxa"/>
            <w:vAlign w:val="bottom"/>
            <w:shd w:val="clear" w:color="auto" w:fill="53C072"/>
          </w:tcPr>
          <w:p>
            <w:pPr>
              <w:spacing w:after="0"/>
              <w:rPr>
                <w:sz w:val="18"/>
                <w:szCs w:val="18"/>
                <w:color w:val="auto"/>
              </w:rPr>
            </w:pPr>
          </w:p>
        </w:tc>
        <w:tc>
          <w:tcPr>
            <w:tcW w:w="440" w:type="dxa"/>
            <w:vAlign w:val="bottom"/>
            <w:gridSpan w:val="2"/>
            <w:shd w:val="clear" w:color="auto" w:fill="53C072"/>
          </w:tcPr>
          <w:p>
            <w:pPr>
              <w:jc w:val="right"/>
              <w:ind w:right="170"/>
              <w:spacing w:after="0"/>
              <w:rPr>
                <w:sz w:val="20"/>
                <w:szCs w:val="20"/>
                <w:color w:val="auto"/>
              </w:rPr>
            </w:pPr>
            <w:r>
              <w:rPr>
                <w:rFonts w:ascii="Arial" w:cs="Arial" w:eastAsia="Arial" w:hAnsi="Arial"/>
                <w:sz w:val="14"/>
                <w:szCs w:val="14"/>
                <w:b w:val="1"/>
                <w:bCs w:val="1"/>
                <w:color w:val="FEFEFE"/>
              </w:rPr>
              <w:t>​ ​</w:t>
            </w:r>
          </w:p>
        </w:tc>
        <w:tc>
          <w:tcPr>
            <w:tcW w:w="10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38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1480" w:type="dxa"/>
            <w:vAlign w:val="bottom"/>
            <w:shd w:val="clear" w:color="auto" w:fill="53C072"/>
          </w:tcPr>
          <w:p>
            <w:pPr>
              <w:jc w:val="center"/>
              <w:ind w:right="520"/>
              <w:spacing w:after="0"/>
              <w:rPr>
                <w:sz w:val="20"/>
                <w:szCs w:val="20"/>
                <w:color w:val="auto"/>
              </w:rPr>
            </w:pPr>
            <w:r>
              <w:rPr>
                <w:rFonts w:ascii="Arial" w:cs="Arial" w:eastAsia="Arial" w:hAnsi="Arial"/>
                <w:sz w:val="14"/>
                <w:szCs w:val="14"/>
                <w:b w:val="1"/>
                <w:bCs w:val="1"/>
                <w:color w:val="FEFEFE"/>
              </w:rPr>
              <w:t>(Decline)</w:t>
            </w:r>
          </w:p>
        </w:tc>
        <w:tc>
          <w:tcPr>
            <w:tcW w:w="120" w:type="dxa"/>
            <w:vAlign w:val="bottom"/>
            <w:tcBorders>
              <w:right w:val="single" w:sz="8" w:color="53C072"/>
            </w:tcBorders>
            <w:shd w:val="clear" w:color="auto" w:fill="53C072"/>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24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2780" w:type="dxa"/>
            <w:vAlign w:val="bottom"/>
            <w:tcBorders>
              <w:right w:val="single" w:sz="8" w:color="53C072"/>
            </w:tcBorders>
            <w:shd w:val="clear" w:color="auto" w:fill="53C072"/>
          </w:tcPr>
          <w:p>
            <w:pPr>
              <w:jc w:val="center"/>
              <w:ind w:right="14"/>
              <w:spacing w:after="0"/>
              <w:rPr>
                <w:sz w:val="20"/>
                <w:szCs w:val="20"/>
                <w:color w:val="auto"/>
              </w:rPr>
            </w:pPr>
            <w:r>
              <w:rPr>
                <w:rFonts w:ascii="Arial" w:cs="Arial" w:eastAsia="Arial" w:hAnsi="Arial"/>
                <w:sz w:val="14"/>
                <w:szCs w:val="14"/>
                <w:b w:val="1"/>
                <w:bCs w:val="1"/>
                <w:color w:val="FEFEFE"/>
              </w:rPr>
              <w:t>% Payout</w:t>
            </w:r>
          </w:p>
        </w:tc>
        <w:tc>
          <w:tcPr>
            <w:tcW w:w="0" w:type="dxa"/>
            <w:vAlign w:val="bottom"/>
          </w:tcPr>
          <w:p>
            <w:pPr>
              <w:spacing w:after="0"/>
              <w:rPr>
                <w:sz w:val="1"/>
                <w:szCs w:val="1"/>
                <w:color w:val="auto"/>
              </w:rPr>
            </w:pPr>
          </w:p>
        </w:tc>
      </w:tr>
      <w:tr>
        <w:trPr>
          <w:trHeight w:val="270"/>
        </w:trPr>
        <w:tc>
          <w:tcPr>
            <w:tcW w:w="1120" w:type="dxa"/>
            <w:vAlign w:val="bottom"/>
            <w:tcBorders>
              <w:left w:val="single" w:sz="8" w:color="53C072"/>
              <w:bottom w:val="single" w:sz="8" w:color="53C072"/>
            </w:tcBorders>
            <w:gridSpan w:val="2"/>
          </w:tcPr>
          <w:p>
            <w:pPr>
              <w:ind w:left="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Maximum</w:t>
            </w:r>
          </w:p>
        </w:tc>
        <w:tc>
          <w:tcPr>
            <w:tcW w:w="120" w:type="dxa"/>
            <w:vAlign w:val="bottom"/>
            <w:tcBorders>
              <w:bottom w:val="single" w:sz="8" w:color="53C072"/>
            </w:tcBorders>
          </w:tcPr>
          <w:p>
            <w:pPr>
              <w:spacing w:after="0"/>
              <w:rPr>
                <w:sz w:val="23"/>
                <w:szCs w:val="23"/>
                <w:color w:val="auto"/>
              </w:rPr>
            </w:pPr>
          </w:p>
        </w:tc>
        <w:tc>
          <w:tcPr>
            <w:tcW w:w="220" w:type="dxa"/>
            <w:vAlign w:val="bottom"/>
            <w:tcBorders>
              <w:bottom w:val="single" w:sz="8" w:color="53C072"/>
            </w:tcBorders>
          </w:tcPr>
          <w:p>
            <w:pPr>
              <w:spacing w:after="0"/>
              <w:rPr>
                <w:sz w:val="23"/>
                <w:szCs w:val="23"/>
                <w:color w:val="auto"/>
              </w:rPr>
            </w:pPr>
          </w:p>
        </w:tc>
        <w:tc>
          <w:tcPr>
            <w:tcW w:w="26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02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38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480" w:type="dxa"/>
            <w:vAlign w:val="bottom"/>
            <w:tcBorders>
              <w:bottom w:val="single" w:sz="8" w:color="53C072"/>
            </w:tcBorders>
          </w:tcPr>
          <w:p>
            <w:pPr>
              <w:jc w:val="center"/>
              <w:ind w:right="520"/>
              <w:spacing w:after="0"/>
              <w:rPr>
                <w:sz w:val="20"/>
                <w:szCs w:val="20"/>
                <w:color w:val="auto"/>
              </w:rPr>
            </w:pPr>
            <w:r>
              <w:rPr>
                <w:rFonts w:ascii="Arial" w:cs="Arial" w:eastAsia="Arial" w:hAnsi="Arial"/>
                <w:sz w:val="18"/>
                <w:szCs w:val="18"/>
                <w:color w:val="auto"/>
                <w:w w:val="99"/>
              </w:rPr>
              <w:t>300 bps</w:t>
            </w:r>
          </w:p>
        </w:tc>
        <w:tc>
          <w:tcPr>
            <w:tcW w:w="120" w:type="dxa"/>
            <w:vAlign w:val="bottom"/>
            <w:tcBorders>
              <w:bottom w:val="single" w:sz="8" w:color="53C072"/>
            </w:tcBorders>
          </w:tcPr>
          <w:p>
            <w:pPr>
              <w:spacing w:after="0"/>
              <w:rPr>
                <w:sz w:val="23"/>
                <w:szCs w:val="23"/>
                <w:color w:val="auto"/>
              </w:rPr>
            </w:pPr>
          </w:p>
        </w:tc>
        <w:tc>
          <w:tcPr>
            <w:tcW w:w="180" w:type="dxa"/>
            <w:vAlign w:val="bottom"/>
            <w:tcBorders>
              <w:bottom w:val="single" w:sz="8" w:color="53C072"/>
            </w:tcBorders>
          </w:tcPr>
          <w:p>
            <w:pPr>
              <w:spacing w:after="0"/>
              <w:rPr>
                <w:sz w:val="23"/>
                <w:szCs w:val="23"/>
                <w:color w:val="auto"/>
              </w:rPr>
            </w:pP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53C072"/>
              <w:right w:val="single" w:sz="8" w:color="53C072"/>
            </w:tcBorders>
          </w:tcPr>
          <w:p>
            <w:pPr>
              <w:jc w:val="center"/>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24"/>
        </w:trPr>
        <w:tc>
          <w:tcPr>
            <w:tcW w:w="220" w:type="dxa"/>
            <w:vAlign w:val="bottom"/>
            <w:tcBorders>
              <w:left w:val="single" w:sz="8" w:color="53C072"/>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53C072"/>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right w:val="single" w:sz="8" w:color="53C072"/>
            </w:tcBorders>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jc w:val="center"/>
              <w:ind w:right="14"/>
              <w:spacing w:after="0"/>
              <w:rPr>
                <w:sz w:val="20"/>
                <w:szCs w:val="20"/>
                <w:color w:val="auto"/>
              </w:rPr>
            </w:pPr>
            <w:r>
              <w:rPr>
                <w:rFonts w:ascii="Arial" w:cs="Arial" w:eastAsia="Arial" w:hAnsi="Arial"/>
                <w:sz w:val="18"/>
                <w:szCs w:val="18"/>
                <w:color w:val="auto"/>
                <w:w w:val="99"/>
              </w:rPr>
              <w:t>0.40% increase in payout per</w:t>
            </w:r>
          </w:p>
        </w:tc>
        <w:tc>
          <w:tcPr>
            <w:tcW w:w="0" w:type="dxa"/>
            <w:vAlign w:val="bottom"/>
          </w:tcPr>
          <w:p>
            <w:pPr>
              <w:spacing w:after="0"/>
              <w:rPr>
                <w:sz w:val="1"/>
                <w:szCs w:val="1"/>
                <w:color w:val="auto"/>
              </w:rPr>
            </w:pPr>
          </w:p>
        </w:tc>
      </w:tr>
      <w:tr>
        <w:trPr>
          <w:trHeight w:val="256"/>
        </w:trPr>
        <w:tc>
          <w:tcPr>
            <w:tcW w:w="1120" w:type="dxa"/>
            <w:vAlign w:val="bottom"/>
            <w:tcBorders>
              <w:left w:val="single" w:sz="8" w:color="53C072"/>
              <w:bottom w:val="single" w:sz="8" w:color="53C072"/>
            </w:tcBorders>
            <w:gridSpan w:val="2"/>
          </w:tcPr>
          <w:p>
            <w:pPr>
              <w:ind w:left="120"/>
              <w:spacing w:after="0"/>
              <w:rPr>
                <w:sz w:val="20"/>
                <w:szCs w:val="20"/>
                <w:color w:val="auto"/>
              </w:rPr>
            </w:pPr>
            <w:r>
              <w:rPr>
                <w:rFonts w:ascii="Arial" w:cs="Arial" w:eastAsia="Arial" w:hAnsi="Arial"/>
                <w:sz w:val="18"/>
                <w:szCs w:val="18"/>
                <w:color w:val="auto"/>
              </w:rPr>
              <w:t>​ &gt; Target</w:t>
            </w:r>
          </w:p>
        </w:tc>
        <w:tc>
          <w:tcPr>
            <w:tcW w:w="120" w:type="dxa"/>
            <w:vAlign w:val="bottom"/>
            <w:tcBorders>
              <w:bottom w:val="single" w:sz="8" w:color="53C072"/>
            </w:tcBorders>
          </w:tcPr>
          <w:p>
            <w:pPr>
              <w:spacing w:after="0"/>
              <w:rPr>
                <w:sz w:val="22"/>
                <w:szCs w:val="22"/>
                <w:color w:val="auto"/>
              </w:rPr>
            </w:pPr>
          </w:p>
        </w:tc>
        <w:tc>
          <w:tcPr>
            <w:tcW w:w="220" w:type="dxa"/>
            <w:vAlign w:val="bottom"/>
            <w:tcBorders>
              <w:bottom w:val="single" w:sz="8" w:color="53C072"/>
            </w:tcBorders>
          </w:tcPr>
          <w:p>
            <w:pPr>
              <w:spacing w:after="0"/>
              <w:rPr>
                <w:sz w:val="22"/>
                <w:szCs w:val="22"/>
                <w:color w:val="auto"/>
              </w:rPr>
            </w:pPr>
          </w:p>
        </w:tc>
        <w:tc>
          <w:tcPr>
            <w:tcW w:w="26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102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380" w:type="dxa"/>
            <w:vAlign w:val="bottom"/>
            <w:tcBorders>
              <w:bottom w:val="single" w:sz="8" w:color="53C072"/>
            </w:tcBorders>
          </w:tcPr>
          <w:p>
            <w:pPr>
              <w:spacing w:after="0"/>
              <w:rPr>
                <w:sz w:val="22"/>
                <w:szCs w:val="22"/>
                <w:color w:val="auto"/>
              </w:rPr>
            </w:pPr>
          </w:p>
        </w:tc>
        <w:tc>
          <w:tcPr>
            <w:tcW w:w="1580" w:type="dxa"/>
            <w:vAlign w:val="bottom"/>
            <w:tcBorders>
              <w:bottom w:val="single" w:sz="8" w:color="53C072"/>
            </w:tcBorders>
            <w:gridSpan w:val="2"/>
          </w:tcPr>
          <w:p>
            <w:pPr>
              <w:jc w:val="center"/>
              <w:ind w:right="440"/>
              <w:spacing w:after="0"/>
              <w:rPr>
                <w:sz w:val="20"/>
                <w:szCs w:val="20"/>
                <w:color w:val="auto"/>
              </w:rPr>
            </w:pPr>
            <w:r>
              <w:rPr>
                <w:rFonts w:ascii="Arial" w:cs="Arial" w:eastAsia="Arial" w:hAnsi="Arial"/>
                <w:sz w:val="18"/>
                <w:szCs w:val="18"/>
                <w:color w:val="auto"/>
                <w:w w:val="99"/>
              </w:rPr>
              <w:t>51-299 bps</w:t>
            </w:r>
          </w:p>
        </w:tc>
        <w:tc>
          <w:tcPr>
            <w:tcW w:w="120" w:type="dxa"/>
            <w:vAlign w:val="bottom"/>
            <w:tcBorders>
              <w:bottom w:val="single" w:sz="8" w:color="53C072"/>
            </w:tcBorders>
          </w:tcPr>
          <w:p>
            <w:pPr>
              <w:spacing w:after="0"/>
              <w:rPr>
                <w:sz w:val="22"/>
                <w:szCs w:val="22"/>
                <w:color w:val="auto"/>
              </w:rPr>
            </w:pPr>
          </w:p>
        </w:tc>
        <w:tc>
          <w:tcPr>
            <w:tcW w:w="180" w:type="dxa"/>
            <w:vAlign w:val="bottom"/>
            <w:tcBorders>
              <w:bottom w:val="single" w:sz="8" w:color="53C072"/>
            </w:tcBorders>
          </w:tcPr>
          <w:p>
            <w:pPr>
              <w:spacing w:after="0"/>
              <w:rPr>
                <w:sz w:val="22"/>
                <w:szCs w:val="22"/>
                <w:color w:val="auto"/>
              </w:rPr>
            </w:pP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53C072"/>
              <w:right w:val="single" w:sz="8" w:color="53C072"/>
            </w:tcBorders>
          </w:tcPr>
          <w:p>
            <w:pPr>
              <w:ind w:left="380"/>
              <w:spacing w:after="0"/>
              <w:rPr>
                <w:sz w:val="20"/>
                <w:szCs w:val="20"/>
                <w:color w:val="auto"/>
              </w:rPr>
            </w:pPr>
            <w:r>
              <w:rPr>
                <w:rFonts w:ascii="Arial" w:cs="Arial" w:eastAsia="Arial" w:hAnsi="Arial"/>
                <w:sz w:val="18"/>
                <w:szCs w:val="18"/>
                <w:color w:val="auto"/>
              </w:rPr>
              <w:t>increase in bps from target</w:t>
            </w:r>
          </w:p>
        </w:tc>
        <w:tc>
          <w:tcPr>
            <w:tcW w:w="0" w:type="dxa"/>
            <w:vAlign w:val="bottom"/>
          </w:tcPr>
          <w:p>
            <w:pPr>
              <w:spacing w:after="0"/>
              <w:rPr>
                <w:sz w:val="1"/>
                <w:szCs w:val="1"/>
                <w:color w:val="auto"/>
              </w:rPr>
            </w:pPr>
          </w:p>
        </w:tc>
      </w:tr>
      <w:tr>
        <w:trPr>
          <w:trHeight w:val="263"/>
        </w:trPr>
        <w:tc>
          <w:tcPr>
            <w:tcW w:w="1120" w:type="dxa"/>
            <w:vAlign w:val="bottom"/>
            <w:tcBorders>
              <w:left w:val="single" w:sz="8" w:color="53C072"/>
              <w:bottom w:val="single" w:sz="8" w:color="53C072"/>
            </w:tcBorders>
            <w:gridSpan w:val="2"/>
            <w:shd w:val="clear" w:color="auto" w:fill="CBECD5"/>
          </w:tcPr>
          <w:p>
            <w:pPr>
              <w:ind w:left="1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Target</w:t>
            </w:r>
          </w:p>
        </w:tc>
        <w:tc>
          <w:tcPr>
            <w:tcW w:w="120" w:type="dxa"/>
            <w:vAlign w:val="bottom"/>
            <w:tcBorders>
              <w:bottom w:val="single" w:sz="8" w:color="53C072"/>
              <w:right w:val="single" w:sz="8" w:color="CBECD5"/>
            </w:tcBorders>
            <w:shd w:val="clear" w:color="auto" w:fill="CBECD5"/>
          </w:tcPr>
          <w:p>
            <w:pPr>
              <w:spacing w:after="0"/>
              <w:rPr>
                <w:sz w:val="22"/>
                <w:szCs w:val="22"/>
                <w:color w:val="auto"/>
              </w:rPr>
            </w:pPr>
          </w:p>
        </w:tc>
        <w:tc>
          <w:tcPr>
            <w:tcW w:w="220" w:type="dxa"/>
            <w:vAlign w:val="bottom"/>
            <w:tcBorders>
              <w:bottom w:val="single" w:sz="8" w:color="53C072"/>
            </w:tcBorders>
            <w:shd w:val="clear" w:color="auto" w:fill="CBECD5"/>
          </w:tcPr>
          <w:p>
            <w:pPr>
              <w:spacing w:after="0"/>
              <w:rPr>
                <w:sz w:val="22"/>
                <w:szCs w:val="22"/>
                <w:color w:val="auto"/>
              </w:rPr>
            </w:pPr>
          </w:p>
        </w:tc>
        <w:tc>
          <w:tcPr>
            <w:tcW w:w="26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1020" w:type="dxa"/>
            <w:vAlign w:val="bottom"/>
            <w:tcBorders>
              <w:bottom w:val="single" w:sz="8" w:color="53C072"/>
            </w:tcBorders>
            <w:shd w:val="clear" w:color="auto" w:fill="CBECD5"/>
          </w:tcPr>
          <w:p>
            <w:pPr>
              <w:spacing w:after="0"/>
              <w:rPr>
                <w:sz w:val="22"/>
                <w:szCs w:val="22"/>
                <w:color w:val="auto"/>
              </w:rPr>
            </w:pPr>
          </w:p>
        </w:tc>
        <w:tc>
          <w:tcPr>
            <w:tcW w:w="10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53C072"/>
            </w:tcBorders>
            <w:shd w:val="clear" w:color="auto" w:fill="CBECD5"/>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1960" w:type="dxa"/>
            <w:vAlign w:val="bottom"/>
            <w:tcBorders>
              <w:bottom w:val="single" w:sz="8" w:color="53C072"/>
            </w:tcBorders>
            <w:gridSpan w:val="3"/>
            <w:shd w:val="clear" w:color="auto" w:fill="CBECD5"/>
          </w:tcPr>
          <w:p>
            <w:pPr>
              <w:jc w:val="center"/>
              <w:ind w:right="40"/>
              <w:spacing w:after="0"/>
              <w:rPr>
                <w:sz w:val="20"/>
                <w:szCs w:val="20"/>
                <w:color w:val="auto"/>
              </w:rPr>
            </w:pPr>
            <w:r>
              <w:rPr>
                <w:rFonts w:ascii="Arial" w:cs="Arial" w:eastAsia="Arial" w:hAnsi="Arial"/>
                <w:sz w:val="18"/>
                <w:szCs w:val="18"/>
                <w:b w:val="1"/>
                <w:bCs w:val="1"/>
                <w:color w:val="auto"/>
                <w:w w:val="98"/>
              </w:rPr>
              <w:t>50 basis points</w:t>
            </w:r>
          </w:p>
        </w:tc>
        <w:tc>
          <w:tcPr>
            <w:tcW w:w="120" w:type="dxa"/>
            <w:vAlign w:val="bottom"/>
            <w:tcBorders>
              <w:bottom w:val="single" w:sz="8" w:color="53C072"/>
              <w:right w:val="single" w:sz="8" w:color="CBECD5"/>
            </w:tcBorders>
            <w:shd w:val="clear" w:color="auto" w:fill="CBECD5"/>
          </w:tcPr>
          <w:p>
            <w:pPr>
              <w:spacing w:after="0"/>
              <w:rPr>
                <w:sz w:val="22"/>
                <w:szCs w:val="22"/>
                <w:color w:val="auto"/>
              </w:rPr>
            </w:pPr>
          </w:p>
        </w:tc>
        <w:tc>
          <w:tcPr>
            <w:tcW w:w="180" w:type="dxa"/>
            <w:vAlign w:val="bottom"/>
            <w:tcBorders>
              <w:bottom w:val="single" w:sz="8" w:color="53C072"/>
            </w:tcBorders>
            <w:shd w:val="clear" w:color="auto" w:fill="CBECD5"/>
          </w:tcPr>
          <w:p>
            <w:pPr>
              <w:spacing w:after="0"/>
              <w:rPr>
                <w:sz w:val="22"/>
                <w:szCs w:val="22"/>
                <w:color w:val="auto"/>
              </w:rPr>
            </w:pPr>
          </w:p>
        </w:tc>
        <w:tc>
          <w:tcPr>
            <w:tcW w:w="140" w:type="dxa"/>
            <w:vAlign w:val="bottom"/>
            <w:tcBorders>
              <w:bottom w:val="single" w:sz="8" w:color="53C072"/>
              <w:right w:val="single" w:sz="8" w:color="53C072"/>
            </w:tcBorders>
            <w:shd w:val="clear" w:color="auto" w:fill="CBECD5"/>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780" w:type="dxa"/>
            <w:vAlign w:val="bottom"/>
            <w:tcBorders>
              <w:bottom w:val="single" w:sz="8" w:color="53C072"/>
              <w:right w:val="single" w:sz="8" w:color="53C072"/>
            </w:tcBorders>
            <w:shd w:val="clear" w:color="auto" w:fill="CBECD5"/>
          </w:tcPr>
          <w:p>
            <w:pPr>
              <w:jc w:val="center"/>
              <w:ind w:right="14"/>
              <w:spacing w:after="0"/>
              <w:rPr>
                <w:sz w:val="20"/>
                <w:szCs w:val="20"/>
                <w:color w:val="auto"/>
              </w:rPr>
            </w:pPr>
            <w:r>
              <w:rPr>
                <w:rFonts w:ascii="Arial" w:cs="Arial" w:eastAsia="Arial" w:hAnsi="Arial"/>
                <w:sz w:val="18"/>
                <w:szCs w:val="18"/>
                <w:b w:val="1"/>
                <w:bCs w:val="1"/>
                <w:color w:val="auto"/>
                <w:w w:val="98"/>
              </w:rPr>
              <w:t>100.0%</w:t>
            </w:r>
          </w:p>
        </w:tc>
        <w:tc>
          <w:tcPr>
            <w:tcW w:w="0" w:type="dxa"/>
            <w:vAlign w:val="bottom"/>
          </w:tcPr>
          <w:p>
            <w:pPr>
              <w:spacing w:after="0"/>
              <w:rPr>
                <w:sz w:val="1"/>
                <w:szCs w:val="1"/>
                <w:color w:val="auto"/>
              </w:rPr>
            </w:pPr>
          </w:p>
        </w:tc>
      </w:tr>
      <w:tr>
        <w:trPr>
          <w:trHeight w:val="224"/>
        </w:trPr>
        <w:tc>
          <w:tcPr>
            <w:tcW w:w="220" w:type="dxa"/>
            <w:vAlign w:val="bottom"/>
            <w:tcBorders>
              <w:left w:val="single" w:sz="8" w:color="53C072"/>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53C072"/>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right w:val="single" w:sz="8" w:color="53C072"/>
            </w:tcBorders>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right w:val="single" w:sz="8" w:color="53C072"/>
            </w:tcBorders>
          </w:tcPr>
          <w:p>
            <w:pPr>
              <w:jc w:val="center"/>
              <w:spacing w:after="0"/>
              <w:rPr>
                <w:sz w:val="20"/>
                <w:szCs w:val="20"/>
                <w:color w:val="auto"/>
              </w:rPr>
            </w:pPr>
            <w:r>
              <w:rPr>
                <w:rFonts w:ascii="Arial" w:cs="Arial" w:eastAsia="Arial" w:hAnsi="Arial"/>
                <w:sz w:val="18"/>
                <w:szCs w:val="18"/>
                <w:color w:val="auto"/>
                <w:w w:val="99"/>
              </w:rPr>
              <w:t>0.19% decrease in payout per</w:t>
            </w:r>
          </w:p>
        </w:tc>
        <w:tc>
          <w:tcPr>
            <w:tcW w:w="0" w:type="dxa"/>
            <w:vAlign w:val="bottom"/>
          </w:tcPr>
          <w:p>
            <w:pPr>
              <w:spacing w:after="0"/>
              <w:rPr>
                <w:sz w:val="1"/>
                <w:szCs w:val="1"/>
                <w:color w:val="auto"/>
              </w:rPr>
            </w:pPr>
          </w:p>
        </w:tc>
      </w:tr>
      <w:tr>
        <w:trPr>
          <w:trHeight w:val="256"/>
        </w:trPr>
        <w:tc>
          <w:tcPr>
            <w:tcW w:w="1120" w:type="dxa"/>
            <w:vAlign w:val="bottom"/>
            <w:tcBorders>
              <w:left w:val="single" w:sz="8" w:color="53C072"/>
              <w:bottom w:val="single" w:sz="8" w:color="53C072"/>
            </w:tcBorders>
            <w:gridSpan w:val="2"/>
          </w:tcPr>
          <w:p>
            <w:pPr>
              <w:ind w:left="120"/>
              <w:spacing w:after="0"/>
              <w:rPr>
                <w:sz w:val="20"/>
                <w:szCs w:val="20"/>
                <w:color w:val="auto"/>
              </w:rPr>
            </w:pPr>
            <w:r>
              <w:rPr>
                <w:rFonts w:ascii="Arial" w:cs="Arial" w:eastAsia="Arial" w:hAnsi="Arial"/>
                <w:sz w:val="18"/>
                <w:szCs w:val="18"/>
                <w:color w:val="auto"/>
              </w:rPr>
              <w:t>​ &lt; Target</w:t>
            </w:r>
          </w:p>
        </w:tc>
        <w:tc>
          <w:tcPr>
            <w:tcW w:w="120" w:type="dxa"/>
            <w:vAlign w:val="bottom"/>
            <w:tcBorders>
              <w:bottom w:val="single" w:sz="8" w:color="53C072"/>
            </w:tcBorders>
          </w:tcPr>
          <w:p>
            <w:pPr>
              <w:spacing w:after="0"/>
              <w:rPr>
                <w:sz w:val="22"/>
                <w:szCs w:val="22"/>
                <w:color w:val="auto"/>
              </w:rPr>
            </w:pPr>
          </w:p>
        </w:tc>
        <w:tc>
          <w:tcPr>
            <w:tcW w:w="220" w:type="dxa"/>
            <w:vAlign w:val="bottom"/>
            <w:tcBorders>
              <w:bottom w:val="single" w:sz="8" w:color="53C072"/>
            </w:tcBorders>
          </w:tcPr>
          <w:p>
            <w:pPr>
              <w:spacing w:after="0"/>
              <w:rPr>
                <w:sz w:val="22"/>
                <w:szCs w:val="22"/>
                <w:color w:val="auto"/>
              </w:rPr>
            </w:pPr>
          </w:p>
        </w:tc>
        <w:tc>
          <w:tcPr>
            <w:tcW w:w="26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102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380" w:type="dxa"/>
            <w:vAlign w:val="bottom"/>
            <w:tcBorders>
              <w:bottom w:val="single" w:sz="8" w:color="53C072"/>
            </w:tcBorders>
          </w:tcPr>
          <w:p>
            <w:pPr>
              <w:spacing w:after="0"/>
              <w:rPr>
                <w:sz w:val="22"/>
                <w:szCs w:val="22"/>
                <w:color w:val="auto"/>
              </w:rPr>
            </w:pPr>
          </w:p>
        </w:tc>
        <w:tc>
          <w:tcPr>
            <w:tcW w:w="1580" w:type="dxa"/>
            <w:vAlign w:val="bottom"/>
            <w:tcBorders>
              <w:bottom w:val="single" w:sz="8" w:color="53C072"/>
            </w:tcBorders>
            <w:gridSpan w:val="2"/>
          </w:tcPr>
          <w:p>
            <w:pPr>
              <w:jc w:val="center"/>
              <w:ind w:right="420"/>
              <w:spacing w:after="0"/>
              <w:rPr>
                <w:sz w:val="20"/>
                <w:szCs w:val="20"/>
                <w:color w:val="auto"/>
              </w:rPr>
            </w:pPr>
            <w:r>
              <w:rPr>
                <w:rFonts w:ascii="Arial" w:cs="Arial" w:eastAsia="Arial" w:hAnsi="Arial"/>
                <w:sz w:val="18"/>
                <w:szCs w:val="18"/>
                <w:color w:val="auto"/>
                <w:w w:val="97"/>
              </w:rPr>
              <w:t>(269)-49 bps</w:t>
            </w:r>
          </w:p>
        </w:tc>
        <w:tc>
          <w:tcPr>
            <w:tcW w:w="120" w:type="dxa"/>
            <w:vAlign w:val="bottom"/>
            <w:tcBorders>
              <w:bottom w:val="single" w:sz="8" w:color="53C072"/>
            </w:tcBorders>
          </w:tcPr>
          <w:p>
            <w:pPr>
              <w:spacing w:after="0"/>
              <w:rPr>
                <w:sz w:val="22"/>
                <w:szCs w:val="22"/>
                <w:color w:val="auto"/>
              </w:rPr>
            </w:pPr>
          </w:p>
        </w:tc>
        <w:tc>
          <w:tcPr>
            <w:tcW w:w="180" w:type="dxa"/>
            <w:vAlign w:val="bottom"/>
            <w:tcBorders>
              <w:bottom w:val="single" w:sz="8" w:color="53C072"/>
            </w:tcBorders>
          </w:tcPr>
          <w:p>
            <w:pPr>
              <w:spacing w:after="0"/>
              <w:rPr>
                <w:sz w:val="22"/>
                <w:szCs w:val="22"/>
                <w:color w:val="auto"/>
              </w:rPr>
            </w:pP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53C072"/>
              <w:right w:val="single" w:sz="8" w:color="53C072"/>
            </w:tcBorders>
          </w:tcPr>
          <w:p>
            <w:pPr>
              <w:ind w:left="340"/>
              <w:spacing w:after="0"/>
              <w:rPr>
                <w:sz w:val="20"/>
                <w:szCs w:val="20"/>
                <w:color w:val="auto"/>
              </w:rPr>
            </w:pPr>
            <w:r>
              <w:rPr>
                <w:rFonts w:ascii="Arial" w:cs="Arial" w:eastAsia="Arial" w:hAnsi="Arial"/>
                <w:sz w:val="18"/>
                <w:szCs w:val="18"/>
                <w:color w:val="auto"/>
              </w:rPr>
              <w:t>decrease in bps from target</w:t>
            </w:r>
          </w:p>
        </w:tc>
        <w:tc>
          <w:tcPr>
            <w:tcW w:w="0" w:type="dxa"/>
            <w:vAlign w:val="bottom"/>
          </w:tcPr>
          <w:p>
            <w:pPr>
              <w:spacing w:after="0"/>
              <w:rPr>
                <w:sz w:val="1"/>
                <w:szCs w:val="1"/>
                <w:color w:val="auto"/>
              </w:rPr>
            </w:pPr>
          </w:p>
        </w:tc>
      </w:tr>
      <w:tr>
        <w:trPr>
          <w:trHeight w:val="250"/>
        </w:trPr>
        <w:tc>
          <w:tcPr>
            <w:tcW w:w="1120" w:type="dxa"/>
            <w:vAlign w:val="bottom"/>
            <w:tcBorders>
              <w:left w:val="single" w:sz="8" w:color="53C072"/>
              <w:bottom w:val="single" w:sz="8" w:color="53C072"/>
            </w:tcBorders>
            <w:gridSpan w:val="2"/>
          </w:tcPr>
          <w:p>
            <w:pPr>
              <w:ind w:left="120"/>
              <w:spacing w:after="0"/>
              <w:rPr>
                <w:sz w:val="20"/>
                <w:szCs w:val="20"/>
                <w:color w:val="auto"/>
              </w:rPr>
            </w:pPr>
            <w:r>
              <w:rPr>
                <w:rFonts w:ascii="Arial" w:cs="Arial" w:eastAsia="Arial" w:hAnsi="Arial"/>
                <w:sz w:val="18"/>
                <w:szCs w:val="18"/>
                <w:color w:val="auto"/>
              </w:rPr>
              <w:t>​ Threshold</w:t>
            </w:r>
          </w:p>
        </w:tc>
        <w:tc>
          <w:tcPr>
            <w:tcW w:w="120" w:type="dxa"/>
            <w:vAlign w:val="bottom"/>
            <w:tcBorders>
              <w:bottom w:val="single" w:sz="8" w:color="53C072"/>
            </w:tcBorders>
          </w:tcPr>
          <w:p>
            <w:pPr>
              <w:spacing w:after="0"/>
              <w:rPr>
                <w:sz w:val="21"/>
                <w:szCs w:val="21"/>
                <w:color w:val="auto"/>
              </w:rPr>
            </w:pPr>
          </w:p>
        </w:tc>
        <w:tc>
          <w:tcPr>
            <w:tcW w:w="220" w:type="dxa"/>
            <w:vAlign w:val="bottom"/>
            <w:tcBorders>
              <w:bottom w:val="single" w:sz="8" w:color="53C072"/>
            </w:tcBorders>
          </w:tcPr>
          <w:p>
            <w:pPr>
              <w:spacing w:after="0"/>
              <w:rPr>
                <w:sz w:val="21"/>
                <w:szCs w:val="21"/>
                <w:color w:val="auto"/>
              </w:rPr>
            </w:pPr>
          </w:p>
        </w:tc>
        <w:tc>
          <w:tcPr>
            <w:tcW w:w="26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02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38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480" w:type="dxa"/>
            <w:vAlign w:val="bottom"/>
            <w:tcBorders>
              <w:bottom w:val="single" w:sz="8" w:color="53C072"/>
            </w:tcBorders>
          </w:tcPr>
          <w:p>
            <w:pPr>
              <w:jc w:val="center"/>
              <w:ind w:right="520"/>
              <w:spacing w:after="0"/>
              <w:rPr>
                <w:sz w:val="20"/>
                <w:szCs w:val="20"/>
                <w:color w:val="auto"/>
              </w:rPr>
            </w:pPr>
            <w:r>
              <w:rPr>
                <w:rFonts w:ascii="Arial" w:cs="Arial" w:eastAsia="Arial" w:hAnsi="Arial"/>
                <w:sz w:val="18"/>
                <w:szCs w:val="18"/>
                <w:color w:val="auto"/>
                <w:w w:val="99"/>
              </w:rPr>
              <w:t>(270) bps</w:t>
            </w:r>
          </w:p>
        </w:tc>
        <w:tc>
          <w:tcPr>
            <w:tcW w:w="120" w:type="dxa"/>
            <w:vAlign w:val="bottom"/>
            <w:tcBorders>
              <w:bottom w:val="single" w:sz="8" w:color="53C072"/>
            </w:tcBorders>
          </w:tcPr>
          <w:p>
            <w:pPr>
              <w:spacing w:after="0"/>
              <w:rPr>
                <w:sz w:val="21"/>
                <w:szCs w:val="21"/>
                <w:color w:val="auto"/>
              </w:rPr>
            </w:pPr>
          </w:p>
        </w:tc>
        <w:tc>
          <w:tcPr>
            <w:tcW w:w="180" w:type="dxa"/>
            <w:vAlign w:val="bottom"/>
            <w:tcBorders>
              <w:bottom w:val="single" w:sz="8" w:color="53C072"/>
            </w:tcBorders>
          </w:tcPr>
          <w:p>
            <w:pPr>
              <w:spacing w:after="0"/>
              <w:rPr>
                <w:sz w:val="21"/>
                <w:szCs w:val="21"/>
                <w:color w:val="auto"/>
              </w:rPr>
            </w:pP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53C072"/>
              <w:right w:val="single" w:sz="8" w:color="53C072"/>
            </w:tcBorders>
          </w:tcPr>
          <w:p>
            <w:pPr>
              <w:jc w:val="center"/>
              <w:ind w:right="14"/>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-4242435</wp:posOffset>
            </wp:positionV>
            <wp:extent cx="4774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-4405630</wp:posOffset>
            </wp:positionV>
            <wp:extent cx="5537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-3196590</wp:posOffset>
            </wp:positionV>
            <wp:extent cx="44659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-3359785</wp:posOffset>
            </wp:positionV>
            <wp:extent cx="5537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-1173480</wp:posOffset>
            </wp:positionV>
            <wp:extent cx="36861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-1533525</wp:posOffset>
            </wp:positionV>
            <wp:extent cx="5537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46" w:lineRule="exact"/>
        <w:rPr>
          <w:sz w:val="20"/>
          <w:szCs w:val="20"/>
          <w:color w:val="auto"/>
        </w:rPr>
      </w:pPr>
    </w:p>
    <w:p>
      <w:pPr>
        <w:ind w:left="1000" w:right="319"/>
        <w:spacing w:after="0" w:line="287" w:lineRule="auto"/>
        <w:rPr>
          <w:sz w:val="20"/>
          <w:szCs w:val="20"/>
          <w:color w:val="auto"/>
        </w:rPr>
      </w:pPr>
      <w:r>
        <w:rPr>
          <w:rFonts w:ascii="Arial" w:cs="Arial" w:eastAsia="Arial" w:hAnsi="Arial"/>
          <w:sz w:val="18"/>
          <w:szCs w:val="18"/>
          <w:b w:val="1"/>
          <w:bCs w:val="1"/>
          <w:color w:val="53C072"/>
        </w:rPr>
        <w:t xml:space="preserve">Results and Payout. </w:t>
      </w:r>
      <w:r>
        <w:rPr>
          <w:rFonts w:ascii="Arial" w:cs="Arial" w:eastAsia="Arial" w:hAnsi="Arial"/>
          <w:sz w:val="18"/>
          <w:szCs w:val="18"/>
          <w:color w:val="000000"/>
        </w:rPr>
        <w:t>For fiscal 2023, achievement of the financial performance goals and the percentages</w:t>
      </w:r>
      <w:r>
        <w:rPr>
          <w:rFonts w:ascii="Arial" w:cs="Arial" w:eastAsia="Arial" w:hAnsi="Arial"/>
          <w:sz w:val="18"/>
          <w:szCs w:val="18"/>
          <w:b w:val="1"/>
          <w:bCs w:val="1"/>
          <w:color w:val="53C072"/>
        </w:rPr>
        <w:t xml:space="preserve"> </w:t>
      </w:r>
      <w:r>
        <w:rPr>
          <w:rFonts w:ascii="Arial" w:cs="Arial" w:eastAsia="Arial" w:hAnsi="Arial"/>
          <w:sz w:val="18"/>
          <w:szCs w:val="18"/>
          <w:color w:val="000000"/>
        </w:rPr>
        <w:t>of target annual cash incentive earned with respect to the financial performance goals were as follows*:</w:t>
      </w:r>
    </w:p>
    <w:p>
      <w:pPr>
        <w:spacing w:after="0" w:line="122"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2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Goal</w:t>
            </w:r>
          </w:p>
        </w:tc>
        <w:tc>
          <w:tcPr>
            <w:tcW w:w="1100" w:type="dxa"/>
            <w:vAlign w:val="bottom"/>
            <w:shd w:val="clear" w:color="auto" w:fill="53C072"/>
          </w:tcPr>
          <w:p>
            <w:pPr>
              <w:ind w:left="400"/>
              <w:spacing w:after="0"/>
              <w:rPr>
                <w:sz w:val="20"/>
                <w:szCs w:val="20"/>
                <w:color w:val="auto"/>
              </w:rPr>
            </w:pPr>
            <w:r>
              <w:rPr>
                <w:rFonts w:ascii="Arial" w:cs="Arial" w:eastAsia="Arial" w:hAnsi="Arial"/>
                <w:sz w:val="14"/>
                <w:szCs w:val="14"/>
                <w:b w:val="1"/>
                <w:bCs w:val="1"/>
                <w:color w:val="FEFEFE"/>
              </w:rPr>
              <w:t>Weighting</w:t>
            </w:r>
          </w:p>
        </w:tc>
        <w:tc>
          <w:tcPr>
            <w:tcW w:w="120" w:type="dxa"/>
            <w:vAlign w:val="bottom"/>
            <w:shd w:val="clear" w:color="auto" w:fill="53C072"/>
          </w:tcPr>
          <w:p>
            <w:pPr>
              <w:spacing w:after="0"/>
              <w:rPr>
                <w:sz w:val="19"/>
                <w:szCs w:val="19"/>
                <w:color w:val="auto"/>
              </w:rPr>
            </w:pPr>
          </w:p>
        </w:tc>
        <w:tc>
          <w:tcPr>
            <w:tcW w:w="106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Target</w:t>
            </w:r>
          </w:p>
        </w:tc>
        <w:tc>
          <w:tcPr>
            <w:tcW w:w="1020" w:type="dxa"/>
            <w:vAlign w:val="bottom"/>
            <w:shd w:val="clear" w:color="auto" w:fill="53C072"/>
          </w:tcPr>
          <w:p>
            <w:pPr>
              <w:jc w:val="right"/>
              <w:ind w:right="55"/>
              <w:spacing w:after="0"/>
              <w:rPr>
                <w:sz w:val="20"/>
                <w:szCs w:val="20"/>
                <w:color w:val="auto"/>
              </w:rPr>
            </w:pPr>
            <w:r>
              <w:rPr>
                <w:rFonts w:ascii="Arial" w:cs="Arial" w:eastAsia="Arial" w:hAnsi="Arial"/>
                <w:sz w:val="14"/>
                <w:szCs w:val="14"/>
                <w:b w:val="1"/>
                <w:bCs w:val="1"/>
                <w:color w:val="FEFEFE"/>
              </w:rPr>
              <w:t>Actual</w:t>
            </w:r>
          </w:p>
        </w:tc>
        <w:tc>
          <w:tcPr>
            <w:tcW w:w="15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w w:val="99"/>
              </w:rPr>
              <w:t>% of Target Achieved</w:t>
            </w:r>
          </w:p>
        </w:tc>
        <w:tc>
          <w:tcPr>
            <w:tcW w:w="140" w:type="dxa"/>
            <w:vAlign w:val="bottom"/>
            <w:shd w:val="clear" w:color="auto" w:fill="53C072"/>
          </w:tcPr>
          <w:p>
            <w:pPr>
              <w:spacing w:after="0"/>
              <w:rPr>
                <w:sz w:val="19"/>
                <w:szCs w:val="19"/>
                <w:color w:val="auto"/>
              </w:rPr>
            </w:pPr>
          </w:p>
        </w:tc>
        <w:tc>
          <w:tcPr>
            <w:tcW w:w="13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w w:val="99"/>
              </w:rPr>
              <w:t>Payout % of Target</w:t>
            </w:r>
          </w:p>
        </w:tc>
        <w:tc>
          <w:tcPr>
            <w:tcW w:w="120" w:type="dxa"/>
            <w:vAlign w:val="bottom"/>
            <w:shd w:val="clear" w:color="auto" w:fill="53C072"/>
          </w:tcPr>
          <w:p>
            <w:pPr>
              <w:spacing w:after="0"/>
              <w:rPr>
                <w:sz w:val="19"/>
                <w:szCs w:val="19"/>
                <w:color w:val="auto"/>
              </w:rPr>
            </w:pPr>
          </w:p>
        </w:tc>
      </w:tr>
      <w:tr>
        <w:trPr>
          <w:trHeight w:val="283"/>
        </w:trPr>
        <w:tc>
          <w:tcPr>
            <w:tcW w:w="2260" w:type="dxa"/>
            <w:vAlign w:val="bottom"/>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Adjusted OI$</w:t>
            </w:r>
            <w:r>
              <w:rPr>
                <w:rFonts w:ascii="Arial" w:cs="Arial" w:eastAsia="Arial" w:hAnsi="Arial"/>
                <w:sz w:val="21"/>
                <w:szCs w:val="21"/>
                <w:color w:val="auto"/>
                <w:vertAlign w:val="superscript"/>
              </w:rPr>
              <w:t>(1)</w:t>
            </w:r>
          </w:p>
        </w:tc>
        <w:tc>
          <w:tcPr>
            <w:tcW w:w="1100" w:type="dxa"/>
            <w:vAlign w:val="bottom"/>
          </w:tcPr>
          <w:p>
            <w:pPr>
              <w:ind w:left="6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$1,000.5M</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$1,281.1</w:t>
            </w:r>
          </w:p>
        </w:tc>
        <w:tc>
          <w:tcPr>
            <w:tcW w:w="1560" w:type="dxa"/>
            <w:vAlign w:val="bottom"/>
          </w:tcPr>
          <w:p>
            <w:pPr>
              <w:ind w:left="540"/>
              <w:spacing w:after="0"/>
              <w:rPr>
                <w:sz w:val="20"/>
                <w:szCs w:val="20"/>
                <w:color w:val="auto"/>
              </w:rPr>
            </w:pPr>
            <w:r>
              <w:rPr>
                <w:rFonts w:ascii="Arial" w:cs="Arial" w:eastAsia="Arial" w:hAnsi="Arial"/>
                <w:sz w:val="18"/>
                <w:szCs w:val="18"/>
                <w:color w:val="auto"/>
              </w:rPr>
              <w:t>​128.05%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ind w:left="460"/>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84"/>
        </w:trPr>
        <w:tc>
          <w:tcPr>
            <w:tcW w:w="2260" w:type="dxa"/>
            <w:vAlign w:val="bottom"/>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ROWC</w:t>
            </w:r>
            <w:r>
              <w:rPr>
                <w:rFonts w:ascii="Arial" w:cs="Arial" w:eastAsia="Arial" w:hAnsi="Arial"/>
                <w:sz w:val="21"/>
                <w:szCs w:val="21"/>
                <w:color w:val="auto"/>
                <w:vertAlign w:val="superscript"/>
              </w:rPr>
              <w:t>(1)</w:t>
            </w:r>
          </w:p>
        </w:tc>
        <w:tc>
          <w:tcPr>
            <w:tcW w:w="1100" w:type="dxa"/>
            <w:vAlign w:val="bottom"/>
            <w:shd w:val="clear" w:color="auto" w:fill="CBECD5"/>
          </w:tcPr>
          <w:p>
            <w:pPr>
              <w:ind w:left="6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ECD5"/>
          </w:tcPr>
          <w:p>
            <w:pPr>
              <w:jc w:val="right"/>
              <w:ind w:right="155"/>
              <w:spacing w:after="0"/>
              <w:rPr>
                <w:sz w:val="20"/>
                <w:szCs w:val="20"/>
                <w:color w:val="auto"/>
              </w:rPr>
            </w:pPr>
            <w:r>
              <w:rPr>
                <w:rFonts w:ascii="Arial" w:cs="Arial" w:eastAsia="Arial" w:hAnsi="Arial"/>
                <w:sz w:val="18"/>
                <w:szCs w:val="18"/>
                <w:color w:val="auto"/>
              </w:rPr>
              <w:t>20.10%</w:t>
            </w:r>
          </w:p>
        </w:tc>
        <w:tc>
          <w:tcPr>
            <w:tcW w:w="1020" w:type="dxa"/>
            <w:vAlign w:val="bottom"/>
            <w:shd w:val="clear" w:color="auto" w:fill="CBECD5"/>
          </w:tcPr>
          <w:p>
            <w:pPr>
              <w:jc w:val="right"/>
              <w:ind w:right="135"/>
              <w:spacing w:after="0"/>
              <w:rPr>
                <w:sz w:val="20"/>
                <w:szCs w:val="20"/>
                <w:color w:val="auto"/>
              </w:rPr>
            </w:pPr>
            <w:r>
              <w:rPr>
                <w:rFonts w:ascii="Arial" w:cs="Arial" w:eastAsia="Arial" w:hAnsi="Arial"/>
                <w:sz w:val="18"/>
                <w:szCs w:val="18"/>
                <w:color w:val="auto"/>
              </w:rPr>
              <w:t>19.70%</w:t>
            </w:r>
          </w:p>
        </w:tc>
        <w:tc>
          <w:tcPr>
            <w:tcW w:w="1560" w:type="dxa"/>
            <w:vAlign w:val="bottom"/>
            <w:shd w:val="clear" w:color="auto" w:fill="CBECD5"/>
          </w:tcPr>
          <w:p>
            <w:pPr>
              <w:ind w:left="540"/>
              <w:spacing w:after="0"/>
              <w:rPr>
                <w:sz w:val="20"/>
                <w:szCs w:val="20"/>
                <w:color w:val="auto"/>
              </w:rPr>
            </w:pPr>
            <w:r>
              <w:rPr>
                <w:rFonts w:ascii="Arial" w:cs="Arial" w:eastAsia="Arial" w:hAnsi="Arial"/>
                <w:sz w:val="18"/>
                <w:szCs w:val="18"/>
                <w:color w:val="auto"/>
              </w:rPr>
              <w:t>​ 98.01%</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BECD5"/>
          </w:tcPr>
          <w:p>
            <w:pPr>
              <w:ind w:left="460"/>
              <w:spacing w:after="0"/>
              <w:rPr>
                <w:sz w:val="20"/>
                <w:szCs w:val="20"/>
                <w:color w:val="auto"/>
              </w:rPr>
            </w:pPr>
            <w:r>
              <w:rPr>
                <w:rFonts w:ascii="Arial" w:cs="Arial" w:eastAsia="Arial" w:hAnsi="Arial"/>
                <w:sz w:val="18"/>
                <w:szCs w:val="18"/>
                <w:color w:val="auto"/>
              </w:rPr>
              <w:t>​ 94.03%</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90"/>
        </w:trPr>
        <w:tc>
          <w:tcPr>
            <w:tcW w:w="226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Relative Market Share</w:t>
            </w:r>
          </w:p>
        </w:tc>
        <w:tc>
          <w:tcPr>
            <w:tcW w:w="1100" w:type="dxa"/>
            <w:vAlign w:val="bottom"/>
            <w:tcBorders>
              <w:bottom w:val="single" w:sz="8" w:color="53C072"/>
            </w:tcBorders>
          </w:tcPr>
          <w:p>
            <w:pPr>
              <w:ind w:left="6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53C072"/>
            </w:tcBorders>
          </w:tcPr>
          <w:p>
            <w:pPr>
              <w:ind w:left="260"/>
              <w:spacing w:after="0"/>
              <w:rPr>
                <w:sz w:val="20"/>
                <w:szCs w:val="20"/>
                <w:color w:val="auto"/>
              </w:rPr>
            </w:pPr>
            <w:r>
              <w:rPr>
                <w:rFonts w:ascii="Arial" w:cs="Arial" w:eastAsia="Arial" w:hAnsi="Arial"/>
                <w:sz w:val="18"/>
                <w:szCs w:val="18"/>
                <w:color w:val="auto"/>
              </w:rPr>
              <w:t>50 bps</w:t>
            </w:r>
          </w:p>
        </w:tc>
        <w:tc>
          <w:tcPr>
            <w:tcW w:w="1020" w:type="dxa"/>
            <w:vAlign w:val="bottom"/>
            <w:tcBorders>
              <w:bottom w:val="single" w:sz="8" w:color="53C072"/>
            </w:tcBorders>
          </w:tcPr>
          <w:p>
            <w:pPr>
              <w:jc w:val="right"/>
              <w:ind w:right="35"/>
              <w:spacing w:after="0"/>
              <w:rPr>
                <w:sz w:val="20"/>
                <w:szCs w:val="20"/>
                <w:color w:val="auto"/>
              </w:rPr>
            </w:pPr>
            <w:r>
              <w:rPr>
                <w:rFonts w:ascii="Arial" w:cs="Arial" w:eastAsia="Arial" w:hAnsi="Arial"/>
                <w:sz w:val="18"/>
                <w:szCs w:val="18"/>
                <w:color w:val="auto"/>
              </w:rPr>
              <w:t>1,065 bps</w:t>
            </w:r>
          </w:p>
        </w:tc>
        <w:tc>
          <w:tcPr>
            <w:tcW w:w="1560" w:type="dxa"/>
            <w:vAlign w:val="bottom"/>
            <w:tcBorders>
              <w:bottom w:val="single" w:sz="8" w:color="53C072"/>
            </w:tcBorders>
          </w:tcPr>
          <w:p>
            <w:pPr>
              <w:ind w:left="5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tcPr>
          <w:p>
            <w:pPr>
              <w:ind w:left="4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200%</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68" w:lineRule="exact"/>
        <w:rPr>
          <w:sz w:val="20"/>
          <w:szCs w:val="20"/>
          <w:color w:val="auto"/>
        </w:rPr>
      </w:pPr>
    </w:p>
    <w:p>
      <w:pPr>
        <w:ind w:left="1460" w:right="239" w:hanging="362"/>
        <w:spacing w:after="0" w:line="285" w:lineRule="auto"/>
        <w:tabs>
          <w:tab w:leader="none" w:pos="1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2023 performance of the Company, please refer to the Company’s Annual Report on Form 10-K for the year ended July 1, 2023.</w:t>
      </w:r>
    </w:p>
    <w:p>
      <w:pPr>
        <w:spacing w:after="0" w:line="73" w:lineRule="exact"/>
        <w:rPr>
          <w:sz w:val="20"/>
          <w:szCs w:val="20"/>
          <w:color w:val="auto"/>
        </w:rPr>
      </w:pPr>
    </w:p>
    <w:p>
      <w:pPr>
        <w:ind w:left="1460" w:right="179" w:hanging="362"/>
        <w:spacing w:after="0" w:line="263"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order to eliminate variances due to changes in foreign currency exchange rates, the actual results for fiscal 2023 have been restated to be consistent with the budgeted foreign currency exchange rates used in developing the performance goals.</w:t>
      </w:r>
    </w:p>
    <w:p>
      <w:pPr>
        <w:spacing w:after="0" w:line="103" w:lineRule="exact"/>
        <w:rPr>
          <w:sz w:val="20"/>
          <w:szCs w:val="20"/>
          <w:color w:val="auto"/>
        </w:rPr>
      </w:pPr>
    </w:p>
    <w:p>
      <w:pPr>
        <w:ind w:left="1000" w:right="539"/>
        <w:spacing w:after="0" w:line="267" w:lineRule="auto"/>
        <w:rPr>
          <w:sz w:val="20"/>
          <w:szCs w:val="20"/>
          <w:color w:val="auto"/>
        </w:rPr>
      </w:pPr>
      <w:r>
        <w:rPr>
          <w:rFonts w:ascii="Arial" w:cs="Arial" w:eastAsia="Arial" w:hAnsi="Arial"/>
          <w:sz w:val="17"/>
          <w:szCs w:val="17"/>
          <w:color w:val="auto"/>
        </w:rPr>
        <w:t>The combination of the Adjusted OI$, ROWC, and Relative Market Share performance resulted in a total financial performance of 151.27% of target. The financial incentive payout delivered to participants was 121.02% of their total short-term incentive target, after applying the 80% weighting referenced above. The Audit Committee reviewed the FY23 short-term incentive calculations at their August 29, 2023 meeting.</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48     </w:t>
      </w:r>
      <w:r>
        <w:rPr>
          <w:sz w:val="1"/>
          <w:szCs w:val="1"/>
          <w:color w:val="auto"/>
        </w:rPr>
        <w:drawing>
          <wp:inline distT="0" distB="0" distL="0" distR="0">
            <wp:extent cx="1242695" cy="24003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both"/>
        <w:ind w:left="1000" w:right="319"/>
        <w:spacing w:after="0" w:line="278" w:lineRule="auto"/>
        <w:rPr>
          <w:sz w:val="20"/>
          <w:szCs w:val="20"/>
          <w:color w:val="auto"/>
        </w:rPr>
      </w:pPr>
      <w:r>
        <w:rPr>
          <w:rFonts w:ascii="Arial" w:cs="Arial" w:eastAsia="Arial" w:hAnsi="Arial"/>
          <w:sz w:val="18"/>
          <w:szCs w:val="18"/>
          <w:color w:val="auto"/>
        </w:rPr>
        <w:t>For fiscal 2023, achievement of the non-financial performance goals (weighted 20%) and the percentages of target annual cash incentive earned and approved by the Committee, or Board with respect to the CEO, with respect to the non-financial goals were as follows:</w:t>
      </w:r>
    </w:p>
    <w:p>
      <w:pPr>
        <w:spacing w:after="0" w:line="158" w:lineRule="exact"/>
        <w:rPr>
          <w:sz w:val="20"/>
          <w:szCs w:val="20"/>
          <w:color w:val="auto"/>
        </w:rPr>
      </w:pPr>
    </w:p>
    <w:tbl>
      <w:tblPr>
        <w:tblLayout w:type="fixed"/>
        <w:tblInd w:w="990" w:type="dxa"/>
        <w:tblCellMar>
          <w:top w:w="0" w:type="dxa"/>
          <w:left w:w="0" w:type="dxa"/>
          <w:bottom w:w="0" w:type="dxa"/>
          <w:right w:w="0" w:type="dxa"/>
        </w:tblCellMar>
      </w:tblPr>
      <w:tr>
        <w:trPr>
          <w:trHeight w:val="310"/>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2480" w:type="dxa"/>
            <w:vAlign w:val="bottom"/>
            <w:shd w:val="clear" w:color="auto" w:fill="53C072"/>
          </w:tcPr>
          <w:p>
            <w:pPr>
              <w:spacing w:after="0"/>
              <w:rPr>
                <w:sz w:val="24"/>
                <w:szCs w:val="24"/>
                <w:color w:val="auto"/>
              </w:rPr>
            </w:pPr>
          </w:p>
        </w:tc>
        <w:tc>
          <w:tcPr>
            <w:tcW w:w="3680" w:type="dxa"/>
            <w:vAlign w:val="bottom"/>
            <w:gridSpan w:val="2"/>
            <w:shd w:val="clear" w:color="auto" w:fill="53C072"/>
          </w:tcPr>
          <w:p>
            <w:pPr>
              <w:ind w:left="1060"/>
              <w:spacing w:after="0"/>
              <w:rPr>
                <w:sz w:val="20"/>
                <w:szCs w:val="20"/>
                <w:color w:val="auto"/>
              </w:rPr>
            </w:pPr>
            <w:r>
              <w:rPr>
                <w:rFonts w:ascii="Arial" w:cs="Arial" w:eastAsia="Arial" w:hAnsi="Arial"/>
                <w:sz w:val="14"/>
                <w:szCs w:val="14"/>
                <w:b w:val="1"/>
                <w:bCs w:val="1"/>
                <w:color w:val="FEFEFE"/>
              </w:rPr>
              <w:t>Non-Financial Goals</w:t>
            </w:r>
          </w:p>
        </w:tc>
        <w:tc>
          <w:tcPr>
            <w:tcW w:w="720" w:type="dxa"/>
            <w:vAlign w:val="bottom"/>
            <w:shd w:val="clear" w:color="auto" w:fill="53C072"/>
          </w:tcPr>
          <w:p>
            <w:pPr>
              <w:spacing w:after="0"/>
              <w:rPr>
                <w:sz w:val="24"/>
                <w:szCs w:val="24"/>
                <w:color w:val="auto"/>
              </w:rPr>
            </w:pPr>
          </w:p>
        </w:tc>
        <w:tc>
          <w:tcPr>
            <w:tcW w:w="200" w:type="dxa"/>
            <w:vAlign w:val="bottom"/>
            <w:tcBorders>
              <w:right w:val="single" w:sz="8" w:color="53C072"/>
            </w:tcBorders>
            <w:shd w:val="clear" w:color="auto" w:fill="53C072"/>
          </w:tcPr>
          <w:p>
            <w:pPr>
              <w:spacing w:after="0"/>
              <w:rPr>
                <w:sz w:val="24"/>
                <w:szCs w:val="24"/>
                <w:color w:val="auto"/>
              </w:rPr>
            </w:pPr>
          </w:p>
        </w:tc>
        <w:tc>
          <w:tcPr>
            <w:tcW w:w="360" w:type="dxa"/>
            <w:vAlign w:val="bottom"/>
            <w:shd w:val="clear" w:color="auto" w:fill="53C072"/>
          </w:tcPr>
          <w:p>
            <w:pPr>
              <w:spacing w:after="0"/>
              <w:rPr>
                <w:sz w:val="24"/>
                <w:szCs w:val="24"/>
                <w:color w:val="auto"/>
              </w:rPr>
            </w:pPr>
          </w:p>
        </w:tc>
        <w:tc>
          <w:tcPr>
            <w:tcW w:w="1020" w:type="dxa"/>
            <w:vAlign w:val="bottom"/>
            <w:shd w:val="clear" w:color="auto" w:fill="53C072"/>
          </w:tcPr>
          <w:p>
            <w:pPr>
              <w:spacing w:after="0"/>
              <w:rPr>
                <w:sz w:val="24"/>
                <w:szCs w:val="24"/>
                <w:color w:val="auto"/>
              </w:rPr>
            </w:pPr>
          </w:p>
        </w:tc>
        <w:tc>
          <w:tcPr>
            <w:tcW w:w="80" w:type="dxa"/>
            <w:vAlign w:val="bottom"/>
            <w:tcBorders>
              <w:right w:val="single" w:sz="8" w:color="53C072"/>
            </w:tcBorders>
            <w:shd w:val="clear" w:color="auto" w:fill="53C072"/>
          </w:tcPr>
          <w:p>
            <w:pPr>
              <w:spacing w:after="0"/>
              <w:rPr>
                <w:sz w:val="24"/>
                <w:szCs w:val="24"/>
                <w:color w:val="auto"/>
              </w:rPr>
            </w:pPr>
          </w:p>
        </w:tc>
      </w:tr>
      <w:tr>
        <w:trPr>
          <w:trHeight w:val="257"/>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248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NEO</w:t>
            </w:r>
          </w:p>
        </w:tc>
        <w:tc>
          <w:tcPr>
            <w:tcW w:w="5980" w:type="dxa"/>
            <w:vAlign w:val="bottom"/>
            <w:gridSpan w:val="6"/>
            <w:shd w:val="clear" w:color="auto" w:fill="53C072"/>
          </w:tcPr>
          <w:p>
            <w:pPr>
              <w:ind w:left="3360"/>
              <w:spacing w:after="0" w:line="257"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Achievement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Payout % of Target</w:t>
            </w:r>
          </w:p>
        </w:tc>
        <w:tc>
          <w:tcPr>
            <w:tcW w:w="80" w:type="dxa"/>
            <w:vAlign w:val="bottom"/>
            <w:tcBorders>
              <w:right w:val="single" w:sz="8" w:color="53C072"/>
            </w:tcBorders>
            <w:shd w:val="clear" w:color="auto" w:fill="53C072"/>
          </w:tcPr>
          <w:p>
            <w:pPr>
              <w:spacing w:after="0"/>
              <w:rPr>
                <w:sz w:val="22"/>
                <w:szCs w:val="22"/>
                <w:color w:val="auto"/>
              </w:rPr>
            </w:pPr>
          </w:p>
        </w:tc>
      </w:tr>
      <w:tr>
        <w:trPr>
          <w:trHeight w:val="283"/>
        </w:trPr>
        <w:tc>
          <w:tcPr>
            <w:tcW w:w="2700" w:type="dxa"/>
            <w:vAlign w:val="bottom"/>
            <w:tcBorders>
              <w:left w:val="single" w:sz="8" w:color="53C072"/>
              <w:bottom w:val="single" w:sz="8" w:color="53C072"/>
            </w:tcBorders>
            <w:gridSpan w:val="2"/>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Gallagher</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4"/>
        </w:trPr>
        <w:tc>
          <w:tcPr>
            <w:tcW w:w="270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Jacobson</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70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Arnold</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70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McCoy</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4"/>
        </w:trPr>
        <w:tc>
          <w:tcPr>
            <w:tcW w:w="270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Obregon-Jimenez</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70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Liguori</w:t>
            </w:r>
          </w:p>
        </w:tc>
        <w:tc>
          <w:tcPr>
            <w:tcW w:w="3440" w:type="dxa"/>
            <w:vAlign w:val="bottom"/>
            <w:tcBorders>
              <w:bottom w:val="single" w:sz="8" w:color="53C072"/>
              <w:right w:val="single" w:sz="8" w:color="53C072"/>
            </w:tcBorders>
          </w:tcPr>
          <w:p>
            <w:pPr>
              <w:ind w:left="3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-1087755</wp:posOffset>
            </wp:positionV>
            <wp:extent cx="5537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-1250950</wp:posOffset>
            </wp:positionV>
            <wp:extent cx="5537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16" w:lineRule="exact"/>
        <w:rPr>
          <w:sz w:val="20"/>
          <w:szCs w:val="20"/>
          <w:color w:val="auto"/>
        </w:rPr>
      </w:pPr>
    </w:p>
    <w:p>
      <w:pPr>
        <w:ind w:left="1000" w:right="239"/>
        <w:spacing w:after="0" w:line="269" w:lineRule="auto"/>
        <w:rPr>
          <w:sz w:val="20"/>
          <w:szCs w:val="20"/>
          <w:color w:val="auto"/>
        </w:rPr>
      </w:pPr>
      <w:r>
        <w:rPr>
          <w:rFonts w:ascii="Arial" w:cs="Arial" w:eastAsia="Arial" w:hAnsi="Arial"/>
          <w:sz w:val="18"/>
          <w:szCs w:val="18"/>
          <w:color w:val="auto"/>
        </w:rPr>
        <w:t>Based on achieving both the financial and the non-financial performance goals, the total incentive payout was 141.02% of target for all the NEOs except for Mr. Jacobson whose total incentive payout was 139.62% due to his prorated calculation as noted below. The below table reflects the achievement of the goals and the total annual cash incentive payout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104775</wp:posOffset>
            </wp:positionV>
            <wp:extent cx="5554980" cy="6089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54980" cy="608965"/>
                    </a:xfrm>
                    <a:prstGeom prst="rect">
                      <a:avLst/>
                    </a:prstGeom>
                    <a:noFill/>
                  </pic:spPr>
                </pic:pic>
              </a:graphicData>
            </a:graphic>
          </wp:anchor>
        </w:drawing>
      </w:r>
    </w:p>
    <w:p>
      <w:pPr>
        <w:spacing w:after="0" w:line="16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FEFEFE"/>
        </w:rPr>
        <w:t>FY23 Annual Cash Incentives Payouts</w:t>
      </w:r>
      <w:r>
        <w:rPr>
          <w:rFonts w:ascii="Arial" w:cs="Arial" w:eastAsia="Arial" w:hAnsi="Arial"/>
          <w:sz w:val="14"/>
          <w:szCs w:val="14"/>
          <w:b w:val="1"/>
          <w:bCs w:val="1"/>
          <w:color w:val="FEFEFE"/>
        </w:rPr>
        <w:t>​</w:t>
      </w:r>
    </w:p>
    <w:p>
      <w:pPr>
        <w:spacing w:after="0" w:line="64"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570" w:type="dxa"/>
            <w:vAlign w:val="bottom"/>
            <w:shd w:val="clear" w:color="auto" w:fill="53C072"/>
          </w:tcPr>
          <w:p>
            <w:pPr>
              <w:spacing w:after="0"/>
              <w:rPr>
                <w:sz w:val="19"/>
                <w:szCs w:val="19"/>
                <w:color w:val="auto"/>
              </w:rPr>
            </w:pPr>
          </w:p>
        </w:tc>
        <w:tc>
          <w:tcPr>
            <w:tcW w:w="310" w:type="dxa"/>
            <w:vAlign w:val="bottom"/>
            <w:shd w:val="clear" w:color="auto" w:fill="53C072"/>
          </w:tcPr>
          <w:p>
            <w:pPr>
              <w:spacing w:after="0"/>
              <w:rPr>
                <w:sz w:val="19"/>
                <w:szCs w:val="19"/>
                <w:color w:val="auto"/>
              </w:rPr>
            </w:pPr>
          </w:p>
        </w:tc>
        <w:tc>
          <w:tcPr>
            <w:tcW w:w="820" w:type="dxa"/>
            <w:vAlign w:val="bottom"/>
            <w:shd w:val="clear" w:color="auto" w:fill="53C072"/>
          </w:tcPr>
          <w:p>
            <w:pPr>
              <w:spacing w:after="0"/>
              <w:rPr>
                <w:sz w:val="19"/>
                <w:szCs w:val="19"/>
                <w:color w:val="auto"/>
              </w:rPr>
            </w:pPr>
          </w:p>
        </w:tc>
        <w:tc>
          <w:tcPr>
            <w:tcW w:w="1880" w:type="dxa"/>
            <w:vAlign w:val="bottom"/>
            <w:tcBorders>
              <w:right w:val="single" w:sz="8" w:color="53C072"/>
            </w:tcBorders>
            <w:gridSpan w:val="4"/>
            <w:shd w:val="clear" w:color="auto" w:fill="53C072"/>
          </w:tcPr>
          <w:p>
            <w:pPr>
              <w:jc w:val="center"/>
              <w:ind w:left="42"/>
              <w:spacing w:after="0"/>
              <w:rPr>
                <w:sz w:val="20"/>
                <w:szCs w:val="20"/>
                <w:color w:val="auto"/>
              </w:rPr>
            </w:pPr>
            <w:r>
              <w:rPr>
                <w:rFonts w:ascii="Arial" w:cs="Arial" w:eastAsia="Arial" w:hAnsi="Arial"/>
                <w:sz w:val="14"/>
                <w:szCs w:val="14"/>
                <w:b w:val="1"/>
                <w:bCs w:val="1"/>
                <w:color w:val="FEFEFE"/>
              </w:rPr>
              <w:t>Financial (80% Weight)</w:t>
            </w:r>
          </w:p>
        </w:tc>
        <w:tc>
          <w:tcPr>
            <w:tcW w:w="80" w:type="dxa"/>
            <w:vAlign w:val="bottom"/>
            <w:shd w:val="clear" w:color="auto" w:fill="53C072"/>
          </w:tcPr>
          <w:p>
            <w:pPr>
              <w:spacing w:after="0"/>
              <w:rPr>
                <w:sz w:val="19"/>
                <w:szCs w:val="19"/>
                <w:color w:val="auto"/>
              </w:rPr>
            </w:pPr>
          </w:p>
        </w:tc>
        <w:tc>
          <w:tcPr>
            <w:tcW w:w="1920" w:type="dxa"/>
            <w:vAlign w:val="bottom"/>
            <w:gridSpan w:val="4"/>
            <w:shd w:val="clear" w:color="auto" w:fill="53C072"/>
          </w:tcPr>
          <w:p>
            <w:pPr>
              <w:jc w:val="center"/>
              <w:spacing w:after="0"/>
              <w:rPr>
                <w:sz w:val="20"/>
                <w:szCs w:val="20"/>
                <w:color w:val="auto"/>
              </w:rPr>
            </w:pPr>
            <w:r>
              <w:rPr>
                <w:rFonts w:ascii="Arial" w:cs="Arial" w:eastAsia="Arial" w:hAnsi="Arial"/>
                <w:sz w:val="14"/>
                <w:szCs w:val="14"/>
                <w:b w:val="1"/>
                <w:bCs w:val="1"/>
                <w:color w:val="FEFEFE"/>
              </w:rPr>
              <w:t>Non-Financial (20% Weight)</w:t>
            </w:r>
          </w:p>
        </w:tc>
        <w:tc>
          <w:tcPr>
            <w:tcW w:w="100" w:type="dxa"/>
            <w:vAlign w:val="bottom"/>
            <w:tcBorders>
              <w:right w:val="single" w:sz="8" w:color="53C072"/>
            </w:tcBorders>
            <w:shd w:val="clear" w:color="auto" w:fill="53C072"/>
          </w:tcPr>
          <w:p>
            <w:pPr>
              <w:spacing w:after="0"/>
              <w:rPr>
                <w:sz w:val="19"/>
                <w:szCs w:val="19"/>
                <w:color w:val="auto"/>
              </w:rPr>
            </w:pPr>
          </w:p>
        </w:tc>
        <w:tc>
          <w:tcPr>
            <w:tcW w:w="80" w:type="dxa"/>
            <w:vAlign w:val="bottom"/>
            <w:shd w:val="clear" w:color="auto" w:fill="53C072"/>
          </w:tcPr>
          <w:p>
            <w:pPr>
              <w:spacing w:after="0"/>
              <w:rPr>
                <w:sz w:val="19"/>
                <w:szCs w:val="19"/>
                <w:color w:val="auto"/>
              </w:rPr>
            </w:pPr>
          </w:p>
        </w:tc>
        <w:tc>
          <w:tcPr>
            <w:tcW w:w="1900" w:type="dxa"/>
            <w:vAlign w:val="bottom"/>
            <w:gridSpan w:val="4"/>
            <w:shd w:val="clear" w:color="auto" w:fill="53C072"/>
          </w:tcPr>
          <w:p>
            <w:pPr>
              <w:jc w:val="center"/>
              <w:ind w:left="81"/>
              <w:spacing w:after="0"/>
              <w:rPr>
                <w:sz w:val="20"/>
                <w:szCs w:val="20"/>
                <w:color w:val="auto"/>
              </w:rPr>
            </w:pPr>
            <w:r>
              <w:rPr>
                <w:rFonts w:ascii="Arial" w:cs="Arial" w:eastAsia="Arial" w:hAnsi="Arial"/>
                <w:sz w:val="14"/>
                <w:szCs w:val="14"/>
                <w:b w:val="1"/>
                <w:bCs w:val="1"/>
                <w:color w:val="FEFEFE"/>
              </w:rPr>
              <w:t>Total Incentive Payout</w:t>
            </w:r>
          </w:p>
        </w:tc>
      </w:tr>
      <w:tr>
        <w:trPr>
          <w:trHeight w:val="239"/>
        </w:trPr>
        <w:tc>
          <w:tcPr>
            <w:tcW w:w="100" w:type="dxa"/>
            <w:vAlign w:val="bottom"/>
          </w:tcPr>
          <w:p>
            <w:pPr>
              <w:spacing w:after="0"/>
              <w:rPr>
                <w:sz w:val="20"/>
                <w:szCs w:val="20"/>
                <w:color w:val="auto"/>
              </w:rPr>
            </w:pPr>
          </w:p>
        </w:tc>
        <w:tc>
          <w:tcPr>
            <w:tcW w:w="1570" w:type="dxa"/>
            <w:vAlign w:val="bottom"/>
            <w:tcBorders>
              <w:top w:val="single" w:sz="8" w:color="53C072"/>
            </w:tcBorders>
            <w:shd w:val="clear" w:color="auto" w:fill="53C072"/>
          </w:tcPr>
          <w:p>
            <w:pPr>
              <w:spacing w:after="0"/>
              <w:rPr>
                <w:sz w:val="20"/>
                <w:szCs w:val="20"/>
                <w:color w:val="auto"/>
              </w:rPr>
            </w:pPr>
          </w:p>
        </w:tc>
        <w:tc>
          <w:tcPr>
            <w:tcW w:w="310" w:type="dxa"/>
            <w:vAlign w:val="bottom"/>
            <w:tcBorders>
              <w:top w:val="single" w:sz="8" w:color="53C072"/>
            </w:tcBorders>
            <w:shd w:val="clear" w:color="auto" w:fill="53C072"/>
          </w:tcPr>
          <w:p>
            <w:pPr>
              <w:spacing w:after="0"/>
              <w:rPr>
                <w:sz w:val="20"/>
                <w:szCs w:val="20"/>
                <w:color w:val="auto"/>
              </w:rPr>
            </w:pPr>
          </w:p>
        </w:tc>
        <w:tc>
          <w:tcPr>
            <w:tcW w:w="820" w:type="dxa"/>
            <w:vAlign w:val="bottom"/>
            <w:tcBorders>
              <w:top w:val="single" w:sz="8" w:color="53C072"/>
            </w:tcBorders>
            <w:shd w:val="clear" w:color="auto" w:fill="53C072"/>
          </w:tcPr>
          <w:p>
            <w:pPr>
              <w:spacing w:after="0"/>
              <w:rPr>
                <w:sz w:val="20"/>
                <w:szCs w:val="20"/>
                <w:color w:val="auto"/>
              </w:rPr>
            </w:pPr>
          </w:p>
        </w:tc>
        <w:tc>
          <w:tcPr>
            <w:tcW w:w="900" w:type="dxa"/>
            <w:vAlign w:val="bottom"/>
            <w:tcBorders>
              <w:top w:val="single" w:sz="8" w:color="auto"/>
            </w:tcBorders>
            <w:shd w:val="clear" w:color="auto" w:fill="53C072"/>
          </w:tcPr>
          <w:p>
            <w:pPr>
              <w:jc w:val="right"/>
              <w:ind w:right="42"/>
              <w:spacing w:after="0"/>
              <w:rPr>
                <w:sz w:val="20"/>
                <w:szCs w:val="20"/>
                <w:color w:val="auto"/>
              </w:rPr>
            </w:pPr>
            <w:r>
              <w:rPr>
                <w:rFonts w:ascii="Arial" w:cs="Arial" w:eastAsia="Arial" w:hAnsi="Arial"/>
                <w:sz w:val="14"/>
                <w:szCs w:val="14"/>
                <w:b w:val="1"/>
                <w:bCs w:val="1"/>
                <w:color w:val="FEFEFE"/>
                <w:w w:val="99"/>
              </w:rPr>
              <w:t>% of Target</w:t>
            </w:r>
          </w:p>
        </w:tc>
        <w:tc>
          <w:tcPr>
            <w:tcW w:w="220" w:type="dxa"/>
            <w:vAlign w:val="bottom"/>
            <w:tcBorders>
              <w:top w:val="single" w:sz="8" w:color="auto"/>
            </w:tcBorders>
            <w:shd w:val="clear" w:color="auto" w:fill="53C072"/>
          </w:tcPr>
          <w:p>
            <w:pPr>
              <w:spacing w:after="0"/>
              <w:rPr>
                <w:sz w:val="20"/>
                <w:szCs w:val="20"/>
                <w:color w:val="auto"/>
              </w:rPr>
            </w:pPr>
          </w:p>
        </w:tc>
        <w:tc>
          <w:tcPr>
            <w:tcW w:w="660" w:type="dxa"/>
            <w:vAlign w:val="bottom"/>
            <w:tcBorders>
              <w:top w:val="single" w:sz="8" w:color="auto"/>
            </w:tcBorders>
            <w:shd w:val="clear" w:color="auto" w:fill="53C072"/>
          </w:tcPr>
          <w:p>
            <w:pPr>
              <w:spacing w:after="0"/>
              <w:rPr>
                <w:sz w:val="20"/>
                <w:szCs w:val="20"/>
                <w:color w:val="auto"/>
              </w:rPr>
            </w:pPr>
          </w:p>
        </w:tc>
        <w:tc>
          <w:tcPr>
            <w:tcW w:w="100" w:type="dxa"/>
            <w:vAlign w:val="bottom"/>
            <w:tcBorders>
              <w:top w:val="single" w:sz="8" w:color="53C072"/>
              <w:right w:val="single" w:sz="8" w:color="53C072"/>
            </w:tcBorders>
            <w:shd w:val="clear" w:color="auto" w:fill="53C072"/>
          </w:tcPr>
          <w:p>
            <w:pPr>
              <w:spacing w:after="0"/>
              <w:rPr>
                <w:sz w:val="20"/>
                <w:szCs w:val="20"/>
                <w:color w:val="auto"/>
              </w:rPr>
            </w:pPr>
          </w:p>
        </w:tc>
        <w:tc>
          <w:tcPr>
            <w:tcW w:w="80" w:type="dxa"/>
            <w:vAlign w:val="bottom"/>
            <w:tcBorders>
              <w:top w:val="single" w:sz="8" w:color="53C072"/>
            </w:tcBorders>
            <w:shd w:val="clear" w:color="auto" w:fill="53C072"/>
          </w:tcPr>
          <w:p>
            <w:pPr>
              <w:spacing w:after="0"/>
              <w:rPr>
                <w:sz w:val="20"/>
                <w:szCs w:val="20"/>
                <w:color w:val="auto"/>
              </w:rPr>
            </w:pPr>
          </w:p>
        </w:tc>
        <w:tc>
          <w:tcPr>
            <w:tcW w:w="920" w:type="dxa"/>
            <w:vAlign w:val="bottom"/>
            <w:tcBorders>
              <w:top w:val="single" w:sz="8" w:color="auto"/>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 of Target</w:t>
            </w:r>
          </w:p>
        </w:tc>
        <w:tc>
          <w:tcPr>
            <w:tcW w:w="140" w:type="dxa"/>
            <w:vAlign w:val="bottom"/>
            <w:tcBorders>
              <w:top w:val="single" w:sz="8" w:color="auto"/>
            </w:tcBorders>
            <w:shd w:val="clear" w:color="auto" w:fill="53C072"/>
          </w:tcPr>
          <w:p>
            <w:pPr>
              <w:spacing w:after="0"/>
              <w:rPr>
                <w:sz w:val="20"/>
                <w:szCs w:val="20"/>
                <w:color w:val="auto"/>
              </w:rPr>
            </w:pPr>
          </w:p>
        </w:tc>
        <w:tc>
          <w:tcPr>
            <w:tcW w:w="240" w:type="dxa"/>
            <w:vAlign w:val="bottom"/>
            <w:tcBorders>
              <w:top w:val="single" w:sz="8" w:color="auto"/>
            </w:tcBorders>
            <w:shd w:val="clear" w:color="auto" w:fill="53C072"/>
          </w:tcPr>
          <w:p>
            <w:pPr>
              <w:spacing w:after="0"/>
              <w:rPr>
                <w:sz w:val="20"/>
                <w:szCs w:val="20"/>
                <w:color w:val="auto"/>
              </w:rPr>
            </w:pPr>
          </w:p>
        </w:tc>
        <w:tc>
          <w:tcPr>
            <w:tcW w:w="620" w:type="dxa"/>
            <w:vAlign w:val="bottom"/>
            <w:tcBorders>
              <w:top w:val="single" w:sz="8" w:color="auto"/>
            </w:tcBorders>
            <w:shd w:val="clear" w:color="auto" w:fill="53C072"/>
          </w:tcPr>
          <w:p>
            <w:pPr>
              <w:spacing w:after="0"/>
              <w:rPr>
                <w:sz w:val="20"/>
                <w:szCs w:val="20"/>
                <w:color w:val="auto"/>
              </w:rPr>
            </w:pPr>
          </w:p>
        </w:tc>
        <w:tc>
          <w:tcPr>
            <w:tcW w:w="100" w:type="dxa"/>
            <w:vAlign w:val="bottom"/>
            <w:tcBorders>
              <w:top w:val="single" w:sz="8" w:color="53C072"/>
              <w:right w:val="single" w:sz="8" w:color="53C072"/>
            </w:tcBorders>
            <w:shd w:val="clear" w:color="auto" w:fill="53C072"/>
          </w:tcPr>
          <w:p>
            <w:pPr>
              <w:spacing w:after="0"/>
              <w:rPr>
                <w:sz w:val="20"/>
                <w:szCs w:val="20"/>
                <w:color w:val="auto"/>
              </w:rPr>
            </w:pPr>
          </w:p>
        </w:tc>
        <w:tc>
          <w:tcPr>
            <w:tcW w:w="80" w:type="dxa"/>
            <w:vAlign w:val="bottom"/>
            <w:tcBorders>
              <w:top w:val="single" w:sz="8" w:color="53C072"/>
            </w:tcBorders>
            <w:shd w:val="clear" w:color="auto" w:fill="53C072"/>
          </w:tcPr>
          <w:p>
            <w:pPr>
              <w:spacing w:after="0"/>
              <w:rPr>
                <w:sz w:val="20"/>
                <w:szCs w:val="20"/>
                <w:color w:val="auto"/>
              </w:rPr>
            </w:pPr>
          </w:p>
        </w:tc>
        <w:tc>
          <w:tcPr>
            <w:tcW w:w="900" w:type="dxa"/>
            <w:vAlign w:val="bottom"/>
            <w:tcBorders>
              <w:top w:val="single" w:sz="8" w:color="auto"/>
            </w:tcBorders>
            <w:shd w:val="clear" w:color="auto" w:fill="53C072"/>
          </w:tcPr>
          <w:p>
            <w:pPr>
              <w:spacing w:after="0"/>
              <w:rPr>
                <w:sz w:val="20"/>
                <w:szCs w:val="20"/>
                <w:color w:val="auto"/>
              </w:rPr>
            </w:pPr>
          </w:p>
        </w:tc>
        <w:tc>
          <w:tcPr>
            <w:tcW w:w="240" w:type="dxa"/>
            <w:vAlign w:val="bottom"/>
            <w:tcBorders>
              <w:top w:val="single" w:sz="8" w:color="auto"/>
            </w:tcBorders>
            <w:shd w:val="clear" w:color="auto" w:fill="53C072"/>
          </w:tcPr>
          <w:p>
            <w:pPr>
              <w:spacing w:after="0"/>
              <w:rPr>
                <w:sz w:val="20"/>
                <w:szCs w:val="20"/>
                <w:color w:val="auto"/>
              </w:rPr>
            </w:pPr>
          </w:p>
        </w:tc>
        <w:tc>
          <w:tcPr>
            <w:tcW w:w="640" w:type="dxa"/>
            <w:vAlign w:val="bottom"/>
            <w:tcBorders>
              <w:top w:val="single" w:sz="8" w:color="auto"/>
            </w:tcBorders>
            <w:shd w:val="clear" w:color="auto" w:fill="53C072"/>
          </w:tcPr>
          <w:p>
            <w:pPr>
              <w:spacing w:after="0"/>
              <w:rPr>
                <w:sz w:val="20"/>
                <w:szCs w:val="20"/>
                <w:color w:val="auto"/>
              </w:rPr>
            </w:pPr>
          </w:p>
        </w:tc>
        <w:tc>
          <w:tcPr>
            <w:tcW w:w="120" w:type="dxa"/>
            <w:vAlign w:val="bottom"/>
            <w:tcBorders>
              <w:top w:val="single" w:sz="8" w:color="53C072"/>
            </w:tcBorders>
            <w:shd w:val="clear" w:color="auto" w:fill="53C072"/>
          </w:tcPr>
          <w:p>
            <w:pPr>
              <w:spacing w:after="0"/>
              <w:rPr>
                <w:sz w:val="20"/>
                <w:szCs w:val="20"/>
                <w:color w:val="auto"/>
              </w:rPr>
            </w:pPr>
          </w:p>
        </w:tc>
      </w:tr>
      <w:tr>
        <w:trPr>
          <w:trHeight w:val="189"/>
        </w:trPr>
        <w:tc>
          <w:tcPr>
            <w:tcW w:w="100" w:type="dxa"/>
            <w:vAlign w:val="bottom"/>
          </w:tcPr>
          <w:p>
            <w:pPr>
              <w:spacing w:after="0"/>
              <w:rPr>
                <w:sz w:val="16"/>
                <w:szCs w:val="16"/>
                <w:color w:val="auto"/>
              </w:rPr>
            </w:pPr>
          </w:p>
        </w:tc>
        <w:tc>
          <w:tcPr>
            <w:tcW w:w="157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NEO</w:t>
            </w:r>
          </w:p>
        </w:tc>
        <w:tc>
          <w:tcPr>
            <w:tcW w:w="310" w:type="dxa"/>
            <w:vAlign w:val="bottom"/>
            <w:shd w:val="clear" w:color="auto" w:fill="53C072"/>
          </w:tcPr>
          <w:p>
            <w:pPr>
              <w:spacing w:after="0"/>
              <w:rPr>
                <w:sz w:val="16"/>
                <w:szCs w:val="16"/>
                <w:color w:val="auto"/>
              </w:rPr>
            </w:pPr>
          </w:p>
        </w:tc>
        <w:tc>
          <w:tcPr>
            <w:tcW w:w="820" w:type="dxa"/>
            <w:vAlign w:val="bottom"/>
            <w:shd w:val="clear" w:color="auto" w:fill="53C072"/>
          </w:tcPr>
          <w:p>
            <w:pPr>
              <w:jc w:val="right"/>
              <w:ind w:right="101"/>
              <w:spacing w:after="0"/>
              <w:rPr>
                <w:sz w:val="20"/>
                <w:szCs w:val="20"/>
                <w:color w:val="auto"/>
              </w:rPr>
            </w:pPr>
            <w:r>
              <w:rPr>
                <w:rFonts w:ascii="Arial" w:cs="Arial" w:eastAsia="Arial" w:hAnsi="Arial"/>
                <w:sz w:val="14"/>
                <w:szCs w:val="14"/>
                <w:b w:val="1"/>
                <w:bCs w:val="1"/>
                <w:color w:val="FEFEFE"/>
              </w:rPr>
              <w:t>Target $</w:t>
            </w:r>
          </w:p>
        </w:tc>
        <w:tc>
          <w:tcPr>
            <w:tcW w:w="900" w:type="dxa"/>
            <w:vAlign w:val="bottom"/>
            <w:shd w:val="clear" w:color="auto" w:fill="53C072"/>
          </w:tcPr>
          <w:p>
            <w:pPr>
              <w:jc w:val="right"/>
              <w:ind w:right="42"/>
              <w:spacing w:after="0"/>
              <w:rPr>
                <w:sz w:val="20"/>
                <w:szCs w:val="20"/>
                <w:color w:val="auto"/>
              </w:rPr>
            </w:pPr>
            <w:r>
              <w:rPr>
                <w:rFonts w:ascii="Arial" w:cs="Arial" w:eastAsia="Arial" w:hAnsi="Arial"/>
                <w:sz w:val="14"/>
                <w:szCs w:val="14"/>
                <w:b w:val="1"/>
                <w:bCs w:val="1"/>
                <w:color w:val="FEFEFE"/>
              </w:rPr>
              <w:t>Earned</w:t>
            </w:r>
          </w:p>
        </w:tc>
        <w:tc>
          <w:tcPr>
            <w:tcW w:w="220" w:type="dxa"/>
            <w:vAlign w:val="bottom"/>
            <w:shd w:val="clear" w:color="auto" w:fill="53C072"/>
          </w:tcPr>
          <w:p>
            <w:pPr>
              <w:spacing w:after="0"/>
              <w:rPr>
                <w:sz w:val="16"/>
                <w:szCs w:val="16"/>
                <w:color w:val="auto"/>
              </w:rPr>
            </w:pPr>
          </w:p>
        </w:tc>
        <w:tc>
          <w:tcPr>
            <w:tcW w:w="760" w:type="dxa"/>
            <w:vAlign w:val="bottom"/>
            <w:tcBorders>
              <w:right w:val="single" w:sz="8" w:color="53C072"/>
            </w:tcBorders>
            <w:gridSpan w:val="2"/>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 Actual</w:t>
            </w:r>
          </w:p>
        </w:tc>
        <w:tc>
          <w:tcPr>
            <w:tcW w:w="80" w:type="dxa"/>
            <w:vAlign w:val="bottom"/>
            <w:shd w:val="clear" w:color="auto" w:fill="53C072"/>
          </w:tcPr>
          <w:p>
            <w:pPr>
              <w:spacing w:after="0"/>
              <w:rPr>
                <w:sz w:val="16"/>
                <w:szCs w:val="16"/>
                <w:color w:val="auto"/>
              </w:rPr>
            </w:pPr>
          </w:p>
        </w:tc>
        <w:tc>
          <w:tcPr>
            <w:tcW w:w="920" w:type="dxa"/>
            <w:vAlign w:val="bottom"/>
            <w:shd w:val="clear" w:color="auto" w:fill="53C072"/>
          </w:tcPr>
          <w:p>
            <w:pPr>
              <w:ind w:left="280"/>
              <w:spacing w:after="0"/>
              <w:rPr>
                <w:sz w:val="20"/>
                <w:szCs w:val="20"/>
                <w:color w:val="auto"/>
              </w:rPr>
            </w:pPr>
            <w:r>
              <w:rPr>
                <w:rFonts w:ascii="Arial" w:cs="Arial" w:eastAsia="Arial" w:hAnsi="Arial"/>
                <w:sz w:val="14"/>
                <w:szCs w:val="14"/>
                <w:b w:val="1"/>
                <w:bCs w:val="1"/>
                <w:color w:val="FEFEFE"/>
                <w:w w:val="99"/>
              </w:rPr>
              <w:t>Achieved</w:t>
            </w:r>
          </w:p>
        </w:tc>
        <w:tc>
          <w:tcPr>
            <w:tcW w:w="140" w:type="dxa"/>
            <w:vAlign w:val="bottom"/>
            <w:shd w:val="clear" w:color="auto" w:fill="53C072"/>
          </w:tcPr>
          <w:p>
            <w:pPr>
              <w:spacing w:after="0"/>
              <w:rPr>
                <w:sz w:val="16"/>
                <w:szCs w:val="16"/>
                <w:color w:val="auto"/>
              </w:rPr>
            </w:pPr>
          </w:p>
        </w:tc>
        <w:tc>
          <w:tcPr>
            <w:tcW w:w="240" w:type="dxa"/>
            <w:vAlign w:val="bottom"/>
            <w:shd w:val="clear" w:color="auto" w:fill="53C072"/>
          </w:tcPr>
          <w:p>
            <w:pPr>
              <w:spacing w:after="0"/>
              <w:rPr>
                <w:sz w:val="16"/>
                <w:szCs w:val="16"/>
                <w:color w:val="auto"/>
              </w:rPr>
            </w:pPr>
          </w:p>
        </w:tc>
        <w:tc>
          <w:tcPr>
            <w:tcW w:w="6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w w:val="99"/>
              </w:rPr>
              <w:t>$ Actual</w:t>
            </w:r>
          </w:p>
        </w:tc>
        <w:tc>
          <w:tcPr>
            <w:tcW w:w="100" w:type="dxa"/>
            <w:vAlign w:val="bottom"/>
            <w:tcBorders>
              <w:right w:val="single" w:sz="8" w:color="53C072"/>
            </w:tcBorders>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90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 of Target</w:t>
            </w:r>
          </w:p>
        </w:tc>
        <w:tc>
          <w:tcPr>
            <w:tcW w:w="240" w:type="dxa"/>
            <w:vAlign w:val="bottom"/>
            <w:shd w:val="clear" w:color="auto" w:fill="53C072"/>
          </w:tcPr>
          <w:p>
            <w:pPr>
              <w:spacing w:after="0"/>
              <w:rPr>
                <w:sz w:val="16"/>
                <w:szCs w:val="16"/>
                <w:color w:val="auto"/>
              </w:rPr>
            </w:pPr>
          </w:p>
        </w:tc>
        <w:tc>
          <w:tcPr>
            <w:tcW w:w="76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 Actual</w:t>
            </w:r>
          </w:p>
        </w:tc>
      </w:tr>
      <w:tr>
        <w:trPr>
          <w:trHeight w:val="243"/>
        </w:trPr>
        <w:tc>
          <w:tcPr>
            <w:tcW w:w="100" w:type="dxa"/>
            <w:vAlign w:val="bottom"/>
          </w:tcPr>
          <w:p>
            <w:pPr>
              <w:spacing w:after="0"/>
              <w:rPr>
                <w:sz w:val="21"/>
                <w:szCs w:val="21"/>
                <w:color w:val="auto"/>
              </w:rPr>
            </w:pPr>
          </w:p>
        </w:tc>
        <w:tc>
          <w:tcPr>
            <w:tcW w:w="1570" w:type="dxa"/>
            <w:vAlign w:val="bottom"/>
          </w:tcPr>
          <w:p>
            <w:pPr>
              <w:spacing w:after="0"/>
              <w:rPr>
                <w:sz w:val="20"/>
                <w:szCs w:val="20"/>
                <w:color w:val="auto"/>
              </w:rPr>
            </w:pPr>
            <w:r>
              <w:rPr>
                <w:rFonts w:ascii="Arial" w:cs="Arial" w:eastAsia="Arial" w:hAnsi="Arial"/>
                <w:sz w:val="16"/>
                <w:szCs w:val="16"/>
                <w:color w:val="auto"/>
              </w:rPr>
              <w:t>Gallagher</w:t>
            </w:r>
          </w:p>
        </w:tc>
        <w:tc>
          <w:tcPr>
            <w:tcW w:w="1130" w:type="dxa"/>
            <w:vAlign w:val="bottom"/>
            <w:gridSpan w:val="2"/>
          </w:tcPr>
          <w:p>
            <w:pPr>
              <w:jc w:val="right"/>
              <w:ind w:right="101"/>
              <w:spacing w:after="0"/>
              <w:rPr>
                <w:sz w:val="20"/>
                <w:szCs w:val="20"/>
                <w:color w:val="auto"/>
              </w:rPr>
            </w:pPr>
            <w:r>
              <w:rPr>
                <w:rFonts w:ascii="Arial" w:cs="Arial" w:eastAsia="Arial" w:hAnsi="Arial"/>
                <w:sz w:val="16"/>
                <w:szCs w:val="16"/>
                <w:color w:val="auto"/>
              </w:rPr>
              <w:t>​$1,725,000</w:t>
            </w:r>
          </w:p>
        </w:tc>
        <w:tc>
          <w:tcPr>
            <w:tcW w:w="900" w:type="dxa"/>
            <w:vAlign w:val="bottom"/>
          </w:tcPr>
          <w:p>
            <w:pPr>
              <w:ind w:left="140"/>
              <w:spacing w:after="0"/>
              <w:rPr>
                <w:sz w:val="20"/>
                <w:szCs w:val="20"/>
                <w:color w:val="auto"/>
              </w:rPr>
            </w:pPr>
            <w:r>
              <w:rPr>
                <w:rFonts w:ascii="Arial" w:cs="Arial" w:eastAsia="Arial" w:hAnsi="Arial"/>
                <w:sz w:val="16"/>
                <w:szCs w:val="16"/>
                <w:color w:val="auto"/>
              </w:rPr>
              <w:t>​121.02%​</w:t>
            </w:r>
          </w:p>
        </w:tc>
        <w:tc>
          <w:tcPr>
            <w:tcW w:w="980" w:type="dxa"/>
            <w:vAlign w:val="bottom"/>
            <w:tcBorders>
              <w:right w:val="single" w:sz="8" w:color="53C072"/>
            </w:tcBorders>
            <w:gridSpan w:val="3"/>
          </w:tcPr>
          <w:p>
            <w:pPr>
              <w:jc w:val="right"/>
              <w:ind w:right="100"/>
              <w:spacing w:after="0"/>
              <w:rPr>
                <w:sz w:val="20"/>
                <w:szCs w:val="20"/>
                <w:color w:val="auto"/>
              </w:rPr>
            </w:pPr>
            <w:r>
              <w:rPr>
                <w:rFonts w:ascii="Arial" w:cs="Arial" w:eastAsia="Arial" w:hAnsi="Arial"/>
                <w:sz w:val="16"/>
                <w:szCs w:val="16"/>
                <w:color w:val="auto"/>
              </w:rPr>
              <w:t>​$2,087,526</w:t>
            </w:r>
          </w:p>
        </w:tc>
        <w:tc>
          <w:tcPr>
            <w:tcW w:w="8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​100%</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53C072"/>
            </w:tcBorders>
            <w:gridSpan w:val="3"/>
          </w:tcPr>
          <w:p>
            <w:pPr>
              <w:jc w:val="right"/>
              <w:spacing w:after="0"/>
              <w:rPr>
                <w:sz w:val="20"/>
                <w:szCs w:val="20"/>
                <w:color w:val="auto"/>
              </w:rPr>
            </w:pPr>
            <w:r>
              <w:rPr>
                <w:rFonts w:ascii="Arial" w:cs="Arial" w:eastAsia="Arial" w:hAnsi="Arial"/>
                <w:sz w:val="16"/>
                <w:szCs w:val="16"/>
                <w:color w:val="auto"/>
              </w:rPr>
              <w:t>​$345,000 ​</w:t>
            </w:r>
          </w:p>
        </w:tc>
        <w:tc>
          <w:tcPr>
            <w:tcW w:w="8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6"/>
                <w:szCs w:val="16"/>
                <w:color w:val="auto"/>
              </w:rPr>
              <w:t>​141.02%​</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​$2,432,526</w:t>
            </w:r>
          </w:p>
        </w:tc>
      </w:tr>
      <w:tr>
        <w:trPr>
          <w:trHeight w:val="256"/>
        </w:trPr>
        <w:tc>
          <w:tcPr>
            <w:tcW w:w="100" w:type="dxa"/>
            <w:vAlign w:val="bottom"/>
            <w:shd w:val="clear" w:color="auto" w:fill="CBECD5"/>
          </w:tcPr>
          <w:p>
            <w:pPr>
              <w:spacing w:after="0"/>
              <w:rPr>
                <w:sz w:val="22"/>
                <w:szCs w:val="22"/>
                <w:color w:val="auto"/>
              </w:rPr>
            </w:pPr>
          </w:p>
        </w:tc>
        <w:tc>
          <w:tcPr>
            <w:tcW w:w="1570" w:type="dxa"/>
            <w:vAlign w:val="bottom"/>
            <w:shd w:val="clear" w:color="auto" w:fill="CBECD5"/>
          </w:tcPr>
          <w:p>
            <w:pPr>
              <w:spacing w:after="0"/>
              <w:rPr>
                <w:sz w:val="20"/>
                <w:szCs w:val="20"/>
                <w:color w:val="auto"/>
              </w:rPr>
            </w:pPr>
            <w:r>
              <w:rPr>
                <w:rFonts w:ascii="Arial" w:cs="Arial" w:eastAsia="Arial" w:hAnsi="Arial"/>
                <w:sz w:val="16"/>
                <w:szCs w:val="16"/>
                <w:color w:val="auto"/>
              </w:rPr>
              <w:t>Jacobson</w:t>
            </w:r>
            <w:r>
              <w:rPr>
                <w:rFonts w:ascii="Arial" w:cs="Arial" w:eastAsia="Arial" w:hAnsi="Arial"/>
                <w:sz w:val="19"/>
                <w:szCs w:val="19"/>
                <w:color w:val="auto"/>
                <w:vertAlign w:val="superscript"/>
              </w:rPr>
              <w:t>(1)</w:t>
            </w:r>
          </w:p>
        </w:tc>
        <w:tc>
          <w:tcPr>
            <w:tcW w:w="310" w:type="dxa"/>
            <w:vAlign w:val="bottom"/>
            <w:shd w:val="clear" w:color="auto" w:fill="CBECD5"/>
          </w:tcPr>
          <w:p>
            <w:pPr>
              <w:ind w:left="13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101"/>
              <w:spacing w:after="0"/>
              <w:rPr>
                <w:sz w:val="20"/>
                <w:szCs w:val="20"/>
                <w:color w:val="auto"/>
              </w:rPr>
            </w:pPr>
            <w:r>
              <w:rPr>
                <w:rFonts w:ascii="Arial" w:cs="Arial" w:eastAsia="Arial" w:hAnsi="Arial"/>
                <w:sz w:val="16"/>
                <w:szCs w:val="16"/>
                <w:color w:val="auto"/>
              </w:rPr>
              <w:t>442,708</w:t>
            </w:r>
          </w:p>
        </w:tc>
        <w:tc>
          <w:tcPr>
            <w:tcW w:w="9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​121.02%​</w:t>
            </w:r>
          </w:p>
        </w:tc>
        <w:tc>
          <w:tcPr>
            <w:tcW w:w="22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6"/>
                <w:szCs w:val="16"/>
                <w:color w:val="auto"/>
              </w:rPr>
              <w:t>535,970</w:t>
            </w:r>
          </w:p>
        </w:tc>
        <w:tc>
          <w:tcPr>
            <w:tcW w:w="100" w:type="dxa"/>
            <w:vAlign w:val="bottom"/>
            <w:tcBorders>
              <w:right w:val="single" w:sz="8" w:color="53C072"/>
            </w:tcBorders>
            <w:shd w:val="clear" w:color="auto" w:fill="CBECD5"/>
          </w:tcPr>
          <w:p>
            <w:pPr>
              <w:spacing w:after="0"/>
              <w:rPr>
                <w:sz w:val="22"/>
                <w:szCs w:val="22"/>
                <w:color w:val="auto"/>
              </w:rPr>
            </w:pPr>
          </w:p>
        </w:tc>
        <w:tc>
          <w:tcPr>
            <w:tcW w:w="80" w:type="dxa"/>
            <w:vAlign w:val="bottom"/>
            <w:shd w:val="clear" w:color="auto" w:fill="CBECD5"/>
          </w:tcPr>
          <w:p>
            <w:pPr>
              <w:spacing w:after="0"/>
              <w:rPr>
                <w:sz w:val="22"/>
                <w:szCs w:val="22"/>
                <w:color w:val="auto"/>
              </w:rPr>
            </w:pPr>
          </w:p>
        </w:tc>
        <w:tc>
          <w:tcPr>
            <w:tcW w:w="920" w:type="dxa"/>
            <w:vAlign w:val="bottom"/>
            <w:shd w:val="clear" w:color="auto" w:fill="CBECD5"/>
          </w:tcPr>
          <w:p>
            <w:pPr>
              <w:ind w:left="32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BECD5"/>
          </w:tcPr>
          <w:p>
            <w:pPr>
              <w:ind w:left="60"/>
              <w:spacing w:after="0"/>
              <w:rPr>
                <w:sz w:val="20"/>
                <w:szCs w:val="20"/>
                <w:color w:val="auto"/>
              </w:rPr>
            </w:pPr>
            <w:r>
              <w:rPr>
                <w:rFonts w:ascii="Arial" w:cs="Arial" w:eastAsia="Arial" w:hAnsi="Arial"/>
                <w:sz w:val="16"/>
                <w:szCs w:val="16"/>
                <w:color w:val="auto"/>
              </w:rPr>
              <w:t>82,143</w:t>
            </w:r>
          </w:p>
        </w:tc>
        <w:tc>
          <w:tcPr>
            <w:tcW w:w="100" w:type="dxa"/>
            <w:vAlign w:val="bottom"/>
            <w:tcBorders>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2"/>
                <w:szCs w:val="22"/>
                <w:color w:val="auto"/>
              </w:rPr>
            </w:pPr>
          </w:p>
        </w:tc>
        <w:tc>
          <w:tcPr>
            <w:tcW w:w="9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​139.62%​</w:t>
            </w:r>
          </w:p>
        </w:tc>
        <w:tc>
          <w:tcPr>
            <w:tcW w:w="24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BECD5"/>
          </w:tcPr>
          <w:p>
            <w:pPr>
              <w:jc w:val="right"/>
              <w:ind w:right="100"/>
              <w:spacing w:after="0"/>
              <w:rPr>
                <w:sz w:val="20"/>
                <w:szCs w:val="20"/>
                <w:color w:val="auto"/>
              </w:rPr>
            </w:pPr>
            <w:r>
              <w:rPr>
                <w:rFonts w:ascii="Arial" w:cs="Arial" w:eastAsia="Arial" w:hAnsi="Arial"/>
                <w:sz w:val="16"/>
                <w:szCs w:val="16"/>
                <w:color w:val="auto"/>
              </w:rPr>
              <w:t>618,113</w:t>
            </w:r>
          </w:p>
        </w:tc>
      </w:tr>
      <w:tr>
        <w:trPr>
          <w:trHeight w:val="243"/>
        </w:trPr>
        <w:tc>
          <w:tcPr>
            <w:tcW w:w="100" w:type="dxa"/>
            <w:vAlign w:val="bottom"/>
          </w:tcPr>
          <w:p>
            <w:pPr>
              <w:spacing w:after="0"/>
              <w:rPr>
                <w:sz w:val="21"/>
                <w:szCs w:val="21"/>
                <w:color w:val="auto"/>
              </w:rPr>
            </w:pPr>
          </w:p>
        </w:tc>
        <w:tc>
          <w:tcPr>
            <w:tcW w:w="1570" w:type="dxa"/>
            <w:vAlign w:val="bottom"/>
          </w:tcPr>
          <w:p>
            <w:pPr>
              <w:spacing w:after="0"/>
              <w:rPr>
                <w:sz w:val="20"/>
                <w:szCs w:val="20"/>
                <w:color w:val="auto"/>
              </w:rPr>
            </w:pPr>
            <w:r>
              <w:rPr>
                <w:rFonts w:ascii="Arial" w:cs="Arial" w:eastAsia="Arial" w:hAnsi="Arial"/>
                <w:sz w:val="16"/>
                <w:szCs w:val="16"/>
                <w:color w:val="auto"/>
              </w:rPr>
              <w:t>Arnold</w:t>
            </w:r>
          </w:p>
        </w:tc>
        <w:tc>
          <w:tcPr>
            <w:tcW w:w="310" w:type="dxa"/>
            <w:vAlign w:val="bottom"/>
          </w:tcPr>
          <w:p>
            <w:pPr>
              <w:ind w:left="13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393,750</w:t>
            </w:r>
          </w:p>
        </w:tc>
        <w:tc>
          <w:tcPr>
            <w:tcW w:w="900" w:type="dxa"/>
            <w:vAlign w:val="bottom"/>
          </w:tcPr>
          <w:p>
            <w:pPr>
              <w:ind w:left="140"/>
              <w:spacing w:after="0"/>
              <w:rPr>
                <w:sz w:val="20"/>
                <w:szCs w:val="20"/>
                <w:color w:val="auto"/>
              </w:rPr>
            </w:pPr>
            <w:r>
              <w:rPr>
                <w:rFonts w:ascii="Arial" w:cs="Arial" w:eastAsia="Arial" w:hAnsi="Arial"/>
                <w:sz w:val="16"/>
                <w:szCs w:val="16"/>
                <w:color w:val="auto"/>
              </w:rPr>
              <w:t>​121.02%​</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476,501</w:t>
            </w:r>
          </w:p>
        </w:tc>
        <w:tc>
          <w:tcPr>
            <w:tcW w:w="100" w:type="dxa"/>
            <w:vAlign w:val="bottom"/>
            <w:tcBorders>
              <w:right w:val="single" w:sz="8" w:color="53C072"/>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​100%</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ind w:left="60"/>
              <w:spacing w:after="0"/>
              <w:rPr>
                <w:sz w:val="20"/>
                <w:szCs w:val="20"/>
                <w:color w:val="auto"/>
              </w:rPr>
            </w:pPr>
            <w:r>
              <w:rPr>
                <w:rFonts w:ascii="Arial" w:cs="Arial" w:eastAsia="Arial" w:hAnsi="Arial"/>
                <w:sz w:val="16"/>
                <w:szCs w:val="16"/>
                <w:color w:val="auto"/>
              </w:rPr>
              <w:t>78,750</w:t>
            </w:r>
          </w:p>
        </w:tc>
        <w:tc>
          <w:tcPr>
            <w:tcW w:w="100" w:type="dxa"/>
            <w:vAlign w:val="bottom"/>
            <w:tcBorders>
              <w:right w:val="single" w:sz="8" w:color="53C072"/>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6"/>
                <w:szCs w:val="16"/>
                <w:color w:val="auto"/>
              </w:rPr>
              <w:t>​141.02%​</w:t>
            </w:r>
          </w:p>
        </w:tc>
        <w:tc>
          <w:tcPr>
            <w:tcW w:w="240" w:type="dxa"/>
            <w:vAlign w:val="bottom"/>
          </w:tcPr>
          <w:p>
            <w:pPr>
              <w:jc w:val="cente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555,251</w:t>
            </w:r>
          </w:p>
        </w:tc>
      </w:tr>
      <w:tr>
        <w:trPr>
          <w:trHeight w:val="243"/>
        </w:trPr>
        <w:tc>
          <w:tcPr>
            <w:tcW w:w="100" w:type="dxa"/>
            <w:vAlign w:val="bottom"/>
            <w:shd w:val="clear" w:color="auto" w:fill="CBECD5"/>
          </w:tcPr>
          <w:p>
            <w:pPr>
              <w:spacing w:after="0"/>
              <w:rPr>
                <w:sz w:val="21"/>
                <w:szCs w:val="21"/>
                <w:color w:val="auto"/>
              </w:rPr>
            </w:pPr>
          </w:p>
        </w:tc>
        <w:tc>
          <w:tcPr>
            <w:tcW w:w="1570" w:type="dxa"/>
            <w:vAlign w:val="bottom"/>
            <w:shd w:val="clear" w:color="auto" w:fill="CBECD5"/>
          </w:tcPr>
          <w:p>
            <w:pPr>
              <w:spacing w:after="0"/>
              <w:rPr>
                <w:sz w:val="20"/>
                <w:szCs w:val="20"/>
                <w:color w:val="auto"/>
              </w:rPr>
            </w:pPr>
            <w:r>
              <w:rPr>
                <w:rFonts w:ascii="Arial" w:cs="Arial" w:eastAsia="Arial" w:hAnsi="Arial"/>
                <w:sz w:val="16"/>
                <w:szCs w:val="16"/>
                <w:color w:val="auto"/>
              </w:rPr>
              <w:t>McCoy</w:t>
            </w:r>
          </w:p>
        </w:tc>
        <w:tc>
          <w:tcPr>
            <w:tcW w:w="310" w:type="dxa"/>
            <w:vAlign w:val="bottom"/>
            <w:shd w:val="clear" w:color="auto" w:fill="CBECD5"/>
          </w:tcPr>
          <w:p>
            <w:pPr>
              <w:ind w:left="13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101"/>
              <w:spacing w:after="0"/>
              <w:rPr>
                <w:sz w:val="20"/>
                <w:szCs w:val="20"/>
                <w:color w:val="auto"/>
              </w:rPr>
            </w:pPr>
            <w:r>
              <w:rPr>
                <w:rFonts w:ascii="Arial" w:cs="Arial" w:eastAsia="Arial" w:hAnsi="Arial"/>
                <w:sz w:val="16"/>
                <w:szCs w:val="16"/>
                <w:color w:val="auto"/>
              </w:rPr>
              <w:t>412,500</w:t>
            </w:r>
          </w:p>
        </w:tc>
        <w:tc>
          <w:tcPr>
            <w:tcW w:w="9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​121.02%​</w:t>
            </w:r>
          </w:p>
        </w:tc>
        <w:tc>
          <w:tcPr>
            <w:tcW w:w="22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6"/>
                <w:szCs w:val="16"/>
                <w:color w:val="auto"/>
              </w:rPr>
              <w:t>499,191</w:t>
            </w:r>
          </w:p>
        </w:tc>
        <w:tc>
          <w:tcPr>
            <w:tcW w:w="100" w:type="dxa"/>
            <w:vAlign w:val="bottom"/>
            <w:tcBorders>
              <w:right w:val="single" w:sz="8" w:color="53C072"/>
            </w:tcBorders>
            <w:shd w:val="clear" w:color="auto" w:fill="CBECD5"/>
          </w:tcPr>
          <w:p>
            <w:pPr>
              <w:spacing w:after="0"/>
              <w:rPr>
                <w:sz w:val="21"/>
                <w:szCs w:val="21"/>
                <w:color w:val="auto"/>
              </w:rPr>
            </w:pPr>
          </w:p>
        </w:tc>
        <w:tc>
          <w:tcPr>
            <w:tcW w:w="80" w:type="dxa"/>
            <w:vAlign w:val="bottom"/>
            <w:shd w:val="clear" w:color="auto" w:fill="CBECD5"/>
          </w:tcPr>
          <w:p>
            <w:pPr>
              <w:spacing w:after="0"/>
              <w:rPr>
                <w:sz w:val="21"/>
                <w:szCs w:val="21"/>
                <w:color w:val="auto"/>
              </w:rPr>
            </w:pPr>
          </w:p>
        </w:tc>
        <w:tc>
          <w:tcPr>
            <w:tcW w:w="920" w:type="dxa"/>
            <w:vAlign w:val="bottom"/>
            <w:shd w:val="clear" w:color="auto" w:fill="CBECD5"/>
          </w:tcPr>
          <w:p>
            <w:pPr>
              <w:ind w:left="32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BECD5"/>
          </w:tcPr>
          <w:p>
            <w:pPr>
              <w:ind w:left="60"/>
              <w:spacing w:after="0"/>
              <w:rPr>
                <w:sz w:val="20"/>
                <w:szCs w:val="20"/>
                <w:color w:val="auto"/>
              </w:rPr>
            </w:pPr>
            <w:r>
              <w:rPr>
                <w:rFonts w:ascii="Arial" w:cs="Arial" w:eastAsia="Arial" w:hAnsi="Arial"/>
                <w:sz w:val="16"/>
                <w:szCs w:val="16"/>
                <w:color w:val="auto"/>
              </w:rPr>
              <w:t>82,500</w:t>
            </w:r>
          </w:p>
        </w:tc>
        <w:tc>
          <w:tcPr>
            <w:tcW w:w="100" w:type="dxa"/>
            <w:vAlign w:val="bottom"/>
            <w:tcBorders>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1"/>
                <w:szCs w:val="21"/>
                <w:color w:val="auto"/>
              </w:rPr>
            </w:pPr>
          </w:p>
        </w:tc>
        <w:tc>
          <w:tcPr>
            <w:tcW w:w="900" w:type="dxa"/>
            <w:vAlign w:val="bottom"/>
            <w:shd w:val="clear" w:color="auto" w:fill="CBECD5"/>
          </w:tcPr>
          <w:p>
            <w:pPr>
              <w:ind w:left="140"/>
              <w:spacing w:after="0"/>
              <w:rPr>
                <w:sz w:val="20"/>
                <w:szCs w:val="20"/>
                <w:color w:val="auto"/>
              </w:rPr>
            </w:pPr>
            <w:r>
              <w:rPr>
                <w:rFonts w:ascii="Arial" w:cs="Arial" w:eastAsia="Arial" w:hAnsi="Arial"/>
                <w:sz w:val="16"/>
                <w:szCs w:val="16"/>
                <w:color w:val="auto"/>
              </w:rPr>
              <w:t>​141.02%​</w:t>
            </w:r>
          </w:p>
        </w:tc>
        <w:tc>
          <w:tcPr>
            <w:tcW w:w="24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BECD5"/>
          </w:tcPr>
          <w:p>
            <w:pPr>
              <w:jc w:val="right"/>
              <w:ind w:right="100"/>
              <w:spacing w:after="0"/>
              <w:rPr>
                <w:sz w:val="20"/>
                <w:szCs w:val="20"/>
                <w:color w:val="auto"/>
              </w:rPr>
            </w:pPr>
            <w:r>
              <w:rPr>
                <w:rFonts w:ascii="Arial" w:cs="Arial" w:eastAsia="Arial" w:hAnsi="Arial"/>
                <w:sz w:val="16"/>
                <w:szCs w:val="16"/>
                <w:color w:val="auto"/>
              </w:rPr>
              <w:t>581,691</w:t>
            </w:r>
          </w:p>
        </w:tc>
      </w:tr>
      <w:tr>
        <w:trPr>
          <w:trHeight w:val="270"/>
        </w:trPr>
        <w:tc>
          <w:tcPr>
            <w:tcW w:w="100" w:type="dxa"/>
            <w:vAlign w:val="bottom"/>
          </w:tcPr>
          <w:p>
            <w:pPr>
              <w:spacing w:after="0"/>
              <w:rPr>
                <w:sz w:val="23"/>
                <w:szCs w:val="23"/>
                <w:color w:val="auto"/>
              </w:rPr>
            </w:pPr>
          </w:p>
        </w:tc>
        <w:tc>
          <w:tcPr>
            <w:tcW w:w="1570" w:type="dxa"/>
            <w:vAlign w:val="bottom"/>
          </w:tcPr>
          <w:p>
            <w:pPr>
              <w:spacing w:after="0"/>
              <w:rPr>
                <w:sz w:val="20"/>
                <w:szCs w:val="20"/>
                <w:color w:val="auto"/>
              </w:rPr>
            </w:pPr>
            <w:r>
              <w:rPr>
                <w:rFonts w:ascii="Arial" w:cs="Arial" w:eastAsia="Arial" w:hAnsi="Arial"/>
                <w:sz w:val="16"/>
                <w:szCs w:val="16"/>
                <w:color w:val="auto"/>
              </w:rPr>
              <w:t>Obregon-Jimenez</w:t>
            </w:r>
            <w:r>
              <w:rPr>
                <w:rFonts w:ascii="Arial" w:cs="Arial" w:eastAsia="Arial" w:hAnsi="Arial"/>
                <w:sz w:val="19"/>
                <w:szCs w:val="19"/>
                <w:color w:val="auto"/>
                <w:vertAlign w:val="superscript"/>
              </w:rPr>
              <w:t>(2)</w:t>
            </w:r>
          </w:p>
        </w:tc>
        <w:tc>
          <w:tcPr>
            <w:tcW w:w="310" w:type="dxa"/>
            <w:vAlign w:val="bottom"/>
          </w:tcPr>
          <w:p>
            <w:pPr>
              <w:ind w:left="13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195,000</w:t>
            </w:r>
          </w:p>
        </w:tc>
        <w:tc>
          <w:tcPr>
            <w:tcW w:w="900" w:type="dxa"/>
            <w:vAlign w:val="bottom"/>
          </w:tcPr>
          <w:p>
            <w:pPr>
              <w:ind w:left="140"/>
              <w:spacing w:after="0"/>
              <w:rPr>
                <w:sz w:val="20"/>
                <w:szCs w:val="20"/>
                <w:color w:val="auto"/>
              </w:rPr>
            </w:pPr>
            <w:r>
              <w:rPr>
                <w:rFonts w:ascii="Arial" w:cs="Arial" w:eastAsia="Arial" w:hAnsi="Arial"/>
                <w:sz w:val="16"/>
                <w:szCs w:val="16"/>
                <w:color w:val="auto"/>
              </w:rPr>
              <w:t>​121.02%​</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235,982</w:t>
            </w:r>
          </w:p>
        </w:tc>
        <w:tc>
          <w:tcPr>
            <w:tcW w:w="100" w:type="dxa"/>
            <w:vAlign w:val="bottom"/>
            <w:tcBorders>
              <w:right w:val="single" w:sz="8" w:color="53C072"/>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​100%</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ind w:left="60"/>
              <w:spacing w:after="0"/>
              <w:rPr>
                <w:sz w:val="20"/>
                <w:szCs w:val="20"/>
                <w:color w:val="auto"/>
              </w:rPr>
            </w:pPr>
            <w:r>
              <w:rPr>
                <w:rFonts w:ascii="Arial" w:cs="Arial" w:eastAsia="Arial" w:hAnsi="Arial"/>
                <w:sz w:val="16"/>
                <w:szCs w:val="16"/>
                <w:color w:val="auto"/>
              </w:rPr>
              <w:t>39,000</w:t>
            </w:r>
          </w:p>
        </w:tc>
        <w:tc>
          <w:tcPr>
            <w:tcW w:w="100" w:type="dxa"/>
            <w:vAlign w:val="bottom"/>
            <w:tcBorders>
              <w:right w:val="single" w:sz="8" w:color="53C072"/>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00" w:type="dxa"/>
            <w:vAlign w:val="bottom"/>
          </w:tcPr>
          <w:p>
            <w:pPr>
              <w:ind w:left="140"/>
              <w:spacing w:after="0"/>
              <w:rPr>
                <w:sz w:val="20"/>
                <w:szCs w:val="20"/>
                <w:color w:val="auto"/>
              </w:rPr>
            </w:pPr>
            <w:r>
              <w:rPr>
                <w:rFonts w:ascii="Arial" w:cs="Arial" w:eastAsia="Arial" w:hAnsi="Arial"/>
                <w:sz w:val="16"/>
                <w:szCs w:val="16"/>
                <w:color w:val="auto"/>
              </w:rPr>
              <w:t>​141.02%​</w:t>
            </w:r>
          </w:p>
        </w:tc>
        <w:tc>
          <w:tcPr>
            <w:tcW w:w="240" w:type="dxa"/>
            <w:vAlign w:val="bottom"/>
          </w:tcPr>
          <w:p>
            <w:pPr>
              <w:jc w:val="cente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274,982</w:t>
            </w:r>
          </w:p>
        </w:tc>
      </w:tr>
      <w:tr>
        <w:trPr>
          <w:trHeight w:val="304"/>
        </w:trPr>
        <w:tc>
          <w:tcPr>
            <w:tcW w:w="100" w:type="dxa"/>
            <w:vAlign w:val="bottom"/>
            <w:tcBorders>
              <w:bottom w:val="single" w:sz="8" w:color="53C072"/>
            </w:tcBorders>
            <w:shd w:val="clear" w:color="auto" w:fill="CBECD5"/>
          </w:tcPr>
          <w:p>
            <w:pPr>
              <w:spacing w:after="0"/>
              <w:rPr>
                <w:sz w:val="24"/>
                <w:szCs w:val="24"/>
                <w:color w:val="auto"/>
              </w:rPr>
            </w:pPr>
          </w:p>
        </w:tc>
        <w:tc>
          <w:tcPr>
            <w:tcW w:w="157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6"/>
                <w:szCs w:val="16"/>
                <w:color w:val="auto"/>
              </w:rPr>
              <w:t>Liguori</w:t>
            </w:r>
            <w:r>
              <w:rPr>
                <w:rFonts w:ascii="Arial" w:cs="Arial" w:eastAsia="Arial" w:hAnsi="Arial"/>
                <w:sz w:val="19"/>
                <w:szCs w:val="19"/>
                <w:color w:val="auto"/>
                <w:vertAlign w:val="superscript"/>
              </w:rPr>
              <w:t>(3)</w:t>
            </w:r>
          </w:p>
        </w:tc>
        <w:tc>
          <w:tcPr>
            <w:tcW w:w="310" w:type="dxa"/>
            <w:vAlign w:val="bottom"/>
            <w:tcBorders>
              <w:bottom w:val="single" w:sz="8" w:color="53C072"/>
            </w:tcBorders>
            <w:shd w:val="clear" w:color="auto" w:fill="CBECD5"/>
          </w:tcPr>
          <w:p>
            <w:pPr>
              <w:ind w:left="130"/>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20" w:type="dxa"/>
            <w:vAlign w:val="bottom"/>
            <w:tcBorders>
              <w:bottom w:val="single" w:sz="8" w:color="53C072"/>
            </w:tcBorders>
            <w:shd w:val="clear" w:color="auto" w:fill="CBECD5"/>
          </w:tcPr>
          <w:p>
            <w:pPr>
              <w:jc w:val="right"/>
              <w:ind w:right="101"/>
              <w:spacing w:after="0"/>
              <w:rPr>
                <w:sz w:val="20"/>
                <w:szCs w:val="20"/>
                <w:color w:val="auto"/>
              </w:rPr>
            </w:pPr>
            <w:r>
              <w:rPr>
                <w:rFonts w:ascii="Arial" w:cs="Arial" w:eastAsia="Arial" w:hAnsi="Arial"/>
                <w:sz w:val="16"/>
                <w:szCs w:val="16"/>
                <w:color w:val="auto"/>
              </w:rPr>
              <w:t>438,750</w:t>
            </w:r>
          </w:p>
        </w:tc>
        <w:tc>
          <w:tcPr>
            <w:tcW w:w="900" w:type="dxa"/>
            <w:vAlign w:val="bottom"/>
            <w:tcBorders>
              <w:bottom w:val="single" w:sz="8" w:color="53C072"/>
            </w:tcBorders>
            <w:shd w:val="clear" w:color="auto" w:fill="CBECD5"/>
          </w:tcPr>
          <w:p>
            <w:pPr>
              <w:ind w:left="140"/>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121.02%</w:t>
            </w:r>
            <w:r>
              <w:rPr>
                <w:rFonts w:ascii="Arial" w:cs="Arial" w:eastAsia="Arial" w:hAnsi="Arial"/>
                <w:sz w:val="32"/>
                <w:szCs w:val="32"/>
                <w:color w:val="auto"/>
                <w:vertAlign w:val="subscript"/>
              </w:rPr>
              <w:t>​</w:t>
            </w:r>
          </w:p>
        </w:tc>
        <w:tc>
          <w:tcPr>
            <w:tcW w:w="220" w:type="dxa"/>
            <w:vAlign w:val="bottom"/>
            <w:tcBorders>
              <w:bottom w:val="single" w:sz="8" w:color="53C072"/>
            </w:tcBorders>
            <w:shd w:val="clear" w:color="auto" w:fill="CBECD5"/>
          </w:tcPr>
          <w:p>
            <w:pPr>
              <w:jc w:val="center"/>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6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6"/>
                <w:szCs w:val="16"/>
                <w:color w:val="auto"/>
              </w:rPr>
              <w:t>530,958</w:t>
            </w:r>
          </w:p>
        </w:tc>
        <w:tc>
          <w:tcPr>
            <w:tcW w:w="100" w:type="dxa"/>
            <w:vAlign w:val="bottom"/>
            <w:tcBorders>
              <w:bottom w:val="single" w:sz="8" w:color="53C072"/>
              <w:right w:val="single" w:sz="8" w:color="53C072"/>
            </w:tcBorders>
            <w:shd w:val="clear" w:color="auto" w:fill="CBECD5"/>
          </w:tcPr>
          <w:p>
            <w:pPr>
              <w:spacing w:after="0"/>
              <w:rPr>
                <w:sz w:val="24"/>
                <w:szCs w:val="24"/>
                <w:color w:val="auto"/>
              </w:rPr>
            </w:pPr>
          </w:p>
        </w:tc>
        <w:tc>
          <w:tcPr>
            <w:tcW w:w="80" w:type="dxa"/>
            <w:vAlign w:val="bottom"/>
            <w:tcBorders>
              <w:bottom w:val="single" w:sz="8" w:color="53C072"/>
            </w:tcBorders>
            <w:shd w:val="clear" w:color="auto" w:fill="CBECD5"/>
          </w:tcPr>
          <w:p>
            <w:pPr>
              <w:spacing w:after="0"/>
              <w:rPr>
                <w:sz w:val="24"/>
                <w:szCs w:val="24"/>
                <w:color w:val="auto"/>
              </w:rPr>
            </w:pPr>
          </w:p>
        </w:tc>
        <w:tc>
          <w:tcPr>
            <w:tcW w:w="920" w:type="dxa"/>
            <w:vAlign w:val="bottom"/>
            <w:tcBorders>
              <w:bottom w:val="single" w:sz="8" w:color="53C072"/>
            </w:tcBorders>
            <w:shd w:val="clear" w:color="auto" w:fill="CBECD5"/>
          </w:tcPr>
          <w:p>
            <w:pPr>
              <w:ind w:left="320"/>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100%</w:t>
            </w:r>
          </w:p>
        </w:tc>
        <w:tc>
          <w:tcPr>
            <w:tcW w:w="1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53C072"/>
            </w:tcBorders>
            <w:shd w:val="clear" w:color="auto" w:fill="CBECD5"/>
          </w:tcPr>
          <w:p>
            <w:pPr>
              <w:ind w:left="100"/>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62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6"/>
                <w:szCs w:val="16"/>
                <w:color w:val="auto"/>
              </w:rPr>
              <w:t>87,750</w:t>
            </w:r>
          </w:p>
        </w:tc>
        <w:tc>
          <w:tcPr>
            <w:tcW w:w="10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53C072"/>
            </w:tcBorders>
            <w:shd w:val="clear" w:color="auto" w:fill="CBECD5"/>
          </w:tcPr>
          <w:p>
            <w:pPr>
              <w:spacing w:after="0"/>
              <w:rPr>
                <w:sz w:val="24"/>
                <w:szCs w:val="24"/>
                <w:color w:val="auto"/>
              </w:rPr>
            </w:pPr>
          </w:p>
        </w:tc>
        <w:tc>
          <w:tcPr>
            <w:tcW w:w="900" w:type="dxa"/>
            <w:vAlign w:val="bottom"/>
            <w:tcBorders>
              <w:bottom w:val="single" w:sz="8" w:color="53C072"/>
            </w:tcBorders>
            <w:shd w:val="clear" w:color="auto" w:fill="CBECD5"/>
          </w:tcPr>
          <w:p>
            <w:pPr>
              <w:ind w:left="140"/>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141.02%</w:t>
            </w:r>
            <w:r>
              <w:rPr>
                <w:rFonts w:ascii="Arial" w:cs="Arial" w:eastAsia="Arial" w:hAnsi="Arial"/>
                <w:sz w:val="32"/>
                <w:szCs w:val="32"/>
                <w:color w:val="auto"/>
                <w:vertAlign w:val="subscript"/>
              </w:rPr>
              <w:t>​</w:t>
            </w:r>
          </w:p>
        </w:tc>
        <w:tc>
          <w:tcPr>
            <w:tcW w:w="240" w:type="dxa"/>
            <w:vAlign w:val="bottom"/>
            <w:tcBorders>
              <w:bottom w:val="single" w:sz="8" w:color="53C072"/>
            </w:tcBorders>
            <w:shd w:val="clear" w:color="auto" w:fill="CBECD5"/>
          </w:tcPr>
          <w:p>
            <w:pPr>
              <w:jc w:val="center"/>
              <w:spacing w:after="0" w:line="29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60" w:type="dxa"/>
            <w:vAlign w:val="bottom"/>
            <w:tcBorders>
              <w:bottom w:val="single" w:sz="8" w:color="53C072"/>
            </w:tcBorders>
            <w:gridSpan w:val="2"/>
            <w:shd w:val="clear" w:color="auto" w:fill="CBECD5"/>
          </w:tcPr>
          <w:p>
            <w:pPr>
              <w:jc w:val="right"/>
              <w:ind w:right="100"/>
              <w:spacing w:after="0"/>
              <w:rPr>
                <w:sz w:val="20"/>
                <w:szCs w:val="20"/>
                <w:color w:val="auto"/>
              </w:rPr>
            </w:pPr>
            <w:r>
              <w:rPr>
                <w:rFonts w:ascii="Arial" w:cs="Arial" w:eastAsia="Arial" w:hAnsi="Arial"/>
                <w:sz w:val="16"/>
                <w:szCs w:val="16"/>
                <w:color w:val="auto"/>
              </w:rPr>
              <w:t>618,708</w:t>
            </w:r>
          </w:p>
        </w:tc>
      </w:tr>
    </w:tbl>
    <w:p>
      <w:pPr>
        <w:spacing w:after="0" w:line="82" w:lineRule="exact"/>
        <w:rPr>
          <w:sz w:val="20"/>
          <w:szCs w:val="20"/>
          <w:color w:val="auto"/>
        </w:rPr>
      </w:pPr>
    </w:p>
    <w:p>
      <w:pPr>
        <w:ind w:left="1820" w:right="239" w:hanging="722"/>
        <w:spacing w:after="0" w:line="256" w:lineRule="auto"/>
        <w:tabs>
          <w:tab w:leader="none" w:pos="1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Jacobson, the amounts reflect (1) the annual target of $179,166 prorated for the period in fiscal 2023 during which he served as Controller, which was achieved based solely on the financial performance metrics; and (2) the annual target of $500,000 prorated for the period in fiscal 2023 during which he served as CFO, which was achieved based on both financial and non-financial performance metrics.</w:t>
      </w:r>
    </w:p>
    <w:p>
      <w:pPr>
        <w:spacing w:after="0" w:line="138" w:lineRule="exact"/>
        <w:rPr>
          <w:rFonts w:ascii="Arial" w:cs="Arial" w:eastAsia="Arial" w:hAnsi="Arial"/>
          <w:sz w:val="18"/>
          <w:szCs w:val="18"/>
          <w:color w:val="auto"/>
        </w:rPr>
      </w:pPr>
    </w:p>
    <w:p>
      <w:pPr>
        <w:ind w:left="1820" w:right="319" w:hanging="722"/>
        <w:spacing w:after="0" w:line="275" w:lineRule="auto"/>
        <w:tabs>
          <w:tab w:leader="none" w:pos="1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Obregon-Jimenez, the target for fiscal 2023 reflects the annual target of $390,000 prorated for the period in fiscal 2023 during which she was employed by the Company.</w:t>
      </w:r>
    </w:p>
    <w:p>
      <w:pPr>
        <w:spacing w:after="0" w:line="119" w:lineRule="exact"/>
        <w:rPr>
          <w:rFonts w:ascii="Arial" w:cs="Arial" w:eastAsia="Arial" w:hAnsi="Arial"/>
          <w:sz w:val="18"/>
          <w:szCs w:val="18"/>
          <w:color w:val="auto"/>
        </w:rPr>
      </w:pPr>
    </w:p>
    <w:p>
      <w:pPr>
        <w:ind w:left="1820" w:right="159" w:hanging="722"/>
        <w:spacing w:after="0" w:line="263" w:lineRule="auto"/>
        <w:tabs>
          <w:tab w:leader="none" w:pos="1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Liguori, the target for fiscal 2023 reflects the annual target of $585,000 prorated for the period in fiscal 2023 during which he was employed by the Company, prior to his departure on March 31, 2023.</w:t>
      </w:r>
    </w:p>
    <w:p>
      <w:pPr>
        <w:spacing w:after="0" w:line="169"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Long-Term Incentives</w:t>
      </w:r>
    </w:p>
    <w:p>
      <w:pPr>
        <w:spacing w:after="0" w:line="163" w:lineRule="exact"/>
        <w:rPr>
          <w:sz w:val="20"/>
          <w:szCs w:val="20"/>
          <w:color w:val="auto"/>
        </w:rPr>
      </w:pPr>
    </w:p>
    <w:p>
      <w:pPr>
        <w:ind w:left="1000" w:right="339"/>
        <w:spacing w:after="0" w:line="268" w:lineRule="auto"/>
        <w:rPr>
          <w:sz w:val="20"/>
          <w:szCs w:val="20"/>
          <w:color w:val="auto"/>
        </w:rPr>
      </w:pPr>
      <w:r>
        <w:rPr>
          <w:rFonts w:ascii="Arial" w:cs="Arial" w:eastAsia="Arial" w:hAnsi="Arial"/>
          <w:sz w:val="18"/>
          <w:szCs w:val="18"/>
          <w:color w:val="auto"/>
        </w:rPr>
        <w:t>For fiscal 2023, the Committee approved the NEOs’ participation in the Company’s long-term incentive plan, making them eligible to receive a mix of equity incentive compensation, to provide a strong incentive to increase shareholder value over time, align the NEOs’ interests with shareholders, and encourage retention. The fiscal 2023 equity incentive compensation consisted of restricted stock units (“RSUs”) and performance share units (“PSUs”) as set forth in the following table.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tbl>
      <w:tblPr>
        <w:tblLayout w:type="fixed"/>
        <w:tblInd w:w="990" w:type="dxa"/>
        <w:tblCellMar>
          <w:top w:w="0" w:type="dxa"/>
          <w:left w:w="0" w:type="dxa"/>
          <w:bottom w:w="0" w:type="dxa"/>
          <w:right w:w="0" w:type="dxa"/>
        </w:tblCellMar>
      </w:tblPr>
      <w:tr>
        <w:trPr>
          <w:trHeight w:val="200"/>
        </w:trPr>
        <w:tc>
          <w:tcPr>
            <w:tcW w:w="2620" w:type="dxa"/>
            <w:vAlign w:val="bottom"/>
          </w:tcPr>
          <w:p>
            <w:pPr>
              <w:ind w:left="2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vMerge w:val="restart"/>
          </w:tcPr>
          <w:p>
            <w:pPr>
              <w:ind w:left="52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2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53C072"/>
            </w:tcBorders>
            <w:shd w:val="clear" w:color="auto" w:fill="53C072"/>
          </w:tcPr>
          <w:p>
            <w:pPr>
              <w:spacing w:after="0"/>
              <w:rPr>
                <w:sz w:val="19"/>
                <w:szCs w:val="19"/>
                <w:color w:val="auto"/>
              </w:rPr>
            </w:pPr>
          </w:p>
        </w:tc>
        <w:tc>
          <w:tcPr>
            <w:tcW w:w="1280" w:type="dxa"/>
            <w:vAlign w:val="bottom"/>
            <w:tcBorders>
              <w:right w:val="single" w:sz="8" w:color="53C072"/>
            </w:tcBorders>
            <w:shd w:val="clear" w:color="auto" w:fill="53C072"/>
          </w:tcPr>
          <w:p>
            <w:pPr>
              <w:spacing w:after="0"/>
              <w:rPr>
                <w:sz w:val="19"/>
                <w:szCs w:val="19"/>
                <w:color w:val="auto"/>
              </w:rPr>
            </w:pPr>
          </w:p>
        </w:tc>
        <w:tc>
          <w:tcPr>
            <w:tcW w:w="100" w:type="dxa"/>
            <w:vAlign w:val="bottom"/>
            <w:shd w:val="clear" w:color="auto" w:fill="53C072"/>
          </w:tcPr>
          <w:p>
            <w:pPr>
              <w:spacing w:after="0"/>
              <w:rPr>
                <w:sz w:val="19"/>
                <w:szCs w:val="19"/>
                <w:color w:val="auto"/>
              </w:rPr>
            </w:pP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 of Target Value of</w:t>
            </w:r>
          </w:p>
        </w:tc>
        <w:tc>
          <w:tcPr>
            <w:tcW w:w="140" w:type="dxa"/>
            <w:vAlign w:val="bottom"/>
            <w:tcBorders>
              <w:right w:val="single" w:sz="8" w:color="53C072"/>
            </w:tcBorders>
            <w:shd w:val="clear" w:color="auto" w:fill="53C072"/>
          </w:tcPr>
          <w:p>
            <w:pPr>
              <w:spacing w:after="0"/>
              <w:rPr>
                <w:sz w:val="19"/>
                <w:szCs w:val="19"/>
                <w:color w:val="auto"/>
              </w:rPr>
            </w:pPr>
          </w:p>
        </w:tc>
        <w:tc>
          <w:tcPr>
            <w:tcW w:w="220" w:type="dxa"/>
            <w:vAlign w:val="bottom"/>
            <w:shd w:val="clear" w:color="auto" w:fill="53C072"/>
          </w:tcPr>
          <w:p>
            <w:pPr>
              <w:spacing w:after="0"/>
              <w:rPr>
                <w:sz w:val="19"/>
                <w:szCs w:val="19"/>
                <w:color w:val="auto"/>
              </w:rPr>
            </w:pPr>
          </w:p>
        </w:tc>
        <w:tc>
          <w:tcPr>
            <w:tcW w:w="1580" w:type="dxa"/>
            <w:vAlign w:val="bottom"/>
            <w:shd w:val="clear" w:color="auto" w:fill="53C072"/>
          </w:tcPr>
          <w:p>
            <w:pPr>
              <w:spacing w:after="0"/>
              <w:rPr>
                <w:sz w:val="19"/>
                <w:szCs w:val="19"/>
                <w:color w:val="auto"/>
              </w:rPr>
            </w:pPr>
          </w:p>
        </w:tc>
        <w:tc>
          <w:tcPr>
            <w:tcW w:w="140" w:type="dxa"/>
            <w:vAlign w:val="bottom"/>
            <w:tcBorders>
              <w:right w:val="single" w:sz="8" w:color="53C072"/>
            </w:tcBorders>
            <w:shd w:val="clear" w:color="auto" w:fill="53C072"/>
          </w:tcPr>
          <w:p>
            <w:pPr>
              <w:spacing w:after="0"/>
              <w:rPr>
                <w:sz w:val="19"/>
                <w:szCs w:val="19"/>
                <w:color w:val="auto"/>
              </w:rPr>
            </w:pPr>
          </w:p>
        </w:tc>
        <w:tc>
          <w:tcPr>
            <w:tcW w:w="260" w:type="dxa"/>
            <w:vAlign w:val="bottom"/>
            <w:shd w:val="clear" w:color="auto" w:fill="53C072"/>
          </w:tcPr>
          <w:p>
            <w:pPr>
              <w:spacing w:after="0"/>
              <w:rPr>
                <w:sz w:val="19"/>
                <w:szCs w:val="19"/>
                <w:color w:val="auto"/>
              </w:rPr>
            </w:pPr>
          </w:p>
        </w:tc>
        <w:tc>
          <w:tcPr>
            <w:tcW w:w="960" w:type="dxa"/>
            <w:vAlign w:val="bottom"/>
            <w:shd w:val="clear" w:color="auto" w:fill="53C072"/>
          </w:tcPr>
          <w:p>
            <w:pPr>
              <w:spacing w:after="0"/>
              <w:rPr>
                <w:sz w:val="19"/>
                <w:szCs w:val="19"/>
                <w:color w:val="auto"/>
              </w:rPr>
            </w:pPr>
          </w:p>
        </w:tc>
        <w:tc>
          <w:tcPr>
            <w:tcW w:w="80" w:type="dxa"/>
            <w:vAlign w:val="bottom"/>
            <w:tcBorders>
              <w:right w:val="single" w:sz="8" w:color="53C072"/>
            </w:tcBorders>
            <w:shd w:val="clear" w:color="auto" w:fill="53C07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tcBorders>
              <w:left w:val="single" w:sz="8" w:color="53C072"/>
            </w:tcBorders>
            <w:shd w:val="clear" w:color="auto" w:fill="53C072"/>
          </w:tcPr>
          <w:p>
            <w:pPr>
              <w:ind w:left="12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3"/>
                <w:szCs w:val="13"/>
                <w:b w:val="1"/>
                <w:bCs w:val="1"/>
                <w:color w:val="FEFEFE"/>
              </w:rPr>
              <w:t xml:space="preserve"> Equity Vehicles</w:t>
            </w:r>
          </w:p>
        </w:tc>
        <w:tc>
          <w:tcPr>
            <w:tcW w:w="1380" w:type="dxa"/>
            <w:vAlign w:val="bottom"/>
            <w:gridSpan w:val="2"/>
            <w:shd w:val="clear" w:color="auto" w:fill="53C072"/>
          </w:tcPr>
          <w:p>
            <w:pPr>
              <w:ind w:left="1220"/>
              <w:spacing w:after="0"/>
              <w:rPr>
                <w:sz w:val="20"/>
                <w:szCs w:val="20"/>
                <w:color w:val="auto"/>
              </w:rPr>
            </w:pPr>
            <w:r>
              <w:rPr>
                <w:rFonts w:ascii="Arial" w:cs="Arial" w:eastAsia="Arial" w:hAnsi="Arial"/>
                <w:sz w:val="14"/>
                <w:szCs w:val="14"/>
                <w:b w:val="1"/>
                <w:bCs w:val="1"/>
                <w:color w:val="FEFEFE"/>
              </w:rPr>
              <w:t>​ ​</w:t>
            </w: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LTIP Award</w:t>
            </w:r>
          </w:p>
        </w:tc>
        <w:tc>
          <w:tcPr>
            <w:tcW w:w="36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580" w:type="dxa"/>
            <w:vAlign w:val="bottom"/>
            <w:shd w:val="clear" w:color="auto" w:fill="53C072"/>
          </w:tcPr>
          <w:p>
            <w:pPr>
              <w:jc w:val="center"/>
              <w:ind w:right="42"/>
              <w:spacing w:after="0"/>
              <w:rPr>
                <w:sz w:val="20"/>
                <w:szCs w:val="20"/>
                <w:color w:val="auto"/>
              </w:rPr>
            </w:pPr>
            <w:r>
              <w:rPr>
                <w:rFonts w:ascii="Arial" w:cs="Arial" w:eastAsia="Arial" w:hAnsi="Arial"/>
                <w:sz w:val="14"/>
                <w:szCs w:val="14"/>
                <w:b w:val="1"/>
                <w:bCs w:val="1"/>
                <w:color w:val="FEFEFE"/>
              </w:rPr>
              <w:t>Metrics</w:t>
            </w:r>
          </w:p>
        </w:tc>
        <w:tc>
          <w:tcPr>
            <w:tcW w:w="40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960" w:type="dxa"/>
            <w:vAlign w:val="bottom"/>
            <w:shd w:val="clear" w:color="auto" w:fill="53C072"/>
          </w:tcPr>
          <w:p>
            <w:pPr>
              <w:ind w:left="160"/>
              <w:spacing w:after="0"/>
              <w:rPr>
                <w:sz w:val="20"/>
                <w:szCs w:val="20"/>
                <w:color w:val="auto"/>
              </w:rPr>
            </w:pPr>
            <w:r>
              <w:rPr>
                <w:rFonts w:ascii="Arial" w:cs="Arial" w:eastAsia="Arial" w:hAnsi="Arial"/>
                <w:sz w:val="14"/>
                <w:szCs w:val="14"/>
                <w:b w:val="1"/>
                <w:bCs w:val="1"/>
                <w:color w:val="FEFEFE"/>
              </w:rPr>
              <w:t>Weight</w:t>
            </w:r>
          </w:p>
        </w:tc>
        <w:tc>
          <w:tcPr>
            <w:tcW w:w="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620" w:type="dxa"/>
            <w:vAlign w:val="bottom"/>
            <w:tcBorders>
              <w:left w:val="single" w:sz="8" w:color="53C072"/>
              <w:bottom w:val="single" w:sz="8" w:color="53C072"/>
            </w:tcBorders>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RSUs</w:t>
            </w:r>
          </w:p>
        </w:tc>
        <w:tc>
          <w:tcPr>
            <w:tcW w:w="1280" w:type="dxa"/>
            <w:vAlign w:val="bottom"/>
            <w:tcBorders>
              <w:bottom w:val="single" w:sz="8" w:color="53C072"/>
              <w:right w:val="single" w:sz="8" w:color="53C072"/>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tcPr>
          <w:p>
            <w:pPr>
              <w:ind w:left="5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50%</w:t>
            </w:r>
          </w:p>
        </w:tc>
        <w:tc>
          <w:tcPr>
            <w:tcW w:w="14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53C072"/>
            </w:tcBorders>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Time-based Vesting</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620" w:type="dxa"/>
            <w:vAlign w:val="bottom"/>
            <w:tcBorders>
              <w:left w:val="single" w:sz="8" w:color="53C072"/>
            </w:tcBorders>
          </w:tcPr>
          <w:p>
            <w:pPr>
              <w:spacing w:after="0"/>
              <w:rPr>
                <w:sz w:val="22"/>
                <w:szCs w:val="22"/>
                <w:color w:val="auto"/>
              </w:rPr>
            </w:pPr>
          </w:p>
        </w:tc>
        <w:tc>
          <w:tcPr>
            <w:tcW w:w="1280" w:type="dxa"/>
            <w:vAlign w:val="bottom"/>
            <w:tcBorders>
              <w:right w:val="single" w:sz="8" w:color="53C072"/>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Borders>
              <w:right w:val="single" w:sz="8" w:color="53C072"/>
            </w:tcBorders>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right="42"/>
              <w:spacing w:after="0"/>
              <w:rPr>
                <w:sz w:val="20"/>
                <w:szCs w:val="20"/>
                <w:color w:val="auto"/>
              </w:rPr>
            </w:pPr>
            <w:r>
              <w:rPr>
                <w:rFonts w:ascii="Arial" w:cs="Arial" w:eastAsia="Arial" w:hAnsi="Arial"/>
                <w:sz w:val="18"/>
                <w:szCs w:val="18"/>
                <w:color w:val="auto"/>
                <w:w w:val="97"/>
              </w:rPr>
              <w:t>ROIC &gt; WACC</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 50%</w:t>
            </w:r>
          </w:p>
        </w:tc>
        <w:tc>
          <w:tcPr>
            <w:tcW w:w="8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620" w:type="dxa"/>
            <w:vAlign w:val="bottom"/>
            <w:tcBorders>
              <w:left w:val="single" w:sz="8" w:color="53C072"/>
            </w:tcBorders>
            <w:vMerge w:val="restart"/>
          </w:tcPr>
          <w:p>
            <w:pPr>
              <w:ind w:left="120"/>
              <w:spacing w:after="0"/>
              <w:rPr>
                <w:sz w:val="20"/>
                <w:szCs w:val="20"/>
                <w:color w:val="auto"/>
              </w:rPr>
            </w:pPr>
            <w:r>
              <w:rPr>
                <w:rFonts w:ascii="Arial" w:cs="Arial" w:eastAsia="Arial" w:hAnsi="Arial"/>
                <w:sz w:val="18"/>
                <w:szCs w:val="18"/>
                <w:color w:val="auto"/>
              </w:rPr>
              <w:t>​ PSUs</w:t>
            </w:r>
          </w:p>
        </w:tc>
        <w:tc>
          <w:tcPr>
            <w:tcW w:w="1280" w:type="dxa"/>
            <w:vAlign w:val="bottom"/>
            <w:tcBorders>
              <w:right w:val="single" w:sz="8" w:color="53C072"/>
            </w:tcBorders>
            <w:vMerge w:val="restart"/>
          </w:tcPr>
          <w:p>
            <w:pPr>
              <w:ind w:left="1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ind w:left="580"/>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53C072"/>
            </w:tcBorders>
            <w:vMerge w:val="restart"/>
          </w:tcPr>
          <w:p>
            <w:pP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53C072"/>
              <w:right w:val="single" w:sz="8" w:color="53C072"/>
            </w:tcBorders>
            <w:gridSpan w:val="3"/>
          </w:tcPr>
          <w:p>
            <w:pPr>
              <w:spacing w:after="0"/>
              <w:rPr>
                <w:sz w:val="3"/>
                <w:szCs w:val="3"/>
                <w:color w:val="auto"/>
              </w:rPr>
            </w:pPr>
          </w:p>
        </w:tc>
        <w:tc>
          <w:tcPr>
            <w:tcW w:w="260" w:type="dxa"/>
            <w:vAlign w:val="bottom"/>
            <w:tcBorders>
              <w:bottom w:val="single" w:sz="8" w:color="53C072"/>
            </w:tcBorders>
          </w:tcPr>
          <w:p>
            <w:pPr>
              <w:spacing w:after="0"/>
              <w:rPr>
                <w:sz w:val="3"/>
                <w:szCs w:val="3"/>
                <w:color w:val="auto"/>
              </w:rPr>
            </w:pPr>
          </w:p>
        </w:tc>
        <w:tc>
          <w:tcPr>
            <w:tcW w:w="960" w:type="dxa"/>
            <w:vAlign w:val="bottom"/>
            <w:tcBorders>
              <w:bottom w:val="single" w:sz="8" w:color="53C072"/>
            </w:tcBorders>
          </w:tcPr>
          <w:p>
            <w:pPr>
              <w:spacing w:after="0"/>
              <w:rPr>
                <w:sz w:val="3"/>
                <w:szCs w:val="3"/>
                <w:color w:val="auto"/>
              </w:rPr>
            </w:pPr>
          </w:p>
        </w:tc>
        <w:tc>
          <w:tcPr>
            <w:tcW w:w="8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20" w:type="dxa"/>
            <w:vAlign w:val="bottom"/>
            <w:tcBorders>
              <w:left w:val="single" w:sz="8" w:color="53C072"/>
            </w:tcBorders>
            <w:vMerge w:val="continue"/>
          </w:tcPr>
          <w:p>
            <w:pPr>
              <w:spacing w:after="0"/>
              <w:rPr>
                <w:sz w:val="22"/>
                <w:szCs w:val="22"/>
                <w:color w:val="auto"/>
              </w:rPr>
            </w:pPr>
          </w:p>
        </w:tc>
        <w:tc>
          <w:tcPr>
            <w:tcW w:w="1280" w:type="dxa"/>
            <w:vAlign w:val="bottom"/>
            <w:tcBorders>
              <w:right w:val="single" w:sz="8" w:color="53C072"/>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0" w:type="dxa"/>
            <w:vAlign w:val="bottom"/>
            <w:tcBorders>
              <w:right w:val="single" w:sz="8" w:color="53C072"/>
            </w:tcBorders>
            <w:vMerge w:val="continue"/>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Relative EPS Growth </w:t>
            </w:r>
            <w:r>
              <w:rPr>
                <w:rFonts w:ascii="Arial" w:cs="Arial" w:eastAsia="Arial" w:hAnsi="Arial"/>
                <w:sz w:val="30"/>
                <w:szCs w:val="30"/>
                <w:color w:val="auto"/>
                <w:vertAlign w:val="subscript"/>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50%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620" w:type="dxa"/>
            <w:vAlign w:val="bottom"/>
            <w:tcBorders>
              <w:left w:val="single" w:sz="8" w:color="53C072"/>
              <w:bottom w:val="single" w:sz="8" w:color="53C072"/>
            </w:tcBorders>
          </w:tcPr>
          <w:p>
            <w:pPr>
              <w:spacing w:after="0"/>
              <w:rPr>
                <w:sz w:val="22"/>
                <w:szCs w:val="22"/>
                <w:color w:val="auto"/>
              </w:rPr>
            </w:pPr>
          </w:p>
        </w:tc>
        <w:tc>
          <w:tcPr>
            <w:tcW w:w="1280" w:type="dxa"/>
            <w:vAlign w:val="bottom"/>
            <w:tcBorders>
              <w:bottom w:val="single" w:sz="8" w:color="53C072"/>
              <w:right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1380" w:type="dxa"/>
            <w:vAlign w:val="bottom"/>
            <w:tcBorders>
              <w:bottom w:val="single" w:sz="8" w:color="53C072"/>
            </w:tcBorders>
          </w:tcPr>
          <w:p>
            <w:pPr>
              <w:spacing w:after="0"/>
              <w:rPr>
                <w:sz w:val="22"/>
                <w:szCs w:val="22"/>
                <w:color w:val="auto"/>
              </w:rPr>
            </w:pPr>
          </w:p>
        </w:tc>
        <w:tc>
          <w:tcPr>
            <w:tcW w:w="140" w:type="dxa"/>
            <w:vAlign w:val="bottom"/>
            <w:tcBorders>
              <w:bottom w:val="single" w:sz="8" w:color="53C072"/>
              <w:right w:val="single" w:sz="8" w:color="53C072"/>
            </w:tcBorders>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Relative TSR Modifier </w:t>
            </w:r>
            <w:r>
              <w:rPr>
                <w:rFonts w:ascii="Arial" w:cs="Arial" w:eastAsia="Arial" w:hAnsi="Arial"/>
                <w:sz w:val="30"/>
                <w:szCs w:val="30"/>
                <w:color w:val="auto"/>
                <w:vertAlign w:val="subscript"/>
              </w:rPr>
              <w:t>​</w:t>
            </w:r>
          </w:p>
        </w:tc>
        <w:tc>
          <w:tcPr>
            <w:tcW w:w="122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 to +10%</w:t>
            </w:r>
          </w:p>
        </w:tc>
        <w:tc>
          <w:tcPr>
            <w:tcW w:w="80" w:type="dxa"/>
            <w:vAlign w:val="bottom"/>
            <w:tcBorders>
              <w:bottom w:val="single" w:sz="8" w:color="53C072"/>
              <w:right w:val="single" w:sz="8" w:color="53C072"/>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-753745</wp:posOffset>
            </wp:positionV>
            <wp:extent cx="5537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92" w:lineRule="exact"/>
        <w:rPr>
          <w:sz w:val="20"/>
          <w:szCs w:val="20"/>
          <w:color w:val="auto"/>
        </w:rPr>
      </w:pPr>
    </w:p>
    <w:p>
      <w:pPr>
        <w:jc w:val="both"/>
        <w:ind w:left="1000" w:right="559"/>
        <w:spacing w:after="0" w:line="252" w:lineRule="auto"/>
        <w:rPr>
          <w:sz w:val="20"/>
          <w:szCs w:val="20"/>
          <w:color w:val="auto"/>
        </w:rPr>
      </w:pPr>
      <w:r>
        <w:rPr>
          <w:rFonts w:ascii="Arial" w:cs="Arial" w:eastAsia="Arial" w:hAnsi="Arial"/>
          <w:sz w:val="18"/>
          <w:szCs w:val="18"/>
          <w:b w:val="1"/>
          <w:bCs w:val="1"/>
          <w:color w:val="53C072"/>
        </w:rPr>
        <w:t xml:space="preserve">Target Long-Term Incentives. </w:t>
      </w:r>
      <w:r>
        <w:rPr>
          <w:rFonts w:ascii="Arial" w:cs="Arial" w:eastAsia="Arial" w:hAnsi="Arial"/>
          <w:sz w:val="18"/>
          <w:szCs w:val="18"/>
          <w:color w:val="000000"/>
        </w:rPr>
        <w:t>The Committee sets each NEO’s target LTIP incentive value based on a</w:t>
      </w:r>
      <w:r>
        <w:rPr>
          <w:rFonts w:ascii="Arial" w:cs="Arial" w:eastAsia="Arial" w:hAnsi="Arial"/>
          <w:sz w:val="18"/>
          <w:szCs w:val="18"/>
          <w:b w:val="1"/>
          <w:bCs w:val="1"/>
          <w:color w:val="53C072"/>
        </w:rPr>
        <w:t xml:space="preserve"> </w:t>
      </w:r>
      <w:r>
        <w:rPr>
          <w:rFonts w:ascii="Arial" w:cs="Arial" w:eastAsia="Arial" w:hAnsi="Arial"/>
          <w:sz w:val="18"/>
          <w:szCs w:val="18"/>
          <w:color w:val="000000"/>
        </w:rPr>
        <w:t>number of factors, including benchmark data, the NEO’s responsibilities and duties, the NEO’s prior-year performance, and the Company’s performance. As a result, fiscal 2023 target LTIP incentive values vary among the NEOs and can vary from year to year.</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fiscal 2023 LTIP equity incentive compensation is listed in the following table.</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2720" w:type="dxa"/>
            <w:vAlign w:val="bottom"/>
            <w:shd w:val="clear" w:color="auto" w:fill="53C072"/>
          </w:tcPr>
          <w:p>
            <w:pPr>
              <w:spacing w:after="0"/>
              <w:rPr>
                <w:sz w:val="16"/>
                <w:szCs w:val="16"/>
                <w:color w:val="auto"/>
              </w:rPr>
            </w:pPr>
          </w:p>
        </w:tc>
        <w:tc>
          <w:tcPr>
            <w:tcW w:w="3900" w:type="dxa"/>
            <w:vAlign w:val="bottom"/>
            <w:shd w:val="clear" w:color="auto" w:fill="53C072"/>
          </w:tcPr>
          <w:p>
            <w:pPr>
              <w:spacing w:after="0"/>
              <w:rPr>
                <w:sz w:val="16"/>
                <w:szCs w:val="16"/>
                <w:color w:val="auto"/>
              </w:rPr>
            </w:pPr>
          </w:p>
        </w:tc>
        <w:tc>
          <w:tcPr>
            <w:tcW w:w="1120" w:type="dxa"/>
            <w:vAlign w:val="bottom"/>
            <w:shd w:val="clear" w:color="auto" w:fill="53C072"/>
          </w:tcPr>
          <w:p>
            <w:pPr>
              <w:jc w:val="right"/>
              <w:ind w:right="88"/>
              <w:spacing w:after="0"/>
              <w:rPr>
                <w:sz w:val="20"/>
                <w:szCs w:val="20"/>
                <w:color w:val="auto"/>
              </w:rPr>
            </w:pPr>
            <w:r>
              <w:rPr>
                <w:rFonts w:ascii="Arial" w:cs="Arial" w:eastAsia="Arial" w:hAnsi="Arial"/>
                <w:sz w:val="14"/>
                <w:szCs w:val="14"/>
                <w:b w:val="1"/>
                <w:bCs w:val="1"/>
                <w:color w:val="FEFEFE"/>
              </w:rPr>
              <w:t>Target Value</w:t>
            </w:r>
          </w:p>
        </w:tc>
        <w:tc>
          <w:tcPr>
            <w:tcW w:w="10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Total Value</w:t>
            </w:r>
          </w:p>
        </w:tc>
      </w:tr>
      <w:tr>
        <w:trPr>
          <w:trHeight w:val="189"/>
        </w:trPr>
        <w:tc>
          <w:tcPr>
            <w:tcW w:w="2720" w:type="dxa"/>
            <w:vAlign w:val="bottom"/>
            <w:shd w:val="clear" w:color="auto" w:fill="53C072"/>
          </w:tcPr>
          <w:p>
            <w:pPr>
              <w:spacing w:after="0"/>
              <w:rPr>
                <w:sz w:val="16"/>
                <w:szCs w:val="16"/>
                <w:color w:val="auto"/>
              </w:rPr>
            </w:pPr>
          </w:p>
        </w:tc>
        <w:tc>
          <w:tcPr>
            <w:tcW w:w="3900" w:type="dxa"/>
            <w:vAlign w:val="bottom"/>
            <w:shd w:val="clear" w:color="auto" w:fill="53C072"/>
          </w:tcPr>
          <w:p>
            <w:pPr>
              <w:spacing w:after="0"/>
              <w:rPr>
                <w:sz w:val="16"/>
                <w:szCs w:val="16"/>
                <w:color w:val="auto"/>
              </w:rPr>
            </w:pPr>
          </w:p>
        </w:tc>
        <w:tc>
          <w:tcPr>
            <w:tcW w:w="1120" w:type="dxa"/>
            <w:vAlign w:val="bottom"/>
            <w:shd w:val="clear" w:color="auto" w:fill="53C072"/>
          </w:tcPr>
          <w:p>
            <w:pPr>
              <w:jc w:val="right"/>
              <w:ind w:right="48"/>
              <w:spacing w:after="0"/>
              <w:rPr>
                <w:sz w:val="20"/>
                <w:szCs w:val="20"/>
                <w:color w:val="auto"/>
              </w:rPr>
            </w:pPr>
            <w:r>
              <w:rPr>
                <w:rFonts w:ascii="Arial" w:cs="Arial" w:eastAsia="Arial" w:hAnsi="Arial"/>
                <w:sz w:val="14"/>
                <w:szCs w:val="14"/>
                <w:b w:val="1"/>
                <w:bCs w:val="1"/>
                <w:color w:val="FEFEFE"/>
              </w:rPr>
              <w:t>of LTIP</w:t>
            </w:r>
          </w:p>
        </w:tc>
        <w:tc>
          <w:tcPr>
            <w:tcW w:w="102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 Change</w:t>
            </w:r>
          </w:p>
        </w:tc>
      </w:tr>
      <w:tr>
        <w:trPr>
          <w:trHeight w:val="230"/>
        </w:trPr>
        <w:tc>
          <w:tcPr>
            <w:tcW w:w="27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3900" w:type="dxa"/>
            <w:vAlign w:val="bottom"/>
            <w:shd w:val="clear" w:color="auto" w:fill="53C072"/>
          </w:tcPr>
          <w:p>
            <w:pPr>
              <w:ind w:left="2320"/>
              <w:spacing w:after="0"/>
              <w:rPr>
                <w:sz w:val="20"/>
                <w:szCs w:val="20"/>
                <w:color w:val="auto"/>
              </w:rPr>
            </w:pPr>
            <w:r>
              <w:rPr>
                <w:rFonts w:ascii="Arial" w:cs="Arial" w:eastAsia="Arial" w:hAnsi="Arial"/>
                <w:sz w:val="14"/>
                <w:szCs w:val="14"/>
                <w:b w:val="1"/>
                <w:bCs w:val="1"/>
                <w:color w:val="FEFEFE"/>
              </w:rPr>
              <w:t>RSUs (#)    PSUs (#)</w:t>
            </w:r>
          </w:p>
        </w:tc>
        <w:tc>
          <w:tcPr>
            <w:tcW w:w="1120" w:type="dxa"/>
            <w:vAlign w:val="bottom"/>
            <w:shd w:val="clear" w:color="auto" w:fill="53C072"/>
          </w:tcPr>
          <w:p>
            <w:pPr>
              <w:jc w:val="right"/>
              <w:ind w:right="48"/>
              <w:spacing w:after="0"/>
              <w:rPr>
                <w:sz w:val="20"/>
                <w:szCs w:val="20"/>
                <w:color w:val="auto"/>
              </w:rPr>
            </w:pPr>
            <w:r>
              <w:rPr>
                <w:rFonts w:ascii="Arial" w:cs="Arial" w:eastAsia="Arial" w:hAnsi="Arial"/>
                <w:sz w:val="14"/>
                <w:szCs w:val="14"/>
                <w:b w:val="1"/>
                <w:bCs w:val="1"/>
                <w:color w:val="FEFEFE"/>
              </w:rPr>
              <w:t>Incentive ($)</w:t>
            </w:r>
          </w:p>
        </w:tc>
        <w:tc>
          <w:tcPr>
            <w:tcW w:w="102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from FY22</w:t>
            </w:r>
          </w:p>
        </w:tc>
      </w:tr>
    </w:tbl>
    <w:p>
      <w:pPr>
        <w:spacing w:after="0" w:line="28" w:lineRule="exact"/>
        <w:rPr>
          <w:sz w:val="20"/>
          <w:szCs w:val="20"/>
          <w:color w:val="auto"/>
        </w:rPr>
      </w:pPr>
    </w:p>
    <w:p>
      <w:pPr>
        <w:sectPr>
          <w:pgSz w:w="11900" w:h="16838" w:orient="portrait"/>
          <w:cols w:equalWidth="0" w:num="1">
            <w:col w:w="9879"/>
          </w:cols>
          <w:pgMar w:left="580" w:top="90" w:right="1440" w:bottom="1440" w:gutter="0" w:footer="0" w:header="0"/>
        </w:sectPr>
      </w:pPr>
    </w:p>
    <w:p>
      <w:pPr>
        <w:ind w:left="1040"/>
        <w:spacing w:after="0"/>
        <w:rPr>
          <w:sz w:val="20"/>
          <w:szCs w:val="20"/>
          <w:color w:val="auto"/>
        </w:rPr>
      </w:pPr>
      <w:r>
        <w:rPr>
          <w:rFonts w:ascii="Arial" w:cs="Arial" w:eastAsia="Arial" w:hAnsi="Arial"/>
          <w:sz w:val="18"/>
          <w:szCs w:val="18"/>
          <w:color w:val="auto"/>
        </w:rPr>
        <w:t>​Gallagher</w:t>
      </w:r>
    </w:p>
    <w:p>
      <w:pPr>
        <w:ind w:left="1040"/>
        <w:spacing w:after="0" w:line="205"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Jacobson</w:t>
      </w:r>
      <w:r>
        <w:rPr>
          <w:rFonts w:ascii="Arial" w:cs="Arial" w:eastAsia="Arial" w:hAnsi="Arial"/>
          <w:sz w:val="23"/>
          <w:szCs w:val="23"/>
          <w:color w:val="auto"/>
          <w:vertAlign w:val="superscript"/>
        </w:rPr>
        <w:t>(1)</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​Arnold</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​McCoy</w:t>
      </w:r>
    </w:p>
    <w:p>
      <w:pPr>
        <w:ind w:left="1040"/>
        <w:spacing w:after="0" w:line="211" w:lineRule="auto"/>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Obregon-Jimenez</w:t>
      </w:r>
      <w:r>
        <w:rPr>
          <w:rFonts w:ascii="Arial" w:cs="Arial" w:eastAsia="Arial" w:hAnsi="Arial"/>
          <w:sz w:val="22"/>
          <w:szCs w:val="22"/>
          <w:color w:val="auto"/>
          <w:vertAlign w:val="superscript"/>
        </w:rPr>
        <w:t>(2)</w:t>
      </w:r>
    </w:p>
    <w:p>
      <w:pPr>
        <w:ind w:left="1040"/>
        <w:spacing w:after="0" w:line="184"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Liguori</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​73,864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​73,864 ​</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​$6,500,000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30.0%​</w:t>
            </w:r>
          </w:p>
        </w:tc>
      </w:tr>
      <w:tr>
        <w:trPr>
          <w:trHeight w:val="283"/>
        </w:trPr>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​14,204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​14,205 ​</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​$1,250,000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​160.4%​</w:t>
            </w:r>
          </w:p>
        </w:tc>
      </w:tr>
      <w:tr>
        <w:trPr>
          <w:trHeight w:val="257"/>
        </w:trPr>
        <w:tc>
          <w:tcPr>
            <w:tcW w:w="580" w:type="dxa"/>
            <w:vAlign w:val="bottom"/>
            <w:gridSpan w:val="2"/>
          </w:tcPr>
          <w:p>
            <w:pPr>
              <w:spacing w:after="0"/>
              <w:rPr>
                <w:sz w:val="20"/>
                <w:szCs w:val="20"/>
                <w:color w:val="auto"/>
              </w:rPr>
            </w:pPr>
            <w:r>
              <w:rPr>
                <w:rFonts w:ascii="Arial" w:cs="Arial" w:eastAsia="Arial" w:hAnsi="Arial"/>
                <w:sz w:val="18"/>
                <w:szCs w:val="18"/>
                <w:color w:val="auto"/>
              </w:rPr>
              <w:t>​10,796</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​10,795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950,000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18.8%​</w:t>
            </w:r>
          </w:p>
        </w:tc>
      </w:tr>
      <w:tr>
        <w:trPr>
          <w:trHeight w:val="257"/>
        </w:trPr>
        <w:tc>
          <w:tcPr>
            <w:tcW w:w="580" w:type="dxa"/>
            <w:vAlign w:val="bottom"/>
            <w:gridSpan w:val="2"/>
          </w:tcPr>
          <w:p>
            <w:pPr>
              <w:spacing w:after="0"/>
              <w:rPr>
                <w:sz w:val="20"/>
                <w:szCs w:val="20"/>
                <w:color w:val="auto"/>
              </w:rPr>
            </w:pPr>
            <w:r>
              <w:rPr>
                <w:rFonts w:ascii="Arial" w:cs="Arial" w:eastAsia="Arial" w:hAnsi="Arial"/>
                <w:sz w:val="18"/>
                <w:szCs w:val="18"/>
                <w:color w:val="auto"/>
              </w:rPr>
              <w:t>​11,932</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​11,932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​$1,050,000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27.3%​</w:t>
            </w:r>
          </w:p>
        </w:tc>
      </w:tr>
      <w:tr>
        <w:trPr>
          <w:trHeight w:val="28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391"/>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
              <w:spacing w:after="0" w:line="3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bscript"/>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3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bscript"/>
              </w:rPr>
              <w:t>​</w:t>
            </w:r>
          </w:p>
        </w:tc>
        <w:tc>
          <w:tcPr>
            <w:tcW w:w="280" w:type="dxa"/>
            <w:vAlign w:val="bottom"/>
          </w:tcPr>
          <w:p>
            <w:pPr>
              <w:ind w:left="100"/>
              <w:spacing w:after="0" w:line="390"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line="3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-950595</wp:posOffset>
            </wp:positionV>
            <wp:extent cx="55549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54980" cy="17970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-607695</wp:posOffset>
            </wp:positionV>
            <wp:extent cx="555498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54980" cy="16319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-264795</wp:posOffset>
            </wp:positionV>
            <wp:extent cx="555498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54980"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00" w:space="720"/>
            <w:col w:w="3859"/>
          </w:cols>
          <w:pgMar w:left="580" w:top="90" w:right="1440" w:bottom="1440" w:gutter="0" w:footer="0" w:header="0"/>
          <w:type w:val="continuous"/>
        </w:sectPr>
      </w:pPr>
    </w:p>
    <w:p>
      <w:pPr>
        <w:ind w:left="1820" w:right="579" w:hanging="722"/>
        <w:spacing w:after="0" w:line="291" w:lineRule="auto"/>
        <w:tabs>
          <w:tab w:leader="none" w:pos="18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Jacobson’s LTIP incentive awards increased for fiscal 2023 in connection with his promotion to CFO. His LTIP award for fiscal 2022 consisted solely of RSUs granted under a different plan.</w:t>
      </w:r>
    </w:p>
    <w:p>
      <w:pPr>
        <w:spacing w:after="0" w:line="80" w:lineRule="exact"/>
        <w:rPr>
          <w:rFonts w:ascii="Arial" w:cs="Arial" w:eastAsia="Arial" w:hAnsi="Arial"/>
          <w:sz w:val="17"/>
          <w:szCs w:val="17"/>
          <w:color w:val="auto"/>
        </w:rPr>
      </w:pPr>
    </w:p>
    <w:p>
      <w:pPr>
        <w:jc w:val="both"/>
        <w:ind w:left="1820" w:right="499" w:hanging="722"/>
        <w:spacing w:after="0" w:line="285" w:lineRule="auto"/>
        <w:tabs>
          <w:tab w:leader="none" w:pos="18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Obregon-Jimenez did not participate in the long-term incentive program for fiscal 2023. Instead, upon hire, she received a one-time equity award of $550,000 worth of RSUs ($400,000 to cover anticipated stock forfeiture from prior employer and $150,000 as a new hire grant).</w:t>
      </w:r>
    </w:p>
    <w:p>
      <w:pPr>
        <w:spacing w:after="0" w:line="100" w:lineRule="exact"/>
        <w:rPr>
          <w:rFonts w:ascii="Arial" w:cs="Arial" w:eastAsia="Arial" w:hAnsi="Arial"/>
          <w:sz w:val="17"/>
          <w:szCs w:val="17"/>
          <w:color w:val="auto"/>
        </w:rPr>
      </w:pPr>
    </w:p>
    <w:p>
      <w:pPr>
        <w:ind w:left="1820" w:hanging="722"/>
        <w:spacing w:after="0"/>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Liguori did not participate in the fiscal 2023 long-term incentive program.</w:t>
      </w:r>
    </w:p>
    <w:p>
      <w:pPr>
        <w:spacing w:after="0" w:line="134" w:lineRule="exact"/>
        <w:rPr>
          <w:sz w:val="20"/>
          <w:szCs w:val="20"/>
          <w:color w:val="auto"/>
        </w:rPr>
      </w:pPr>
    </w:p>
    <w:p>
      <w:pPr>
        <w:ind w:left="1000" w:right="199"/>
        <w:spacing w:after="0" w:line="252" w:lineRule="auto"/>
        <w:rPr>
          <w:sz w:val="20"/>
          <w:szCs w:val="20"/>
          <w:color w:val="auto"/>
        </w:rPr>
      </w:pPr>
      <w:r>
        <w:rPr>
          <w:rFonts w:ascii="Arial" w:cs="Arial" w:eastAsia="Arial" w:hAnsi="Arial"/>
          <w:sz w:val="18"/>
          <w:szCs w:val="18"/>
          <w:b w:val="1"/>
          <w:bCs w:val="1"/>
          <w:color w:val="53C072"/>
        </w:rPr>
        <w:t xml:space="preserve">Restricted Stock Units. </w:t>
      </w:r>
      <w:r>
        <w:rPr>
          <w:rFonts w:ascii="Arial" w:cs="Arial" w:eastAsia="Arial" w:hAnsi="Arial"/>
          <w:sz w:val="18"/>
          <w:szCs w:val="18"/>
          <w:color w:val="000000"/>
        </w:rPr>
        <w:t>RSUs allow the NEOs to earn shares of the Company’s common stock over a</w:t>
      </w:r>
      <w:r>
        <w:rPr>
          <w:rFonts w:ascii="Arial" w:cs="Arial" w:eastAsia="Arial" w:hAnsi="Arial"/>
          <w:sz w:val="18"/>
          <w:szCs w:val="18"/>
          <w:b w:val="1"/>
          <w:bCs w:val="1"/>
          <w:color w:val="53C072"/>
        </w:rPr>
        <w:t xml:space="preserve"> </w:t>
      </w:r>
      <w:r>
        <w:rPr>
          <w:rFonts w:ascii="Arial" w:cs="Arial" w:eastAsia="Arial" w:hAnsi="Arial"/>
          <w:sz w:val="18"/>
          <w:szCs w:val="18"/>
          <w:color w:val="000000"/>
        </w:rPr>
        <w:t>vesting period. Each RSU is the economic equivalent of one share of the Company’s common stock. When vested, the number of RSUs will be settled in a like number of shares of the Company’s common stock. RSUs granted in fiscal 2023 vest in four equal installments over three-and-a-half years.</w:t>
      </w:r>
    </w:p>
    <w:p>
      <w:pPr>
        <w:spacing w:after="0" w:line="103" w:lineRule="exact"/>
        <w:rPr>
          <w:sz w:val="20"/>
          <w:szCs w:val="20"/>
          <w:color w:val="auto"/>
        </w:rPr>
      </w:pPr>
    </w:p>
    <w:p>
      <w:pPr>
        <w:ind w:left="1000" w:right="379"/>
        <w:spacing w:after="0" w:line="252" w:lineRule="auto"/>
        <w:rPr>
          <w:sz w:val="20"/>
          <w:szCs w:val="20"/>
          <w:color w:val="auto"/>
        </w:rPr>
      </w:pPr>
      <w:r>
        <w:rPr>
          <w:rFonts w:ascii="Arial" w:cs="Arial" w:eastAsia="Arial" w:hAnsi="Arial"/>
          <w:sz w:val="18"/>
          <w:szCs w:val="18"/>
          <w:b w:val="1"/>
          <w:bCs w:val="1"/>
          <w:color w:val="53C072"/>
        </w:rPr>
        <w:t xml:space="preserve">Performance Stock Units. </w:t>
      </w:r>
      <w:r>
        <w:rPr>
          <w:rFonts w:ascii="Arial" w:cs="Arial" w:eastAsia="Arial" w:hAnsi="Arial"/>
          <w:sz w:val="18"/>
          <w:szCs w:val="18"/>
          <w:color w:val="000000"/>
        </w:rPr>
        <w:t>PSUs provide the NEOs the opportunity to earn shares of the Company’s</w:t>
      </w:r>
      <w:r>
        <w:rPr>
          <w:rFonts w:ascii="Arial" w:cs="Arial" w:eastAsia="Arial" w:hAnsi="Arial"/>
          <w:sz w:val="18"/>
          <w:szCs w:val="18"/>
          <w:b w:val="1"/>
          <w:bCs w:val="1"/>
          <w:color w:val="53C072"/>
        </w:rPr>
        <w:t xml:space="preserve"> </w:t>
      </w:r>
      <w:r>
        <w:rPr>
          <w:rFonts w:ascii="Arial" w:cs="Arial" w:eastAsia="Arial" w:hAnsi="Arial"/>
          <w:sz w:val="18"/>
          <w:szCs w:val="18"/>
          <w:color w:val="000000"/>
        </w:rPr>
        <w:t>common stock based on the achievement of pre-approved performance metrics. Each PSU is the economic equivalent of one share of the Company’s common stock. If earned and vested, the number of PSUs will be settled in a like number of shares of the Company’s common stock.</w:t>
      </w:r>
    </w:p>
    <w:p>
      <w:pPr>
        <w:spacing w:after="0" w:line="113" w:lineRule="exact"/>
        <w:rPr>
          <w:sz w:val="20"/>
          <w:szCs w:val="20"/>
          <w:color w:val="auto"/>
        </w:rPr>
      </w:pPr>
    </w:p>
    <w:p>
      <w:pPr>
        <w:ind w:left="1000" w:right="179"/>
        <w:spacing w:after="0" w:line="242" w:lineRule="auto"/>
        <w:rPr>
          <w:sz w:val="20"/>
          <w:szCs w:val="20"/>
          <w:color w:val="auto"/>
        </w:rPr>
      </w:pPr>
      <w:r>
        <w:rPr>
          <w:rFonts w:ascii="Arial" w:cs="Arial" w:eastAsia="Arial" w:hAnsi="Arial"/>
          <w:sz w:val="18"/>
          <w:szCs w:val="18"/>
          <w:color w:val="auto"/>
        </w:rPr>
        <w:t>The PSUs granted in fiscal 2023 were equally divided into three tranches, each with a separate performance period. The performance period for the first tranche is fiscal 2023, the second is fiscal 2024, and the third is fiscal 2025. The PSUs earned under each tranche are based on the Company’s achievement during the applicable performance period of the performance metrics of (1) Adjusted Return on Invested Capital (“ROIC”) exceeding Weighted Average Cost of Capital (“WACC”) and (2) Relative Adjusted Earnings Per Share (“EPS”) Growth, both subject to the effect of a Relative TSR modifier (“rTSR”). The potential payout for each tranche will range from 0% to 200% of the NEOs target number of PSUs for each tranche. PSUs earned under each tranche will vest collectively at the end of the performance period ending June 28, 2025.</w:t>
      </w:r>
    </w:p>
    <w:p>
      <w:pPr>
        <w:spacing w:after="0" w:line="126" w:lineRule="exact"/>
        <w:rPr>
          <w:sz w:val="20"/>
          <w:szCs w:val="20"/>
          <w:color w:val="auto"/>
        </w:rPr>
      </w:pPr>
    </w:p>
    <w:p>
      <w:pPr>
        <w:ind w:left="1000" w:right="239"/>
        <w:spacing w:after="0" w:line="277" w:lineRule="auto"/>
        <w:rPr>
          <w:sz w:val="20"/>
          <w:szCs w:val="20"/>
          <w:color w:val="auto"/>
        </w:rPr>
      </w:pPr>
      <w:r>
        <w:rPr>
          <w:rFonts w:ascii="Arial" w:cs="Arial" w:eastAsia="Arial" w:hAnsi="Arial"/>
          <w:sz w:val="17"/>
          <w:szCs w:val="17"/>
          <w:color w:val="auto"/>
        </w:rPr>
        <w:t>The Committee selected ROIC &gt; WACC as a measure of long-term performance because it aligns with shareholders’ interests to ensure that the Company is creating value by earning a return on invested capital that is greater than costs of the capital. The Committee also selected Relative Adjusted EPS Growth because</w:t>
      </w:r>
    </w:p>
    <w:p>
      <w:pPr>
        <w:spacing w:after="0" w:line="1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50     </w:t>
      </w:r>
      <w:r>
        <w:rPr>
          <w:sz w:val="1"/>
          <w:szCs w:val="1"/>
          <w:color w:val="auto"/>
        </w:rPr>
        <w:drawing>
          <wp:inline distT="0" distB="0" distL="0" distR="0">
            <wp:extent cx="1242695"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479"/>
        <w:spacing w:after="0" w:line="255" w:lineRule="auto"/>
        <w:rPr>
          <w:sz w:val="20"/>
          <w:szCs w:val="20"/>
          <w:color w:val="auto"/>
        </w:rPr>
      </w:pPr>
      <w:r>
        <w:rPr>
          <w:rFonts w:ascii="Arial" w:cs="Arial" w:eastAsia="Arial" w:hAnsi="Arial"/>
          <w:sz w:val="18"/>
          <w:szCs w:val="18"/>
          <w:color w:val="auto"/>
        </w:rPr>
        <w:t>it is a relevant metric to incentivize and measure performance against competitors and benchmarking peer group. In addition, the use of the rTSR modifier promotes a closer alignment between long-term incentive payments and shareholder returns delivered during each of the performance periods.</w:t>
      </w:r>
    </w:p>
    <w:p>
      <w:pPr>
        <w:spacing w:after="0" w:line="110" w:lineRule="exact"/>
        <w:rPr>
          <w:sz w:val="20"/>
          <w:szCs w:val="20"/>
          <w:color w:val="auto"/>
        </w:rPr>
      </w:pPr>
    </w:p>
    <w:p>
      <w:pPr>
        <w:ind w:left="1000" w:right="339"/>
        <w:spacing w:after="0" w:line="260" w:lineRule="auto"/>
        <w:rPr>
          <w:sz w:val="20"/>
          <w:szCs w:val="20"/>
          <w:color w:val="auto"/>
        </w:rPr>
      </w:pPr>
      <w:r>
        <w:rPr>
          <w:rFonts w:ascii="Arial" w:cs="Arial" w:eastAsia="Arial" w:hAnsi="Arial"/>
          <w:sz w:val="18"/>
          <w:szCs w:val="18"/>
          <w:color w:val="auto"/>
        </w:rPr>
        <w:t>For the purposes of the fiscal 2023 PSU awards, the definitions of the metrics and performance goals are as follows:</w:t>
      </w:r>
    </w:p>
    <w:p>
      <w:pPr>
        <w:spacing w:after="0" w:line="65" w:lineRule="exact"/>
        <w:rPr>
          <w:sz w:val="20"/>
          <w:szCs w:val="20"/>
          <w:color w:val="auto"/>
        </w:rPr>
      </w:pPr>
    </w:p>
    <w:p>
      <w:pPr>
        <w:ind w:left="1620" w:right="339" w:hanging="270"/>
        <w:spacing w:after="0" w:line="263" w:lineRule="auto"/>
        <w:tabs>
          <w:tab w:leader="none" w:pos="1620" w:val="left"/>
        </w:tabs>
        <w:numPr>
          <w:ilvl w:val="0"/>
          <w:numId w:val="63"/>
        </w:numPr>
        <w:rPr>
          <w:rFonts w:ascii="Arial" w:cs="Arial" w:eastAsia="Arial" w:hAnsi="Arial"/>
          <w:sz w:val="18"/>
          <w:szCs w:val="18"/>
          <w:color w:val="53C072"/>
        </w:rPr>
      </w:pPr>
      <w:r>
        <w:rPr>
          <w:rFonts w:ascii="Arial" w:cs="Arial" w:eastAsia="Arial" w:hAnsi="Arial"/>
          <w:sz w:val="18"/>
          <w:szCs w:val="18"/>
          <w:color w:val="auto"/>
        </w:rPr>
        <w:t>“ROIC &gt; WACC” is defined as the percentage (number of basis points) that the Company’s Adjusted ROIC exceeds its WACC as measured by an accredited third-party source using a quarter-end average for each quarter in a fiscal year.</w:t>
      </w:r>
    </w:p>
    <w:p>
      <w:pPr>
        <w:spacing w:after="0" w:line="156"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4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ROIC​</w:t>
            </w:r>
          </w:p>
        </w:tc>
        <w:tc>
          <w:tcPr>
            <w:tcW w:w="35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&gt; WACC</w:t>
            </w:r>
          </w:p>
        </w:tc>
        <w:tc>
          <w:tcPr>
            <w:tcW w:w="2700" w:type="dxa"/>
            <w:vAlign w:val="bottom"/>
            <w:gridSpan w:val="2"/>
            <w:shd w:val="clear" w:color="auto" w:fill="53C07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 ​Target</w:t>
            </w:r>
          </w:p>
        </w:tc>
        <w:tc>
          <w:tcPr>
            <w:tcW w:w="1020" w:type="dxa"/>
            <w:vAlign w:val="bottom"/>
            <w:gridSpan w:val="3"/>
            <w:shd w:val="clear" w:color="auto" w:fill="53C072"/>
          </w:tcPr>
          <w:p>
            <w:pPr>
              <w:jc w:val="right"/>
              <w:ind w:right="53"/>
              <w:spacing w:after="0"/>
              <w:rPr>
                <w:sz w:val="20"/>
                <w:szCs w:val="20"/>
                <w:color w:val="auto"/>
              </w:rPr>
            </w:pPr>
            <w:r>
              <w:rPr>
                <w:rFonts w:ascii="Arial" w:cs="Arial" w:eastAsia="Arial" w:hAnsi="Arial"/>
                <w:sz w:val="14"/>
                <w:szCs w:val="14"/>
                <w:b w:val="1"/>
                <w:bCs w:val="1"/>
                <w:color w:val="FEFEFE"/>
              </w:rPr>
              <w:t>​ ​Maximum</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​Performance Achievement</w:t>
            </w:r>
          </w:p>
        </w:tc>
        <w:tc>
          <w:tcPr>
            <w:tcW w:w="208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 ​</w:t>
            </w: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&gt;=3.0%​​</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BECD5"/>
          </w:tcPr>
          <w:p>
            <w:pPr>
              <w:ind w:left="80"/>
              <w:spacing w:after="0" w:line="202" w:lineRule="exact"/>
              <w:rPr>
                <w:sz w:val="20"/>
                <w:szCs w:val="20"/>
                <w:color w:val="auto"/>
              </w:rPr>
            </w:pPr>
            <w:r>
              <w:rPr>
                <w:rFonts w:ascii="Arial" w:cs="Arial" w:eastAsia="Arial" w:hAnsi="Arial"/>
                <w:sz w:val="18"/>
                <w:szCs w:val="18"/>
                <w:color w:val="auto"/>
              </w:rPr>
              <w:t>Payout Percentage</w:t>
            </w:r>
          </w:p>
        </w:tc>
        <w:tc>
          <w:tcPr>
            <w:tcW w:w="2080" w:type="dxa"/>
            <w:vAlign w:val="bottom"/>
            <w:vMerge w:val="restart"/>
            <w:shd w:val="clear" w:color="auto" w:fill="CBECD5"/>
          </w:tcPr>
          <w:p>
            <w:pPr>
              <w:ind w:left="18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BECD5"/>
          </w:tcPr>
          <w:p>
            <w:pPr>
              <w:ind w:left="100"/>
              <w:spacing w:after="0" w:line="202" w:lineRule="exact"/>
              <w:rPr>
                <w:sz w:val="20"/>
                <w:szCs w:val="20"/>
                <w:color w:val="auto"/>
              </w:rPr>
            </w:pPr>
            <w:r>
              <w:rPr>
                <w:rFonts w:ascii="Arial" w:cs="Arial" w:eastAsia="Arial" w:hAnsi="Arial"/>
                <w:sz w:val="18"/>
                <w:szCs w:val="18"/>
                <w:color w:val="auto"/>
              </w:rPr>
              <w:t>​ 50%</w:t>
            </w:r>
          </w:p>
        </w:tc>
        <w:tc>
          <w:tcPr>
            <w:tcW w:w="920" w:type="dxa"/>
            <w:vAlign w:val="bottom"/>
            <w:gridSpan w:val="2"/>
            <w:shd w:val="clear" w:color="auto" w:fill="CBECD5"/>
          </w:tcPr>
          <w:p>
            <w:pPr>
              <w:jc w:val="right"/>
              <w:ind w:right="102"/>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BECD5"/>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BECD5"/>
          </w:tcPr>
          <w:p>
            <w:pPr>
              <w:jc w:val="right"/>
              <w:spacing w:after="0" w:line="202"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60" w:type="dxa"/>
            <w:vAlign w:val="bottom"/>
            <w:tcBorders>
              <w:bottom w:val="single" w:sz="8" w:color="53C072"/>
            </w:tcBorders>
            <w:shd w:val="clear" w:color="auto" w:fill="CBECD5"/>
          </w:tcPr>
          <w:p>
            <w:pPr>
              <w:ind w:left="40"/>
              <w:spacing w:after="0" w:line="81" w:lineRule="exact"/>
              <w:rPr>
                <w:sz w:val="20"/>
                <w:szCs w:val="20"/>
                <w:color w:val="auto"/>
              </w:rPr>
            </w:pPr>
            <w:r>
              <w:rPr>
                <w:rFonts w:ascii="Arial" w:cs="Arial" w:eastAsia="Arial" w:hAnsi="Arial"/>
                <w:sz w:val="9"/>
                <w:szCs w:val="9"/>
                <w:color w:val="auto"/>
              </w:rPr>
              <w:t>​</w:t>
            </w:r>
          </w:p>
        </w:tc>
        <w:tc>
          <w:tcPr>
            <w:tcW w:w="3540" w:type="dxa"/>
            <w:vAlign w:val="bottom"/>
            <w:tcBorders>
              <w:bottom w:val="single" w:sz="8" w:color="53C072"/>
            </w:tcBorders>
            <w:shd w:val="clear" w:color="auto" w:fill="CBECD5"/>
          </w:tcPr>
          <w:p>
            <w:pPr>
              <w:spacing w:after="0"/>
              <w:rPr>
                <w:sz w:val="7"/>
                <w:szCs w:val="7"/>
                <w:color w:val="auto"/>
              </w:rPr>
            </w:pPr>
          </w:p>
        </w:tc>
        <w:tc>
          <w:tcPr>
            <w:tcW w:w="2080" w:type="dxa"/>
            <w:vAlign w:val="bottom"/>
            <w:tcBorders>
              <w:bottom w:val="single" w:sz="8" w:color="53C072"/>
            </w:tcBorders>
            <w:vMerge w:val="continue"/>
            <w:shd w:val="clear" w:color="auto" w:fill="CBECD5"/>
          </w:tcPr>
          <w:p>
            <w:pPr>
              <w:spacing w:after="0"/>
              <w:rPr>
                <w:sz w:val="7"/>
                <w:szCs w:val="7"/>
                <w:color w:val="auto"/>
              </w:rPr>
            </w:pPr>
          </w:p>
        </w:tc>
        <w:tc>
          <w:tcPr>
            <w:tcW w:w="620" w:type="dxa"/>
            <w:vAlign w:val="bottom"/>
            <w:tcBorders>
              <w:bottom w:val="single" w:sz="8" w:color="53C072"/>
            </w:tcBorders>
            <w:shd w:val="clear" w:color="auto" w:fill="CBECD5"/>
          </w:tcPr>
          <w:p>
            <w:pPr>
              <w:ind w:left="10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53C072"/>
            </w:tcBorders>
            <w:shd w:val="clear" w:color="auto" w:fill="CBECD5"/>
          </w:tcPr>
          <w:p>
            <w:pPr>
              <w:spacing w:after="0" w:line="81" w:lineRule="exact"/>
              <w:rPr>
                <w:sz w:val="20"/>
                <w:szCs w:val="20"/>
                <w:color w:val="auto"/>
              </w:rPr>
            </w:pPr>
            <w:r>
              <w:rPr>
                <w:rFonts w:ascii="Arial" w:cs="Arial" w:eastAsia="Arial" w:hAnsi="Arial"/>
                <w:sz w:val="9"/>
                <w:szCs w:val="9"/>
                <w:color w:val="auto"/>
              </w:rPr>
              <w:t>​​ ​ ​</w:t>
            </w:r>
          </w:p>
        </w:tc>
        <w:tc>
          <w:tcPr>
            <w:tcW w:w="26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 ​</w:t>
            </w:r>
          </w:p>
        </w:tc>
        <w:tc>
          <w:tcPr>
            <w:tcW w:w="180" w:type="dxa"/>
            <w:vAlign w:val="bottom"/>
            <w:tcBorders>
              <w:bottom w:val="single" w:sz="8" w:color="53C072"/>
            </w:tcBorders>
            <w:shd w:val="clear" w:color="auto" w:fill="CBECD5"/>
          </w:tcPr>
          <w:p>
            <w:pPr>
              <w:ind w:left="60"/>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620" w:right="219" w:hanging="270"/>
        <w:spacing w:after="0" w:line="258" w:lineRule="auto"/>
        <w:tabs>
          <w:tab w:leader="none" w:pos="1620" w:val="left"/>
        </w:tabs>
        <w:numPr>
          <w:ilvl w:val="0"/>
          <w:numId w:val="64"/>
        </w:numPr>
        <w:rPr>
          <w:rFonts w:ascii="Arial" w:cs="Arial" w:eastAsia="Arial" w:hAnsi="Arial"/>
          <w:sz w:val="18"/>
          <w:szCs w:val="18"/>
          <w:color w:val="53C072"/>
        </w:rPr>
      </w:pPr>
      <w:r>
        <w:rPr>
          <w:rFonts w:ascii="Arial" w:cs="Arial" w:eastAsia="Arial" w:hAnsi="Arial"/>
          <w:sz w:val="18"/>
          <w:szCs w:val="18"/>
          <w:color w:val="auto"/>
        </w:rPr>
        <w:t>“Relative Adjusted EPS Growth” is defined as the Company’s adjusted EPS growth ranking in a given fiscal year as compared to that of each company included in the Company’s Benchmarking Peer Group for fiscal 2023. Please see “Compensation Governance and Process —  Benchmarking” for the list of peers for fiscal 2023.</w:t>
      </w:r>
    </w:p>
    <w:p>
      <w:pPr>
        <w:spacing w:after="0" w:line="176"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6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Relative​</w:t>
            </w:r>
          </w:p>
        </w:tc>
        <w:tc>
          <w:tcPr>
            <w:tcW w:w="31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Adjusted EPS Growth</w:t>
            </w:r>
          </w:p>
        </w:tc>
        <w:tc>
          <w:tcPr>
            <w:tcW w:w="1920" w:type="dxa"/>
            <w:vAlign w:val="bottom"/>
            <w:shd w:val="clear" w:color="auto" w:fill="53C072"/>
          </w:tcPr>
          <w:p>
            <w:pPr>
              <w:ind w:left="1680"/>
              <w:spacing w:after="0"/>
              <w:rPr>
                <w:sz w:val="20"/>
                <w:szCs w:val="20"/>
                <w:color w:val="auto"/>
              </w:rPr>
            </w:pPr>
            <w:r>
              <w:rPr>
                <w:rFonts w:ascii="Arial" w:cs="Arial" w:eastAsia="Arial" w:hAnsi="Arial"/>
                <w:sz w:val="14"/>
                <w:szCs w:val="14"/>
                <w:b w:val="1"/>
                <w:bCs w:val="1"/>
                <w:color w:val="FEFEFE"/>
              </w:rPr>
              <w:t>​ ​</w:t>
            </w:r>
          </w:p>
        </w:tc>
        <w:tc>
          <w:tcPr>
            <w:tcW w:w="8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Threshold</w:t>
            </w:r>
          </w:p>
        </w:tc>
        <w:tc>
          <w:tcPr>
            <w:tcW w:w="3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 ​</w:t>
            </w:r>
          </w:p>
        </w:tc>
        <w:tc>
          <w:tcPr>
            <w:tcW w:w="144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Target  ​ ​Maximum</w:t>
            </w:r>
          </w:p>
        </w:tc>
        <w:tc>
          <w:tcPr>
            <w:tcW w:w="100" w:type="dxa"/>
            <w:vAlign w:val="bottom"/>
            <w:shd w:val="clear" w:color="auto" w:fill="53C072"/>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16"/>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​Performance Achievement</w:t>
            </w:r>
          </w:p>
        </w:tc>
        <w:tc>
          <w:tcPr>
            <w:tcW w:w="3860" w:type="dxa"/>
            <w:vAlign w:val="bottom"/>
            <w:gridSpan w:val="4"/>
          </w:tcPr>
          <w:p>
            <w:pPr>
              <w:ind w:left="1620"/>
              <w:spacing w:after="0"/>
              <w:rPr>
                <w:sz w:val="20"/>
                <w:szCs w:val="20"/>
                <w:color w:val="auto"/>
              </w:rPr>
            </w:pPr>
            <w:r>
              <w:rPr>
                <w:rFonts w:ascii="Arial" w:cs="Arial" w:eastAsia="Arial" w:hAnsi="Arial"/>
                <w:sz w:val="18"/>
                <w:szCs w:val="18"/>
                <w:color w:val="auto"/>
              </w:rPr>
              <w:t>​ ​Next to Last ​ ​Median ​ ​</w:t>
            </w:r>
          </w:p>
        </w:tc>
        <w:tc>
          <w:tcPr>
            <w:tcW w:w="620" w:type="dxa"/>
            <w:vAlign w:val="bottom"/>
          </w:tcPr>
          <w:p>
            <w:pPr>
              <w:ind w:left="80"/>
              <w:spacing w:after="0"/>
              <w:rPr>
                <w:sz w:val="20"/>
                <w:szCs w:val="20"/>
                <w:color w:val="auto"/>
              </w:rPr>
            </w:pPr>
            <w:r>
              <w:rPr>
                <w:rFonts w:ascii="Arial" w:cs="Arial" w:eastAsia="Arial" w:hAnsi="Arial"/>
                <w:sz w:val="18"/>
                <w:szCs w:val="18"/>
                <w:color w:val="auto"/>
              </w:rPr>
              <w:t>First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3800" w:type="dxa"/>
            <w:vAlign w:val="bottom"/>
            <w:tcBorders>
              <w:bottom w:val="single" w:sz="8" w:color="53C072"/>
            </w:tcBorders>
            <w:gridSpan w:val="2"/>
            <w:shd w:val="clear" w:color="auto" w:fill="CBECD5"/>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Payout Percentage</w:t>
            </w:r>
          </w:p>
        </w:tc>
        <w:tc>
          <w:tcPr>
            <w:tcW w:w="1920" w:type="dxa"/>
            <w:vAlign w:val="bottom"/>
            <w:tcBorders>
              <w:bottom w:val="single" w:sz="8" w:color="53C072"/>
            </w:tcBorders>
            <w:shd w:val="clear" w:color="auto" w:fill="CBECD5"/>
          </w:tcPr>
          <w:p>
            <w:pPr>
              <w:ind w:left="16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53C072"/>
            </w:tcBorders>
            <w:shd w:val="clear" w:color="auto" w:fill="CBECD5"/>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25%</w:t>
            </w:r>
          </w:p>
        </w:tc>
        <w:tc>
          <w:tcPr>
            <w:tcW w:w="30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53C072"/>
            </w:tcBorders>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r>
              <w:rPr>
                <w:rFonts w:ascii="Arial" w:cs="Arial" w:eastAsia="Arial" w:hAnsi="Arial"/>
                <w:sz w:val="32"/>
                <w:szCs w:val="32"/>
                <w:color w:val="auto"/>
                <w:vertAlign w:val="subscript"/>
              </w:rPr>
              <w:t>​​ ​</w:t>
            </w:r>
          </w:p>
        </w:tc>
        <w:tc>
          <w:tcPr>
            <w:tcW w:w="7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​200% </w:t>
            </w:r>
            <w:r>
              <w:rPr>
                <w:rFonts w:ascii="Arial" w:cs="Arial" w:eastAsia="Arial" w:hAnsi="Arial"/>
                <w:sz w:val="32"/>
                <w:szCs w:val="32"/>
                <w:color w:val="auto"/>
                <w:vertAlign w:val="subscript"/>
              </w:rPr>
              <w:t>​​</w:t>
            </w:r>
          </w:p>
        </w:tc>
        <w:tc>
          <w:tcPr>
            <w:tcW w:w="40" w:type="dxa"/>
            <w:vAlign w:val="bottom"/>
          </w:tcPr>
          <w:p>
            <w:pPr>
              <w:spacing w:after="0"/>
              <w:rPr>
                <w:sz w:val="24"/>
                <w:szCs w:val="24"/>
                <w:color w:val="auto"/>
              </w:rPr>
            </w:pPr>
          </w:p>
        </w:tc>
      </w:tr>
    </w:tbl>
    <w:p>
      <w:pPr>
        <w:spacing w:after="0" w:line="109" w:lineRule="exact"/>
        <w:rPr>
          <w:sz w:val="20"/>
          <w:szCs w:val="20"/>
          <w:color w:val="auto"/>
        </w:rPr>
      </w:pPr>
    </w:p>
    <w:p>
      <w:pPr>
        <w:ind w:left="1620" w:right="219" w:hanging="270"/>
        <w:spacing w:after="0" w:line="255" w:lineRule="auto"/>
        <w:tabs>
          <w:tab w:leader="none" w:pos="1620" w:val="left"/>
        </w:tabs>
        <w:numPr>
          <w:ilvl w:val="0"/>
          <w:numId w:val="65"/>
        </w:numPr>
        <w:rPr>
          <w:rFonts w:ascii="Arial" w:cs="Arial" w:eastAsia="Arial" w:hAnsi="Arial"/>
          <w:sz w:val="18"/>
          <w:szCs w:val="18"/>
          <w:color w:val="53C072"/>
        </w:rPr>
      </w:pPr>
      <w:r>
        <w:rPr>
          <w:rFonts w:ascii="Arial" w:cs="Arial" w:eastAsia="Arial" w:hAnsi="Arial"/>
          <w:sz w:val="18"/>
          <w:szCs w:val="18"/>
          <w:color w:val="auto"/>
        </w:rPr>
        <w:t>“Total Shareholder Return” (or​ “TSR”) is defined as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p>
    <w:p>
      <w:pPr>
        <w:sectPr>
          <w:pgSz w:w="11900" w:h="16838" w:orient="portrait"/>
          <w:cols w:equalWidth="0" w:num="1">
            <w:col w:w="9879"/>
          </w:cols>
          <w:pgMar w:left="580" w:top="90" w:right="1440" w:bottom="1440" w:gutter="0" w:footer="0" w:header="0"/>
        </w:sectPr>
      </w:pPr>
    </w:p>
    <w:p>
      <w:pPr>
        <w:spacing w:after="0" w:line="71" w:lineRule="exact"/>
        <w:rPr>
          <w:sz w:val="20"/>
          <w:szCs w:val="20"/>
          <w:color w:val="auto"/>
        </w:rPr>
      </w:pPr>
    </w:p>
    <w:p>
      <w:pPr>
        <w:ind w:left="1620" w:right="120" w:hanging="270"/>
        <w:spacing w:after="0" w:line="275" w:lineRule="auto"/>
        <w:tabs>
          <w:tab w:leader="none" w:pos="1620" w:val="left"/>
        </w:tabs>
        <w:numPr>
          <w:ilvl w:val="0"/>
          <w:numId w:val="66"/>
        </w:numPr>
        <w:rPr>
          <w:rFonts w:ascii="Arial" w:cs="Arial" w:eastAsia="Arial" w:hAnsi="Arial"/>
          <w:sz w:val="18"/>
          <w:szCs w:val="18"/>
          <w:color w:val="53C072"/>
        </w:rPr>
      </w:pPr>
      <w:r>
        <w:rPr>
          <w:rFonts w:ascii="Arial" w:cs="Arial" w:eastAsia="Arial" w:hAnsi="Arial"/>
          <w:sz w:val="18"/>
          <w:szCs w:val="18"/>
          <w:color w:val="auto"/>
        </w:rPr>
        <w:t>rTSR is defined as the Company’s relative TSR ranking in a given fiscal year as compared to that of each company included in the Company’s Benchmarking Peer Group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92710</wp:posOffset>
            </wp:positionV>
            <wp:extent cx="53232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23205" cy="128905"/>
                    </a:xfrm>
                    <a:prstGeom prst="rect">
                      <a:avLst/>
                    </a:prstGeom>
                    <a:noFill/>
                  </pic:spPr>
                </pic:pic>
              </a:graphicData>
            </a:graphic>
          </wp:anchor>
        </w:drawing>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3980" w:type="dxa"/>
            <w:vAlign w:val="bottom"/>
          </w:tcPr>
          <w:p>
            <w:pPr>
              <w:ind w:left="40"/>
              <w:spacing w:after="0"/>
              <w:rPr>
                <w:sz w:val="20"/>
                <w:szCs w:val="20"/>
                <w:color w:val="auto"/>
              </w:rPr>
            </w:pPr>
            <w:r>
              <w:rPr>
                <w:rFonts w:ascii="Arial" w:cs="Arial" w:eastAsia="Arial" w:hAnsi="Arial"/>
                <w:sz w:val="14"/>
                <w:szCs w:val="14"/>
                <w:b w:val="1"/>
                <w:bCs w:val="1"/>
                <w:color w:val="FEFEFE"/>
              </w:rPr>
              <w:t>​rTSR</w:t>
            </w:r>
          </w:p>
        </w:tc>
        <w:tc>
          <w:tcPr>
            <w:tcW w:w="2720" w:type="dxa"/>
            <w:vAlign w:val="bottom"/>
            <w:gridSpan w:val="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FEFEFE"/>
              </w:rPr>
              <w:t>​ ​Target</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FEFEFE"/>
              </w:rPr>
              <w:t>​ ​Maximum</w:t>
            </w: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​Performance Achievement</w:t>
            </w:r>
          </w:p>
        </w:tc>
        <w:tc>
          <w:tcPr>
            <w:tcW w:w="210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ind w:left="100"/>
              <w:spacing w:after="0" w:line="236" w:lineRule="exact"/>
              <w:rPr>
                <w:sz w:val="20"/>
                <w:szCs w:val="20"/>
                <w:color w:val="auto"/>
              </w:rPr>
            </w:pPr>
            <w:r>
              <w:rPr>
                <w:rFonts w:ascii="Arial" w:cs="Arial" w:eastAsia="Arial" w:hAnsi="Arial"/>
                <w:sz w:val="18"/>
                <w:szCs w:val="18"/>
                <w:color w:val="auto"/>
              </w:rPr>
              <w:t>13</w:t>
            </w:r>
            <w:r>
              <w:rPr>
                <w:rFonts w:ascii="Arial" w:cs="Arial" w:eastAsia="Arial" w:hAnsi="Arial"/>
                <w:sz w:val="23"/>
                <w:szCs w:val="23"/>
                <w:color w:val="auto"/>
                <w:vertAlign w:val="superscript"/>
              </w:rPr>
              <w:t>th</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line="236"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th</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jc w:val="center"/>
              <w:ind w:right="49"/>
              <w:spacing w:after="0" w:line="236" w:lineRule="exact"/>
              <w:rPr>
                <w:sz w:val="20"/>
                <w:szCs w:val="20"/>
                <w:color w:val="auto"/>
              </w:rPr>
            </w:pPr>
            <w:r>
              <w:rPr>
                <w:rFonts w:ascii="Arial" w:cs="Arial" w:eastAsia="Arial" w:hAnsi="Arial"/>
                <w:sz w:val="27"/>
                <w:szCs w:val="27"/>
                <w:color w:val="auto"/>
                <w:vertAlign w:val="subscript"/>
              </w:rPr>
              <w:t>4</w:t>
            </w:r>
            <w:r>
              <w:rPr>
                <w:rFonts w:ascii="Arial" w:cs="Arial" w:eastAsia="Arial" w:hAnsi="Arial"/>
                <w:sz w:val="10"/>
                <w:szCs w:val="10"/>
                <w:color w:val="auto"/>
              </w:rPr>
              <w:t>th</w:t>
            </w:r>
          </w:p>
        </w:tc>
      </w:tr>
      <w:tr>
        <w:trPr>
          <w:trHeight w:val="377"/>
        </w:trPr>
        <w:tc>
          <w:tcPr>
            <w:tcW w:w="3980" w:type="dxa"/>
            <w:vAlign w:val="bottom"/>
          </w:tcPr>
          <w:p>
            <w:pPr>
              <w:spacing w:after="0" w:line="376"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Modifier</w:t>
            </w:r>
          </w:p>
        </w:tc>
        <w:tc>
          <w:tcPr>
            <w:tcW w:w="210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ind w:left="120"/>
              <w:spacing w:after="0"/>
              <w:rPr>
                <w:sz w:val="20"/>
                <w:szCs w:val="20"/>
                <w:color w:val="auto"/>
              </w:rPr>
            </w:pPr>
            <w:r>
              <w:rPr>
                <w:rFonts w:ascii="Arial" w:cs="Arial" w:eastAsia="Arial" w:hAnsi="Arial"/>
                <w:sz w:val="18"/>
                <w:szCs w:val="18"/>
                <w:color w:val="auto"/>
              </w:rPr>
              <w:t>0.9</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420" w:type="dxa"/>
            <w:vAlign w:val="bottom"/>
          </w:tcPr>
          <w:p>
            <w:pPr>
              <w:jc w:val="right"/>
              <w:ind w:right="49"/>
              <w:spacing w:after="0"/>
              <w:rPr>
                <w:sz w:val="20"/>
                <w:szCs w:val="20"/>
                <w:color w:val="auto"/>
              </w:rPr>
            </w:pPr>
            <w:r>
              <w:rPr>
                <w:rFonts w:ascii="Arial" w:cs="Arial" w:eastAsia="Arial" w:hAnsi="Arial"/>
                <w:sz w:val="18"/>
                <w:szCs w:val="18"/>
                <w:color w:val="auto"/>
              </w:rPr>
              <w:t>1.0</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jc w:val="right"/>
              <w:ind w:right="129"/>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-230505</wp:posOffset>
            </wp:positionV>
            <wp:extent cx="532320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232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EFEFE"/>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9620" w:space="60"/>
            <w:col w:w="199"/>
          </w:cols>
          <w:pgMar w:left="580" w:top="90" w:right="1440" w:bottom="1440" w:gutter="0" w:footer="0" w:header="0"/>
          <w:type w:val="continuous"/>
        </w:sectPr>
      </w:pPr>
    </w:p>
    <w:p>
      <w:pPr>
        <w:ind w:left="1000" w:right="399"/>
        <w:spacing w:after="0" w:line="248" w:lineRule="auto"/>
        <w:rPr>
          <w:sz w:val="20"/>
          <w:szCs w:val="20"/>
          <w:color w:val="auto"/>
        </w:rPr>
      </w:pPr>
      <w:r>
        <w:rPr>
          <w:rFonts w:ascii="Arial" w:cs="Arial" w:eastAsia="Arial" w:hAnsi="Arial"/>
          <w:sz w:val="18"/>
          <w:szCs w:val="18"/>
          <w:color w:val="auto"/>
        </w:rPr>
        <w:t>If the Company’s actual achievement of ROIC &gt; WACC, Relative Adjusted EPS Growth or rTSR is between two achievement levels set forth in the tables above, the percentage vesting shall be determined by linear interpolation.</w:t>
      </w:r>
    </w:p>
    <w:p>
      <w:pPr>
        <w:spacing w:after="0" w:line="106" w:lineRule="exact"/>
        <w:rPr>
          <w:sz w:val="20"/>
          <w:szCs w:val="20"/>
          <w:color w:val="auto"/>
        </w:rPr>
      </w:pPr>
    </w:p>
    <w:p>
      <w:pPr>
        <w:ind w:left="1000" w:right="159"/>
        <w:spacing w:after="0" w:line="271" w:lineRule="auto"/>
        <w:rPr>
          <w:sz w:val="20"/>
          <w:szCs w:val="20"/>
          <w:color w:val="auto"/>
        </w:rPr>
      </w:pPr>
      <w:r>
        <w:rPr>
          <w:rFonts w:ascii="Arial" w:cs="Arial" w:eastAsia="Arial" w:hAnsi="Arial"/>
          <w:sz w:val="17"/>
          <w:szCs w:val="17"/>
          <w:b w:val="1"/>
          <w:bCs w:val="1"/>
          <w:color w:val="53C072"/>
        </w:rPr>
        <w:t xml:space="preserve">PSUs Earned Under First Tranche of Fiscal 2023 Grants. </w:t>
      </w:r>
      <w:r>
        <w:rPr>
          <w:rFonts w:ascii="Arial" w:cs="Arial" w:eastAsia="Arial" w:hAnsi="Arial"/>
          <w:sz w:val="17"/>
          <w:szCs w:val="17"/>
          <w:color w:val="000000"/>
        </w:rPr>
        <w:t>For PSU awards granted in fiscal 2023,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following tables summarize the achievement of performance goals under the first tranche during the performance period of fiscal year 2023 and the number of PSUs earned by each NEO. Earned PSUs will not vest and become payable until the end of the performance period for the third tranche, which is June 28, 2025.</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320" w:type="dxa"/>
            <w:vAlign w:val="bottom"/>
            <w:shd w:val="clear" w:color="auto" w:fill="53C072"/>
          </w:tcPr>
          <w:p>
            <w:pPr>
              <w:spacing w:after="0"/>
              <w:rPr>
                <w:sz w:val="16"/>
                <w:szCs w:val="16"/>
                <w:color w:val="auto"/>
              </w:rPr>
            </w:pPr>
          </w:p>
        </w:tc>
        <w:tc>
          <w:tcPr>
            <w:tcW w:w="2000" w:type="dxa"/>
            <w:vAlign w:val="bottom"/>
            <w:shd w:val="clear" w:color="auto" w:fill="53C072"/>
          </w:tcPr>
          <w:p>
            <w:pPr>
              <w:spacing w:after="0"/>
              <w:rPr>
                <w:sz w:val="16"/>
                <w:szCs w:val="16"/>
                <w:color w:val="auto"/>
              </w:rPr>
            </w:pPr>
          </w:p>
        </w:tc>
        <w:tc>
          <w:tcPr>
            <w:tcW w:w="740" w:type="dxa"/>
            <w:vAlign w:val="bottom"/>
            <w:shd w:val="clear" w:color="auto" w:fill="53C072"/>
          </w:tcPr>
          <w:p>
            <w:pPr>
              <w:spacing w:after="0"/>
              <w:rPr>
                <w:sz w:val="16"/>
                <w:szCs w:val="16"/>
                <w:color w:val="auto"/>
              </w:rPr>
            </w:pPr>
          </w:p>
        </w:tc>
        <w:tc>
          <w:tcPr>
            <w:tcW w:w="94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9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Weighted</w:t>
            </w:r>
          </w:p>
        </w:tc>
      </w:tr>
      <w:tr>
        <w:trPr>
          <w:trHeight w:val="175"/>
        </w:trPr>
        <w:tc>
          <w:tcPr>
            <w:tcW w:w="33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​Goal*</w:t>
            </w:r>
          </w:p>
        </w:tc>
        <w:tc>
          <w:tcPr>
            <w:tcW w:w="2000" w:type="dxa"/>
            <w:vAlign w:val="bottom"/>
            <w:shd w:val="clear" w:color="auto" w:fill="53C072"/>
          </w:tcPr>
          <w:p>
            <w:pPr>
              <w:jc w:val="center"/>
              <w:ind w:left="1313"/>
              <w:spacing w:after="0"/>
              <w:rPr>
                <w:sz w:val="20"/>
                <w:szCs w:val="20"/>
                <w:color w:val="auto"/>
              </w:rPr>
            </w:pPr>
            <w:r>
              <w:rPr>
                <w:rFonts w:ascii="Arial" w:cs="Arial" w:eastAsia="Arial" w:hAnsi="Arial"/>
                <w:sz w:val="14"/>
                <w:szCs w:val="14"/>
                <w:b w:val="1"/>
                <w:bCs w:val="1"/>
                <w:color w:val="FEFEFE"/>
                <w:w w:val="98"/>
              </w:rPr>
              <w:t>Target</w:t>
            </w:r>
          </w:p>
        </w:tc>
        <w:tc>
          <w:tcPr>
            <w:tcW w:w="7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Actual</w:t>
            </w:r>
          </w:p>
        </w:tc>
        <w:tc>
          <w:tcPr>
            <w:tcW w:w="9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c>
          <w:tcPr>
            <w:tcW w:w="8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w w:val="98"/>
              </w:rPr>
              <w:t>Weight</w:t>
            </w:r>
          </w:p>
        </w:tc>
        <w:tc>
          <w:tcPr>
            <w:tcW w:w="9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color w:val="auto"/>
              </w:rPr>
              <w:t>​ROIC&gt;WACC</w:t>
            </w:r>
          </w:p>
        </w:tc>
        <w:tc>
          <w:tcPr>
            <w:tcW w:w="2000" w:type="dxa"/>
            <w:vAlign w:val="bottom"/>
          </w:tcPr>
          <w:p>
            <w:pPr>
              <w:jc w:val="center"/>
              <w:ind w:left="1293"/>
              <w:spacing w:after="0"/>
              <w:rPr>
                <w:sz w:val="20"/>
                <w:szCs w:val="20"/>
                <w:color w:val="auto"/>
              </w:rPr>
            </w:pPr>
            <w:r>
              <w:rPr>
                <w:rFonts w:ascii="Arial" w:cs="Arial" w:eastAsia="Arial" w:hAnsi="Arial"/>
                <w:sz w:val="18"/>
                <w:szCs w:val="18"/>
                <w:color w:val="auto"/>
                <w:w w:val="97"/>
              </w:rPr>
              <w:t>1.5%</w:t>
            </w: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4.66%</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200.00%</w:t>
            </w:r>
          </w:p>
        </w:tc>
        <w:tc>
          <w:tcPr>
            <w:tcW w:w="820" w:type="dxa"/>
            <w:vAlign w:val="bottom"/>
          </w:tcPr>
          <w:p>
            <w:pPr>
              <w:jc w:val="center"/>
              <w:spacing w:after="0"/>
              <w:rPr>
                <w:sz w:val="20"/>
                <w:szCs w:val="20"/>
                <w:color w:val="auto"/>
              </w:rPr>
            </w:pPr>
            <w:r>
              <w:rPr>
                <w:rFonts w:ascii="Arial" w:cs="Arial" w:eastAsia="Arial" w:hAnsi="Arial"/>
                <w:sz w:val="18"/>
                <w:szCs w:val="18"/>
                <w:color w:val="auto"/>
              </w:rPr>
              <w:t>50.00%</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100.00%</w:t>
            </w:r>
          </w:p>
        </w:tc>
      </w:tr>
      <w:tr>
        <w:trPr>
          <w:trHeight w:val="243"/>
        </w:trPr>
        <w:tc>
          <w:tcPr>
            <w:tcW w:w="3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​Adjusted EPS Growth</w:t>
            </w:r>
          </w:p>
        </w:tc>
        <w:tc>
          <w:tcPr>
            <w:tcW w:w="2000" w:type="dxa"/>
            <w:vAlign w:val="bottom"/>
            <w:shd w:val="clear" w:color="auto" w:fill="CBECD5"/>
          </w:tcPr>
          <w:p>
            <w:pPr>
              <w:jc w:val="center"/>
              <w:ind w:left="129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40" w:type="dxa"/>
            <w:vAlign w:val="bottom"/>
            <w:shd w:val="clear" w:color="auto" w:fill="CBECD5"/>
          </w:tcPr>
          <w:p>
            <w:pPr>
              <w:jc w:val="center"/>
              <w:spacing w:after="0" w:line="243" w:lineRule="exact"/>
              <w:rPr>
                <w:sz w:val="20"/>
                <w:szCs w:val="20"/>
                <w:color w:val="auto"/>
              </w:rPr>
            </w:pPr>
            <w:r>
              <w:rPr>
                <w:rFonts w:ascii="Arial" w:cs="Arial" w:eastAsia="Arial" w:hAnsi="Arial"/>
                <w:sz w:val="28"/>
                <w:szCs w:val="28"/>
                <w:color w:val="auto"/>
                <w:vertAlign w:val="subscript"/>
              </w:rPr>
              <w:t>7</w:t>
            </w:r>
            <w:r>
              <w:rPr>
                <w:rFonts w:ascii="Arial" w:cs="Arial" w:eastAsia="Arial" w:hAnsi="Arial"/>
                <w:sz w:val="11"/>
                <w:szCs w:val="11"/>
                <w:color w:val="auto"/>
              </w:rPr>
              <w:t>th</w:t>
            </w:r>
          </w:p>
        </w:tc>
        <w:tc>
          <w:tcPr>
            <w:tcW w:w="94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114.29%</w:t>
            </w:r>
          </w:p>
        </w:tc>
        <w:tc>
          <w:tcPr>
            <w:tcW w:w="8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50.00%</w:t>
            </w:r>
          </w:p>
        </w:tc>
        <w:tc>
          <w:tcPr>
            <w:tcW w:w="94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57.14%</w:t>
            </w:r>
          </w:p>
        </w:tc>
      </w:tr>
      <w:tr>
        <w:trPr>
          <w:trHeight w:val="243"/>
        </w:trPr>
        <w:tc>
          <w:tcPr>
            <w:tcW w:w="3320" w:type="dxa"/>
            <w:vAlign w:val="bottom"/>
          </w:tcPr>
          <w:p>
            <w:pPr>
              <w:ind w:left="60"/>
              <w:spacing w:after="0"/>
              <w:rPr>
                <w:sz w:val="20"/>
                <w:szCs w:val="20"/>
                <w:color w:val="auto"/>
              </w:rPr>
            </w:pPr>
            <w:r>
              <w:rPr>
                <w:rFonts w:ascii="Arial" w:cs="Arial" w:eastAsia="Arial" w:hAnsi="Arial"/>
                <w:sz w:val="18"/>
                <w:szCs w:val="18"/>
                <w:color w:val="auto"/>
              </w:rPr>
              <w:t>​rTSR Modifier</w:t>
            </w:r>
          </w:p>
        </w:tc>
        <w:tc>
          <w:tcPr>
            <w:tcW w:w="2000" w:type="dxa"/>
            <w:vAlign w:val="bottom"/>
          </w:tcPr>
          <w:p>
            <w:pPr>
              <w:jc w:val="center"/>
              <w:ind w:left="129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40" w:type="dxa"/>
            <w:vAlign w:val="bottom"/>
          </w:tcPr>
          <w:p>
            <w:pPr>
              <w:jc w:val="center"/>
              <w:spacing w:after="0" w:line="243" w:lineRule="exact"/>
              <w:rPr>
                <w:sz w:val="20"/>
                <w:szCs w:val="20"/>
                <w:color w:val="auto"/>
              </w:rPr>
            </w:pPr>
            <w:r>
              <w:rPr>
                <w:rFonts w:ascii="Arial" w:cs="Arial" w:eastAsia="Arial" w:hAnsi="Arial"/>
                <w:sz w:val="18"/>
                <w:szCs w:val="18"/>
                <w:color w:val="auto"/>
                <w:w w:val="91"/>
              </w:rPr>
              <w:t>12</w:t>
            </w:r>
            <w:r>
              <w:rPr>
                <w:rFonts w:ascii="Arial" w:cs="Arial" w:eastAsia="Arial" w:hAnsi="Arial"/>
                <w:sz w:val="23"/>
                <w:szCs w:val="23"/>
                <w:color w:val="auto"/>
                <w:w w:val="91"/>
                <w:vertAlign w:val="superscript"/>
              </w:rPr>
              <w:t>th</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0.92x</w:t>
            </w:r>
          </w:p>
        </w:tc>
      </w:tr>
      <w:tr>
        <w:trPr>
          <w:trHeight w:val="277"/>
        </w:trPr>
        <w:tc>
          <w:tcPr>
            <w:tcW w:w="3320" w:type="dxa"/>
            <w:vAlign w:val="bottom"/>
            <w:tcBorders>
              <w:bottom w:val="single" w:sz="8" w:color="53C072"/>
            </w:tcBorders>
            <w:shd w:val="clear" w:color="auto" w:fill="CBECD5"/>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Total Earned</w:t>
            </w:r>
          </w:p>
        </w:tc>
        <w:tc>
          <w:tcPr>
            <w:tcW w:w="2000" w:type="dxa"/>
            <w:vAlign w:val="bottom"/>
            <w:tcBorders>
              <w:bottom w:val="single" w:sz="8" w:color="53C072"/>
            </w:tcBorders>
            <w:shd w:val="clear" w:color="auto" w:fill="CBECD5"/>
          </w:tcPr>
          <w:p>
            <w:pPr>
              <w:spacing w:after="0"/>
              <w:rPr>
                <w:sz w:val="24"/>
                <w:szCs w:val="24"/>
                <w:color w:val="auto"/>
              </w:rPr>
            </w:pPr>
          </w:p>
        </w:tc>
        <w:tc>
          <w:tcPr>
            <w:tcW w:w="740" w:type="dxa"/>
            <w:vAlign w:val="bottom"/>
            <w:tcBorders>
              <w:bottom w:val="single" w:sz="8" w:color="53C072"/>
            </w:tcBorders>
            <w:shd w:val="clear" w:color="auto" w:fill="CBECD5"/>
          </w:tcPr>
          <w:p>
            <w:pPr>
              <w:spacing w:after="0"/>
              <w:rPr>
                <w:sz w:val="24"/>
                <w:szCs w:val="24"/>
                <w:color w:val="auto"/>
              </w:rPr>
            </w:pPr>
          </w:p>
        </w:tc>
        <w:tc>
          <w:tcPr>
            <w:tcW w:w="9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53C072"/>
            </w:tcBorders>
            <w:shd w:val="clear" w:color="auto" w:fill="CBECD5"/>
          </w:tcPr>
          <w:p>
            <w:pPr>
              <w:spacing w:after="0"/>
              <w:rPr>
                <w:sz w:val="24"/>
                <w:szCs w:val="24"/>
                <w:color w:val="auto"/>
              </w:rPr>
            </w:pPr>
          </w:p>
        </w:tc>
        <w:tc>
          <w:tcPr>
            <w:tcW w:w="9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8"/>
              </w:rPr>
              <w:t>144.57%</w:t>
            </w:r>
          </w:p>
        </w:tc>
      </w:tr>
    </w:tbl>
    <w:p>
      <w:pPr>
        <w:spacing w:after="0" w:line="55" w:lineRule="exact"/>
        <w:rPr>
          <w:sz w:val="20"/>
          <w:szCs w:val="20"/>
          <w:color w:val="auto"/>
        </w:rPr>
      </w:pPr>
    </w:p>
    <w:p>
      <w:pPr>
        <w:ind w:left="1460" w:right="239" w:hanging="362"/>
        <w:spacing w:after="0" w:line="285" w:lineRule="auto"/>
        <w:tabs>
          <w:tab w:leader="none" w:pos="1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2023 performance of the Company, please refer to the Company’s Annual Report on Form 10-K for the year ended July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88900</wp:posOffset>
            </wp:positionV>
            <wp:extent cx="1243330" cy="2400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22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283845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4" w:lineRule="exact"/>
        <w:rPr>
          <w:sz w:val="20"/>
          <w:szCs w:val="20"/>
          <w:color w:val="auto"/>
        </w:rPr>
      </w:pPr>
    </w:p>
    <w:tbl>
      <w:tblPr>
        <w:tblLayout w:type="fixed"/>
        <w:tblInd w:w="980" w:type="dxa"/>
        <w:tblCellMar>
          <w:top w:w="0" w:type="dxa"/>
          <w:left w:w="0" w:type="dxa"/>
          <w:bottom w:w="0" w:type="dxa"/>
          <w:right w:w="0" w:type="dxa"/>
        </w:tblCellMar>
      </w:tblPr>
      <w:tr>
        <w:trPr>
          <w:trHeight w:val="200"/>
        </w:trPr>
        <w:tc>
          <w:tcPr>
            <w:tcW w:w="3820" w:type="dxa"/>
            <w:vAlign w:val="bottom"/>
          </w:tcPr>
          <w:p>
            <w:pPr>
              <w:ind w:left="2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gridSpan w:val="4"/>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r>
              <w:rPr>
                <w:rFonts w:ascii="Arial" w:cs="Arial" w:eastAsia="Arial" w:hAnsi="Arial"/>
                <w:sz w:val="17"/>
                <w:szCs w:val="17"/>
                <w:b w:val="1"/>
                <w:bCs w:val="1"/>
                <w:color w:val="FEFEFE"/>
                <w:vertAlign w:val="superscript"/>
              </w:rPr>
              <w:t>(1)</w:t>
            </w:r>
          </w:p>
        </w:tc>
        <w:tc>
          <w:tcPr>
            <w:tcW w:w="3460" w:type="dxa"/>
            <w:vAlign w:val="bottom"/>
            <w:shd w:val="clear" w:color="auto" w:fill="53C072"/>
          </w:tcPr>
          <w:p>
            <w:pPr>
              <w:jc w:val="center"/>
              <w:ind w:left="2517"/>
              <w:spacing w:after="0"/>
              <w:rPr>
                <w:sz w:val="20"/>
                <w:szCs w:val="20"/>
                <w:color w:val="auto"/>
              </w:rPr>
            </w:pPr>
            <w:r>
              <w:rPr>
                <w:rFonts w:ascii="Arial" w:cs="Arial" w:eastAsia="Arial" w:hAnsi="Arial"/>
                <w:sz w:val="14"/>
                <w:szCs w:val="14"/>
                <w:b w:val="1"/>
                <w:bCs w:val="1"/>
                <w:color w:val="FEFEFE"/>
              </w:rPr>
              <w:t>Target PSUS</w:t>
            </w:r>
          </w:p>
        </w:tc>
        <w:tc>
          <w:tcPr>
            <w:tcW w:w="160" w:type="dxa"/>
            <w:vAlign w:val="bottom"/>
            <w:shd w:val="clear" w:color="auto" w:fill="53C072"/>
          </w:tcPr>
          <w:p>
            <w:pPr>
              <w:spacing w:after="0"/>
              <w:rPr>
                <w:sz w:val="17"/>
                <w:szCs w:val="17"/>
                <w:color w:val="auto"/>
              </w:rPr>
            </w:pPr>
          </w:p>
        </w:tc>
        <w:tc>
          <w:tcPr>
            <w:tcW w:w="12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PSUs (#) Earned</w:t>
            </w:r>
          </w:p>
        </w:tc>
        <w:tc>
          <w:tcPr>
            <w:tcW w:w="120" w:type="dxa"/>
            <w:vAlign w:val="bottom"/>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​Gallagher</w:t>
            </w:r>
          </w:p>
        </w:tc>
        <w:tc>
          <w:tcPr>
            <w:tcW w:w="3460" w:type="dxa"/>
            <w:vAlign w:val="bottom"/>
          </w:tcPr>
          <w:p>
            <w:pPr>
              <w:jc w:val="center"/>
              <w:ind w:left="2497"/>
              <w:spacing w:after="0"/>
              <w:rPr>
                <w:sz w:val="20"/>
                <w:szCs w:val="20"/>
                <w:color w:val="auto"/>
              </w:rPr>
            </w:pPr>
            <w:r>
              <w:rPr>
                <w:rFonts w:ascii="Arial" w:cs="Arial" w:eastAsia="Arial" w:hAnsi="Arial"/>
                <w:sz w:val="18"/>
                <w:szCs w:val="18"/>
                <w:color w:val="auto"/>
              </w:rPr>
              <w:t>​24,621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​35,594</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BECD5"/>
          </w:tcPr>
          <w:p>
            <w:pPr>
              <w:ind w:left="60"/>
              <w:spacing w:after="0"/>
              <w:rPr>
                <w:sz w:val="20"/>
                <w:szCs w:val="20"/>
                <w:color w:val="auto"/>
              </w:rPr>
            </w:pPr>
            <w:r>
              <w:rPr>
                <w:rFonts w:ascii="Arial" w:cs="Arial" w:eastAsia="Arial" w:hAnsi="Arial"/>
                <w:sz w:val="18"/>
                <w:szCs w:val="18"/>
                <w:color w:val="auto"/>
              </w:rPr>
              <w:t>​Jacobson</w:t>
            </w:r>
          </w:p>
        </w:tc>
        <w:tc>
          <w:tcPr>
            <w:tcW w:w="3460" w:type="dxa"/>
            <w:vAlign w:val="bottom"/>
            <w:shd w:val="clear" w:color="auto" w:fill="CBECD5"/>
          </w:tcPr>
          <w:p>
            <w:pPr>
              <w:jc w:val="center"/>
              <w:ind w:left="2497"/>
              <w:spacing w:after="0"/>
              <w:rPr>
                <w:sz w:val="20"/>
                <w:szCs w:val="20"/>
                <w:color w:val="auto"/>
              </w:rPr>
            </w:pPr>
            <w:r>
              <w:rPr>
                <w:rFonts w:ascii="Arial" w:cs="Arial" w:eastAsia="Arial" w:hAnsi="Arial"/>
                <w:sz w:val="18"/>
                <w:szCs w:val="18"/>
                <w:color w:val="auto"/>
              </w:rPr>
              <w:t>​ 4,735</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 6,845</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60"/>
              <w:spacing w:after="0"/>
              <w:rPr>
                <w:sz w:val="20"/>
                <w:szCs w:val="20"/>
                <w:color w:val="auto"/>
              </w:rPr>
            </w:pPr>
            <w:r>
              <w:rPr>
                <w:rFonts w:ascii="Arial" w:cs="Arial" w:eastAsia="Arial" w:hAnsi="Arial"/>
                <w:sz w:val="18"/>
                <w:szCs w:val="18"/>
                <w:color w:val="auto"/>
              </w:rPr>
              <w:t>​Arnold</w:t>
            </w:r>
          </w:p>
        </w:tc>
        <w:tc>
          <w:tcPr>
            <w:tcW w:w="3460" w:type="dxa"/>
            <w:vAlign w:val="bottom"/>
          </w:tcPr>
          <w:p>
            <w:pPr>
              <w:jc w:val="center"/>
              <w:ind w:left="2497"/>
              <w:spacing w:after="0"/>
              <w:rPr>
                <w:sz w:val="20"/>
                <w:szCs w:val="20"/>
                <w:color w:val="auto"/>
              </w:rPr>
            </w:pPr>
            <w:r>
              <w:rPr>
                <w:rFonts w:ascii="Arial" w:cs="Arial" w:eastAsia="Arial" w:hAnsi="Arial"/>
                <w:sz w:val="18"/>
                <w:szCs w:val="18"/>
                <w:color w:val="auto"/>
              </w:rPr>
              <w:t>​ 3,598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 5,201</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3820" w:type="dxa"/>
            <w:vAlign w:val="bottom"/>
            <w:tcBorders>
              <w:bottom w:val="single" w:sz="8" w:color="53C072"/>
            </w:tcBorders>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McCoy</w:t>
            </w:r>
          </w:p>
        </w:tc>
        <w:tc>
          <w:tcPr>
            <w:tcW w:w="3460" w:type="dxa"/>
            <w:vAlign w:val="bottom"/>
            <w:tcBorders>
              <w:bottom w:val="single" w:sz="8" w:color="53C072"/>
            </w:tcBorders>
            <w:shd w:val="clear" w:color="auto" w:fill="CBECD5"/>
          </w:tcPr>
          <w:p>
            <w:pPr>
              <w:jc w:val="center"/>
              <w:ind w:left="2497"/>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3,977</w:t>
            </w:r>
          </w:p>
        </w:tc>
        <w:tc>
          <w:tcPr>
            <w:tcW w:w="16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53C072"/>
            </w:tcBorders>
            <w:shd w:val="clear" w:color="auto" w:fill="CBECD5"/>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5,750</w:t>
            </w:r>
          </w:p>
        </w:tc>
        <w:tc>
          <w:tcPr>
            <w:tcW w:w="12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20" w:hanging="722"/>
        <w:spacing w:after="0"/>
        <w:tabs>
          <w:tab w:leader="none" w:pos="1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Liguori and Obregon-Jimenez did not participate in the fiscal 2023 PSU plan.</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Additional Compensation Elements</w:t>
      </w:r>
    </w:p>
    <w:p>
      <w:pPr>
        <w:spacing w:after="0" w:line="153" w:lineRule="exact"/>
        <w:rPr>
          <w:sz w:val="20"/>
          <w:szCs w:val="20"/>
          <w:color w:val="auto"/>
        </w:rPr>
      </w:pPr>
    </w:p>
    <w:p>
      <w:pPr>
        <w:ind w:left="1000" w:right="219"/>
        <w:spacing w:after="0" w:line="246" w:lineRule="auto"/>
        <w:rPr>
          <w:sz w:val="20"/>
          <w:szCs w:val="20"/>
          <w:color w:val="auto"/>
        </w:rPr>
      </w:pPr>
      <w:r>
        <w:rPr>
          <w:rFonts w:ascii="Arial" w:cs="Arial" w:eastAsia="Arial" w:hAnsi="Arial"/>
          <w:sz w:val="18"/>
          <w:szCs w:val="18"/>
          <w:b w:val="1"/>
          <w:bCs w:val="1"/>
          <w:color w:val="53C072"/>
        </w:rPr>
        <w:t xml:space="preserve">Qualified Pension Plan. </w:t>
      </w:r>
      <w:r>
        <w:rPr>
          <w:rFonts w:ascii="Arial" w:cs="Arial" w:eastAsia="Arial" w:hAnsi="Arial"/>
          <w:sz w:val="18"/>
          <w:szCs w:val="18"/>
          <w:color w:val="000000"/>
        </w:rPr>
        <w:t>The Company provides a retirement benefit to certain employees under a tax-qualified retirement plan (a type of tax-qualified defined-benefit plan commonly referred to as a cash balance plan). Cash balance plans are similar to a defined-contribution plan in that a participant’s benefit is a stated account balance. As a cash balance plan, the Pension Plan allows the Company to apply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08" w:lineRule="exact"/>
        <w:rPr>
          <w:sz w:val="20"/>
          <w:szCs w:val="20"/>
          <w:color w:val="auto"/>
        </w:rPr>
      </w:pPr>
    </w:p>
    <w:p>
      <w:pPr>
        <w:ind w:left="1000" w:right="299"/>
        <w:spacing w:after="0" w:line="248" w:lineRule="auto"/>
        <w:rPr>
          <w:sz w:val="20"/>
          <w:szCs w:val="20"/>
          <w:color w:val="auto"/>
        </w:rPr>
      </w:pPr>
      <w:r>
        <w:rPr>
          <w:rFonts w:ascii="Arial" w:cs="Arial" w:eastAsia="Arial" w:hAnsi="Arial"/>
          <w:sz w:val="18"/>
          <w:szCs w:val="18"/>
          <w:b w:val="1"/>
          <w:bCs w:val="1"/>
          <w:color w:val="53C072"/>
        </w:rPr>
        <w:t xml:space="preserve">401(k) Plan. </w:t>
      </w:r>
      <w:r>
        <w:rPr>
          <w:rFonts w:ascii="Arial" w:cs="Arial" w:eastAsia="Arial" w:hAnsi="Arial"/>
          <w:sz w:val="18"/>
          <w:szCs w:val="18"/>
          <w:color w:val="000000"/>
        </w:rPr>
        <w:t>The Company provides a tax-qualified defined-contribution 401(k) Plan for employees after a</w:t>
      </w:r>
      <w:r>
        <w:rPr>
          <w:rFonts w:ascii="Arial" w:cs="Arial" w:eastAsia="Arial" w:hAnsi="Arial"/>
          <w:sz w:val="18"/>
          <w:szCs w:val="18"/>
          <w:b w:val="1"/>
          <w:bCs w:val="1"/>
          <w:color w:val="53C072"/>
        </w:rPr>
        <w:t xml:space="preserve"> </w:t>
      </w:r>
      <w:r>
        <w:rPr>
          <w:rFonts w:ascii="Arial" w:cs="Arial" w:eastAsia="Arial" w:hAnsi="Arial"/>
          <w:sz w:val="18"/>
          <w:szCs w:val="18"/>
          <w:color w:val="000000"/>
        </w:rPr>
        <w:t>30-day waiting period. The plan allows eligible employees to make contributions on a pre- and post-tax basis through payroll deductions (up to IRS limits) and invest their contributions in one or more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07" w:lineRule="exact"/>
        <w:rPr>
          <w:sz w:val="20"/>
          <w:szCs w:val="20"/>
          <w:color w:val="auto"/>
        </w:rPr>
      </w:pPr>
    </w:p>
    <w:p>
      <w:pPr>
        <w:ind w:left="1000" w:right="139"/>
        <w:spacing w:after="0" w:line="243" w:lineRule="auto"/>
        <w:rPr>
          <w:sz w:val="20"/>
          <w:szCs w:val="20"/>
          <w:color w:val="auto"/>
        </w:rPr>
      </w:pPr>
      <w:r>
        <w:rPr>
          <w:rFonts w:ascii="Arial" w:cs="Arial" w:eastAsia="Arial" w:hAnsi="Arial"/>
          <w:sz w:val="18"/>
          <w:szCs w:val="18"/>
          <w:b w:val="1"/>
          <w:bCs w:val="1"/>
          <w:color w:val="53C072"/>
        </w:rPr>
        <w:t xml:space="preserve">Nonqualified Retirement Plans. </w:t>
      </w:r>
      <w:r>
        <w:rPr>
          <w:rFonts w:ascii="Arial" w:cs="Arial" w:eastAsia="Arial" w:hAnsi="Arial"/>
          <w:sz w:val="18"/>
          <w:szCs w:val="18"/>
          <w:color w:val="000000"/>
        </w:rPr>
        <w:t>The Company provides a retirement benefit to certain employees under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following nonqualified retirement plans: (1) the restoration pension plan (the “Restoration Plan”) and (2) the supplemental executive officers’ retirement plan (the “SERP”). The SERP was closed to new participants effective December 31, 2011, and the Restoration Plan was adopted effective January 1, 2012. Pursuant to the terms of the Restoration Plan and the SERP, any benefit payable under the Restoration Plan reduces the benefit payable under the SERP. A retirement plan is an important retention tool in the Company’s compensation program because the receipt of benefits is contingent on certain age and service requirements. Additionally, the nonqualified retirement plans include a performance-based element, because they are based in part on a participant’s yearly cash compensation. The Company balances the effectiveness of these plans as a compensation and retention tool with the cost of these plans. The SERP and Restoration Plan, including NEO participation, are more fully described in the “Pension Benefits” section.</w:t>
      </w:r>
    </w:p>
    <w:p>
      <w:pPr>
        <w:spacing w:after="0" w:line="111" w:lineRule="exact"/>
        <w:rPr>
          <w:sz w:val="20"/>
          <w:szCs w:val="20"/>
          <w:color w:val="auto"/>
        </w:rPr>
      </w:pPr>
    </w:p>
    <w:p>
      <w:pPr>
        <w:ind w:left="1000" w:right="239"/>
        <w:spacing w:after="0" w:line="259" w:lineRule="auto"/>
        <w:rPr>
          <w:sz w:val="20"/>
          <w:szCs w:val="20"/>
          <w:color w:val="auto"/>
        </w:rPr>
      </w:pPr>
      <w:r>
        <w:rPr>
          <w:rFonts w:ascii="Arial" w:cs="Arial" w:eastAsia="Arial" w:hAnsi="Arial"/>
          <w:sz w:val="18"/>
          <w:szCs w:val="18"/>
          <w:b w:val="1"/>
          <w:bCs w:val="1"/>
          <w:color w:val="53C072"/>
        </w:rPr>
        <w:t xml:space="preserve">Executive Benefits. </w:t>
      </w:r>
      <w:r>
        <w:rPr>
          <w:rFonts w:ascii="Arial" w:cs="Arial" w:eastAsia="Arial" w:hAnsi="Arial"/>
          <w:sz w:val="18"/>
          <w:szCs w:val="18"/>
          <w:color w:val="000000"/>
        </w:rPr>
        <w:t>The Company provides NEOs with a limited number of perquisites that the Company</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the Committee believe are reasonable and consistent with the Company’s overall compensation program and necessary to remain competitive. Perquisites include automobile program and cost of annual physical exams. Costs associated with the perquisites provided by the Company are included in the “All Other Compensation” column in the Summary Compensation Table.</w:t>
      </w:r>
    </w:p>
    <w:p>
      <w:pPr>
        <w:spacing w:after="0" w:line="98" w:lineRule="exact"/>
        <w:rPr>
          <w:sz w:val="20"/>
          <w:szCs w:val="20"/>
          <w:color w:val="auto"/>
        </w:rPr>
      </w:pPr>
    </w:p>
    <w:p>
      <w:pPr>
        <w:ind w:left="1000" w:right="199"/>
        <w:spacing w:after="0" w:line="255" w:lineRule="auto"/>
        <w:rPr>
          <w:sz w:val="20"/>
          <w:szCs w:val="20"/>
          <w:color w:val="auto"/>
        </w:rPr>
      </w:pPr>
      <w:r>
        <w:rPr>
          <w:rFonts w:ascii="Arial" w:cs="Arial" w:eastAsia="Arial" w:hAnsi="Arial"/>
          <w:sz w:val="18"/>
          <w:szCs w:val="18"/>
          <w:b w:val="1"/>
          <w:bCs w:val="1"/>
          <w:color w:val="53C072"/>
        </w:rPr>
        <w:t xml:space="preserve">Change of Control Agreements. </w:t>
      </w:r>
      <w:r>
        <w:rPr>
          <w:rFonts w:ascii="Arial" w:cs="Arial" w:eastAsia="Arial" w:hAnsi="Arial"/>
          <w:sz w:val="18"/>
          <w:szCs w:val="18"/>
          <w:color w:val="000000"/>
        </w:rPr>
        <w:t>The Company has entered into a change of control agreement with each</w:t>
      </w:r>
      <w:r>
        <w:rPr>
          <w:rFonts w:ascii="Arial" w:cs="Arial" w:eastAsia="Arial" w:hAnsi="Arial"/>
          <w:sz w:val="18"/>
          <w:szCs w:val="18"/>
          <w:b w:val="1"/>
          <w:bCs w:val="1"/>
          <w:color w:val="53C072"/>
        </w:rPr>
        <w:t xml:space="preserve"> </w:t>
      </w:r>
      <w:r>
        <w:rPr>
          <w:rFonts w:ascii="Arial" w:cs="Arial" w:eastAsia="Arial" w:hAnsi="Arial"/>
          <w:sz w:val="18"/>
          <w:szCs w:val="18"/>
          <w:color w:val="000000"/>
        </w:rPr>
        <w:t>of the NEOs except for Ms. Obregon-Jimenez because she was not part of the Avnet Leadership Team during fiscal 2023. The change of control agreements encourage retention in the face of the disruptive impact of an actual or attempted change of control of the Company. The agreements also align NEO and shareholder interests by enabling the NEOs to consider corporate transactions that are in the best interests of the shareholders and other Company constituents without undue concern about their own employment. The change of control agreements do not provide for excise tax reimbursements to any of the NEOs. For more information, see “Potential Payouts Upon Termination and Change of Control” section.</w:t>
      </w:r>
    </w:p>
    <w:p>
      <w:pPr>
        <w:spacing w:after="0" w:line="117" w:lineRule="exact"/>
        <w:rPr>
          <w:sz w:val="20"/>
          <w:szCs w:val="20"/>
          <w:color w:val="auto"/>
        </w:rPr>
      </w:pPr>
    </w:p>
    <w:p>
      <w:pPr>
        <w:ind w:left="1000" w:right="219"/>
        <w:spacing w:after="0" w:line="262" w:lineRule="auto"/>
        <w:rPr>
          <w:sz w:val="20"/>
          <w:szCs w:val="20"/>
          <w:color w:val="auto"/>
        </w:rPr>
      </w:pPr>
      <w:r>
        <w:rPr>
          <w:rFonts w:ascii="Arial" w:cs="Arial" w:eastAsia="Arial" w:hAnsi="Arial"/>
          <w:sz w:val="18"/>
          <w:szCs w:val="18"/>
          <w:b w:val="1"/>
          <w:bCs w:val="1"/>
          <w:color w:val="53C072"/>
        </w:rPr>
        <w:t xml:space="preserve">Executive Severance Plan. </w:t>
      </w:r>
      <w:r>
        <w:rPr>
          <w:rFonts w:ascii="Arial" w:cs="Arial" w:eastAsia="Arial" w:hAnsi="Arial"/>
          <w:sz w:val="18"/>
          <w:szCs w:val="18"/>
          <w:color w:val="000000"/>
        </w:rPr>
        <w:t>The Company approved an Executive Severance Plan on August 10, 2017</w:t>
      </w:r>
      <w:r>
        <w:rPr>
          <w:rFonts w:ascii="Arial" w:cs="Arial" w:eastAsia="Arial" w:hAnsi="Arial"/>
          <w:sz w:val="18"/>
          <w:szCs w:val="18"/>
          <w:b w:val="1"/>
          <w:bCs w:val="1"/>
          <w:color w:val="53C072"/>
        </w:rPr>
        <w:t xml:space="preserve"> </w:t>
      </w:r>
      <w:r>
        <w:rPr>
          <w:rFonts w:ascii="Arial" w:cs="Arial" w:eastAsia="Arial" w:hAnsi="Arial"/>
          <w:sz w:val="18"/>
          <w:szCs w:val="18"/>
          <w:color w:val="000000"/>
        </w:rPr>
        <w:t>(“Executive Severance Plan”), whereby executive officers may be eligible to receive severance benefits if they are not entitled to severance payments under any other employment agreement. Under the Executive Severance Plan, if the Company terminates an executive’s employment without cause, the executive will</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1242695" cy="24003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receive: (1) one times their annual base salary, or in the case of the CEO two times their annual base salary;</w:t>
      </w:r>
    </w:p>
    <w:p>
      <w:pPr>
        <w:spacing w:after="0" w:line="21" w:lineRule="exact"/>
        <w:rPr>
          <w:sz w:val="20"/>
          <w:szCs w:val="20"/>
          <w:color w:val="auto"/>
        </w:rPr>
      </w:pPr>
    </w:p>
    <w:p>
      <w:pPr>
        <w:ind w:left="1000" w:right="259" w:hanging="10"/>
        <w:spacing w:after="0"/>
        <w:tabs>
          <w:tab w:leader="none" w:pos="12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Liguori was covered by the Executive Severance Plan, while Gallagher, Jacobson, Arnold, McCoy, and Obregon-Jimenez are each covered by their employment agreements.</w:t>
      </w:r>
    </w:p>
    <w:p>
      <w:pPr>
        <w:spacing w:after="0" w:line="123" w:lineRule="exact"/>
        <w:rPr>
          <w:sz w:val="20"/>
          <w:szCs w:val="20"/>
          <w:color w:val="auto"/>
        </w:rPr>
      </w:pPr>
    </w:p>
    <w:p>
      <w:pPr>
        <w:ind w:left="1000" w:right="359"/>
        <w:spacing w:after="0" w:line="248" w:lineRule="auto"/>
        <w:rPr>
          <w:sz w:val="20"/>
          <w:szCs w:val="20"/>
          <w:color w:val="auto"/>
        </w:rPr>
      </w:pPr>
      <w:r>
        <w:rPr>
          <w:rFonts w:ascii="Arial" w:cs="Arial" w:eastAsia="Arial" w:hAnsi="Arial"/>
          <w:sz w:val="18"/>
          <w:szCs w:val="18"/>
          <w:color w:val="auto"/>
        </w:rPr>
        <w:t>The employment agreements for Gallagher, Jacobson, Arnold, McCoy, and Obregon-Jimenez provide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1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more information, see “Potential Payouts Upon Termination and Change of Control” section.</w:t>
      </w:r>
    </w:p>
    <w:p>
      <w:pPr>
        <w:spacing w:after="0" w:line="134"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b w:val="1"/>
          <w:bCs w:val="1"/>
          <w:color w:val="53C072"/>
        </w:rPr>
        <w:t xml:space="preserve">Employee Stock Purchase Plan (ESPP). </w:t>
      </w:r>
      <w:r>
        <w:rPr>
          <w:rFonts w:ascii="Arial" w:cs="Arial" w:eastAsia="Arial" w:hAnsi="Arial"/>
          <w:sz w:val="18"/>
          <w:szCs w:val="18"/>
          <w:color w:val="000000"/>
        </w:rPr>
        <w:t>The Company maintains the ESPP, which is a tax-qualified plan</w:t>
      </w:r>
      <w:r>
        <w:rPr>
          <w:rFonts w:ascii="Arial" w:cs="Arial" w:eastAsia="Arial" w:hAnsi="Arial"/>
          <w:sz w:val="18"/>
          <w:szCs w:val="18"/>
          <w:b w:val="1"/>
          <w:bCs w:val="1"/>
          <w:color w:val="53C072"/>
        </w:rPr>
        <w:t xml:space="preserve"> </w:t>
      </w:r>
      <w:r>
        <w:rPr>
          <w:rFonts w:ascii="Arial" w:cs="Arial" w:eastAsia="Arial" w:hAnsi="Arial"/>
          <w:sz w:val="18"/>
          <w:szCs w:val="18"/>
          <w:color w:val="000000"/>
        </w:rPr>
        <w:t>available to all employees of the Company and designated U.S. and Canadian subsidiaries who have been employed for at least three continuous months for at least 20 hours per week. The ESPP provides an opportunity to acquire an ownership interest in the Company through the purchase of the Company’s Common Stock at a 5% discount through payroll deductions.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ADDITIONAL PRACTICES, POLICIES AND GUIDELINES</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Ownership Guidelines</w:t>
      </w:r>
    </w:p>
    <w:p>
      <w:pPr>
        <w:spacing w:after="0" w:line="163" w:lineRule="exact"/>
        <w:rPr>
          <w:sz w:val="20"/>
          <w:szCs w:val="20"/>
          <w:color w:val="auto"/>
        </w:rPr>
      </w:pPr>
    </w:p>
    <w:p>
      <w:pPr>
        <w:ind w:left="1000" w:right="259"/>
        <w:spacing w:after="0" w:line="248" w:lineRule="auto"/>
        <w:rPr>
          <w:sz w:val="20"/>
          <w:szCs w:val="20"/>
          <w:color w:val="auto"/>
        </w:rPr>
      </w:pPr>
      <w:r>
        <w:rPr>
          <w:rFonts w:ascii="Arial" w:cs="Arial" w:eastAsia="Arial" w:hAnsi="Arial"/>
          <w:sz w:val="18"/>
          <w:szCs w:val="18"/>
          <w:color w:val="auto"/>
        </w:rPr>
        <w:t>With a significant portion of each NEO’s total compensation in equity-based incentives, NEOs have a substantial interest to ensure profitable growth of the Company and to drive long-term shareholder value. To further reinforce this focus, the Committee has established stock ownership guidelines for all NEOs. The guidelines provide that the NEOs are required to hold shares of the Company’s Common Stock with a market value equal to a multiple of each NEO’s base salary, as set forth below:</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290"/>
        </w:trPr>
        <w:tc>
          <w:tcPr>
            <w:tcW w:w="4480" w:type="dxa"/>
            <w:vAlign w:val="bottom"/>
            <w:tcBorders>
              <w:top w:val="single" w:sz="8" w:color="53C072"/>
              <w:bottom w:val="single" w:sz="8" w:color="CBECD5"/>
            </w:tcBorders>
            <w:shd w:val="clear" w:color="auto" w:fill="CBECD5"/>
          </w:tcPr>
          <w:p>
            <w:pPr>
              <w:ind w:left="60"/>
              <w:spacing w:after="0"/>
              <w:rPr>
                <w:sz w:val="20"/>
                <w:szCs w:val="20"/>
                <w:color w:val="auto"/>
              </w:rPr>
            </w:pPr>
            <w:r>
              <w:rPr>
                <w:rFonts w:ascii="Arial" w:cs="Arial" w:eastAsia="Arial" w:hAnsi="Arial"/>
                <w:sz w:val="18"/>
                <w:szCs w:val="18"/>
                <w:color w:val="404040"/>
              </w:rPr>
              <w:t>CEO</w:t>
            </w:r>
          </w:p>
        </w:tc>
        <w:tc>
          <w:tcPr>
            <w:tcW w:w="4280" w:type="dxa"/>
            <w:vAlign w:val="bottom"/>
            <w:tcBorders>
              <w:top w:val="single" w:sz="8" w:color="53C072"/>
              <w:bottom w:val="single" w:sz="8" w:color="CBECD5"/>
            </w:tcBorders>
            <w:shd w:val="clear" w:color="auto" w:fill="CBECD5"/>
          </w:tcPr>
          <w:p>
            <w:pPr>
              <w:ind w:left="2280"/>
              <w:spacing w:after="0"/>
              <w:rPr>
                <w:sz w:val="20"/>
                <w:szCs w:val="20"/>
                <w:color w:val="auto"/>
              </w:rPr>
            </w:pPr>
            <w:r>
              <w:rPr>
                <w:rFonts w:ascii="Arial" w:cs="Arial" w:eastAsia="Arial" w:hAnsi="Arial"/>
                <w:sz w:val="18"/>
                <w:szCs w:val="18"/>
                <w:color w:val="404040"/>
              </w:rPr>
              <w:t>5x base salary</w:t>
            </w:r>
          </w:p>
        </w:tc>
      </w:tr>
      <w:tr>
        <w:trPr>
          <w:trHeight w:val="230"/>
        </w:trPr>
        <w:tc>
          <w:tcPr>
            <w:tcW w:w="4480" w:type="dxa"/>
            <w:vAlign w:val="bottom"/>
          </w:tcPr>
          <w:p>
            <w:pPr>
              <w:ind w:left="60"/>
              <w:spacing w:after="0"/>
              <w:rPr>
                <w:sz w:val="20"/>
                <w:szCs w:val="20"/>
                <w:color w:val="auto"/>
              </w:rPr>
            </w:pPr>
            <w:r>
              <w:rPr>
                <w:rFonts w:ascii="Arial" w:cs="Arial" w:eastAsia="Arial" w:hAnsi="Arial"/>
                <w:sz w:val="18"/>
                <w:szCs w:val="18"/>
                <w:color w:val="404040"/>
              </w:rPr>
              <w:t>CFO and General Counsel</w:t>
            </w:r>
          </w:p>
        </w:tc>
        <w:tc>
          <w:tcPr>
            <w:tcW w:w="4280" w:type="dxa"/>
            <w:vAlign w:val="bottom"/>
          </w:tcPr>
          <w:p>
            <w:pPr>
              <w:ind w:left="2280"/>
              <w:spacing w:after="0"/>
              <w:rPr>
                <w:sz w:val="20"/>
                <w:szCs w:val="20"/>
                <w:color w:val="auto"/>
              </w:rPr>
            </w:pPr>
            <w:r>
              <w:rPr>
                <w:rFonts w:ascii="Arial" w:cs="Arial" w:eastAsia="Arial" w:hAnsi="Arial"/>
                <w:sz w:val="18"/>
                <w:szCs w:val="18"/>
                <w:color w:val="404040"/>
              </w:rPr>
              <w:t>3x base salary</w:t>
            </w:r>
          </w:p>
        </w:tc>
      </w:tr>
      <w:tr>
        <w:trPr>
          <w:trHeight w:val="27"/>
        </w:trPr>
        <w:tc>
          <w:tcPr>
            <w:tcW w:w="448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48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8"/>
                <w:szCs w:val="18"/>
                <w:color w:val="404040"/>
              </w:rPr>
              <w:t>Other Officers</w:t>
            </w:r>
          </w:p>
        </w:tc>
        <w:tc>
          <w:tcPr>
            <w:tcW w:w="4280" w:type="dxa"/>
            <w:vAlign w:val="bottom"/>
            <w:tcBorders>
              <w:bottom w:val="single" w:sz="8" w:color="53C072"/>
            </w:tcBorders>
            <w:shd w:val="clear" w:color="auto" w:fill="CBECD5"/>
          </w:tcPr>
          <w:p>
            <w:pPr>
              <w:ind w:left="2280"/>
              <w:spacing w:after="0"/>
              <w:rPr>
                <w:sz w:val="20"/>
                <w:szCs w:val="20"/>
                <w:color w:val="auto"/>
              </w:rPr>
            </w:pPr>
            <w:r>
              <w:rPr>
                <w:rFonts w:ascii="Arial" w:cs="Arial" w:eastAsia="Arial" w:hAnsi="Arial"/>
                <w:sz w:val="18"/>
                <w:szCs w:val="18"/>
                <w:color w:val="404040"/>
              </w:rPr>
              <w:t>1x base salary</w:t>
            </w:r>
          </w:p>
        </w:tc>
      </w:tr>
    </w:tbl>
    <w:p>
      <w:pPr>
        <w:spacing w:after="0" w:line="95" w:lineRule="exact"/>
        <w:rPr>
          <w:sz w:val="20"/>
          <w:szCs w:val="20"/>
          <w:color w:val="auto"/>
        </w:rPr>
      </w:pPr>
    </w:p>
    <w:p>
      <w:pPr>
        <w:ind w:left="1000" w:right="659"/>
        <w:spacing w:after="0" w:line="260" w:lineRule="auto"/>
        <w:rPr>
          <w:sz w:val="20"/>
          <w:szCs w:val="20"/>
          <w:color w:val="auto"/>
        </w:rPr>
      </w:pPr>
      <w:r>
        <w:rPr>
          <w:rFonts w:ascii="Arial" w:cs="Arial" w:eastAsia="Arial" w:hAnsi="Arial"/>
          <w:sz w:val="18"/>
          <w:szCs w:val="18"/>
          <w:color w:val="auto"/>
        </w:rPr>
        <w:t>Shares that count towards the guidelines include shares actually owned, RSUs regardless if vested, and shares acquired from the exercise of stock options.</w:t>
      </w:r>
    </w:p>
    <w:p>
      <w:pPr>
        <w:spacing w:after="0" w:line="105" w:lineRule="exact"/>
        <w:rPr>
          <w:sz w:val="20"/>
          <w:szCs w:val="20"/>
          <w:color w:val="auto"/>
        </w:rPr>
      </w:pPr>
    </w:p>
    <w:p>
      <w:pPr>
        <w:ind w:left="1000" w:right="559"/>
        <w:spacing w:after="0" w:line="248" w:lineRule="auto"/>
        <w:rPr>
          <w:sz w:val="20"/>
          <w:szCs w:val="20"/>
          <w:color w:val="auto"/>
        </w:rPr>
      </w:pPr>
      <w:r>
        <w:rPr>
          <w:rFonts w:ascii="Arial" w:cs="Arial" w:eastAsia="Arial" w:hAnsi="Arial"/>
          <w:sz w:val="18"/>
          <w:szCs w:val="18"/>
          <w:color w:val="auto"/>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July 1, 2023, all NEOs who are subject to these guidelines satisfy these requirements.</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Hedging/Pledging Policy</w:t>
      </w:r>
    </w:p>
    <w:p>
      <w:pPr>
        <w:spacing w:after="0" w:line="163" w:lineRule="exact"/>
        <w:rPr>
          <w:sz w:val="20"/>
          <w:szCs w:val="20"/>
          <w:color w:val="auto"/>
        </w:rPr>
      </w:pPr>
    </w:p>
    <w:p>
      <w:pPr>
        <w:ind w:left="1000" w:right="319"/>
        <w:spacing w:after="0" w:line="267" w:lineRule="auto"/>
        <w:rPr>
          <w:sz w:val="20"/>
          <w:szCs w:val="20"/>
          <w:color w:val="auto"/>
        </w:rPr>
      </w:pPr>
      <w:r>
        <w:rPr>
          <w:rFonts w:ascii="Arial" w:cs="Arial" w:eastAsia="Arial" w:hAnsi="Arial"/>
          <w:sz w:val="17"/>
          <w:szCs w:val="17"/>
          <w:color w:val="auto"/>
        </w:rPr>
        <w:t>The Company’s Insider Trading Policy expressly prohibits executive officers, including their family members, persons living in their household, and entities over which they exercise control, from entering into hedging or monetization transactions to hedge the economic risk associated with owning the Company’s securities. The policy similarly prohibits holding the Company’s securities in a margin account or pledging the Company’s securities as collateral for loans without advance approval from the Company’s General Counsel.</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Recoupment Policy</w:t>
      </w:r>
    </w:p>
    <w:p>
      <w:pPr>
        <w:spacing w:after="0" w:line="163" w:lineRule="exact"/>
        <w:rPr>
          <w:sz w:val="20"/>
          <w:szCs w:val="20"/>
          <w:color w:val="auto"/>
        </w:rPr>
      </w:pPr>
    </w:p>
    <w:p>
      <w:pPr>
        <w:ind w:left="1000" w:right="339"/>
        <w:spacing w:after="0" w:line="248" w:lineRule="auto"/>
        <w:rPr>
          <w:sz w:val="20"/>
          <w:szCs w:val="20"/>
          <w:color w:val="auto"/>
        </w:rPr>
      </w:pPr>
      <w:r>
        <w:rPr>
          <w:rFonts w:ascii="Arial" w:cs="Arial" w:eastAsia="Arial" w:hAnsi="Arial"/>
          <w:sz w:val="18"/>
          <w:szCs w:val="18"/>
          <w:color w:val="auto"/>
        </w:rPr>
        <w:t>Under the Company’s Incentive-Based Compensation Recoupment Policy, also known as a clawback policy, the Company is required to recoup incentive-based compensation erroneously received by any current or former executive officer in the case of a restatement of the Company’s financial results. The Company may also</w:t>
      </w:r>
    </w:p>
    <w:p>
      <w:pPr>
        <w:sectPr>
          <w:pgSz w:w="11900" w:h="16838" w:orient="portrait"/>
          <w:cols w:equalWidth="0" w:num="1">
            <w:col w:w="9879"/>
          </w:cols>
          <w:pgMar w:left="580" w:top="90" w:right="1440" w:bottom="1440" w:gutter="0" w:footer="0" w:header="0"/>
        </w:sectPr>
      </w:pPr>
    </w:p>
    <w:p>
      <w:pPr>
        <w:spacing w:after="0" w:line="1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80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94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4"/>
        </w:trPr>
        <w:tc>
          <w:tcPr>
            <w:tcW w:w="48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8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seek to recover all or part of incentive-based compensation if a current or former executive officer: (i) engaged in misconduct, (ii) knew or should have known about misconduct and failed to report it to the Company, or (iii) was in a position, including a supervisory role, to reasonably prevent the misconduct. Further, the Company is authorized to recover compensation paid to any current or former employee to the extent required by law or applicable exchange’s listing standards. For purposes of this policy, incentive-based compensation includes any cash or stock-based award which is granted, earned, or vested based wholly or in part upon the attainment of financial reporting measures, including measures derived from financial reporting measures, stock price, and total shareholder returns. The policy defines misconduct as willfully or grossly negligent conduct or omission resulting in, or constituting, a criminal conviction (including a guilty plea, plea of nolo contendere, plea of no contest, or other similar admission of guilt), theft, fraud, material violation of the Company’s Code of Conduct, material reputational or financial harm to the Company, or material responsibility for the Company issuing a restatement of its financial results. In determining whether to take action in the case of misconduct, the Independent Directors may consider: (i) any benefit received by the executive officer, (ii) the seriousness of the misconduct, (iii) the impact of the misconduct on the Company, and (iv) any other factors that the Independent Directors consider relevant. The Company does not reimburse executive officers for recouped incentive-based compensation or indemnify or insure executive officers in connection with recoupment of incentive-based compensation under this policy.</w:t>
      </w:r>
    </w:p>
    <w:p>
      <w:pPr>
        <w:spacing w:after="0" w:line="11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Equity Grant Practices</w:t>
      </w:r>
    </w:p>
    <w:p>
      <w:pPr>
        <w:spacing w:after="0" w:line="163" w:lineRule="exact"/>
        <w:rPr>
          <w:sz w:val="20"/>
          <w:szCs w:val="20"/>
          <w:color w:val="auto"/>
        </w:rPr>
      </w:pPr>
    </w:p>
    <w:p>
      <w:pPr>
        <w:ind w:left="1000" w:right="199"/>
        <w:spacing w:after="0" w:line="272" w:lineRule="auto"/>
        <w:rPr>
          <w:sz w:val="20"/>
          <w:szCs w:val="20"/>
          <w:color w:val="auto"/>
        </w:rPr>
      </w:pPr>
      <w:r>
        <w:rPr>
          <w:rFonts w:ascii="Arial" w:cs="Arial" w:eastAsia="Arial" w:hAnsi="Arial"/>
          <w:sz w:val="17"/>
          <w:szCs w:val="17"/>
          <w:color w:val="auto"/>
        </w:rPr>
        <w:t>Equity incentive compensation decisions are generally made at the Board’s or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compensation may be granted in connection with a new hire or a promotion, in which case equity compensation may be granted at the Compensation Committee meeting at or about the time of hiring or promotion. Grants are made without regard to anticipated earnings or major announcements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146685</wp:posOffset>
            </wp:positionV>
            <wp:extent cx="5554980" cy="685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34" w:lineRule="exact"/>
        <w:rPr>
          <w:sz w:val="20"/>
          <w:szCs w:val="20"/>
          <w:color w:val="auto"/>
        </w:rPr>
      </w:pPr>
    </w:p>
    <w:p>
      <w:pPr>
        <w:ind w:left="2020"/>
        <w:spacing w:after="0"/>
        <w:rPr>
          <w:sz w:val="20"/>
          <w:szCs w:val="20"/>
          <w:color w:val="auto"/>
        </w:rPr>
      </w:pPr>
      <w:r>
        <w:rPr>
          <w:rFonts w:ascii="Arial" w:cs="Arial" w:eastAsia="Arial" w:hAnsi="Arial"/>
          <w:sz w:val="40"/>
          <w:szCs w:val="40"/>
          <w:b w:val="1"/>
          <w:bCs w:val="1"/>
          <w:color w:val="FEFEFE"/>
        </w:rPr>
        <w:t>COMPENSATION AND LEADERSHIP</w:t>
      </w:r>
    </w:p>
    <w:p>
      <w:pPr>
        <w:spacing w:after="0" w:line="63" w:lineRule="exact"/>
        <w:rPr>
          <w:sz w:val="20"/>
          <w:szCs w:val="20"/>
          <w:color w:val="auto"/>
        </w:rPr>
      </w:pPr>
    </w:p>
    <w:p>
      <w:pPr>
        <w:ind w:left="1800"/>
        <w:spacing w:after="0"/>
        <w:rPr>
          <w:sz w:val="20"/>
          <w:szCs w:val="20"/>
          <w:color w:val="auto"/>
        </w:rPr>
      </w:pPr>
      <w:r>
        <w:rPr>
          <w:rFonts w:ascii="Arial" w:cs="Arial" w:eastAsia="Arial" w:hAnsi="Arial"/>
          <w:sz w:val="40"/>
          <w:szCs w:val="40"/>
          <w:b w:val="1"/>
          <w:bCs w:val="1"/>
          <w:color w:val="FEFEFE"/>
        </w:rPr>
        <w:t>DEVELOPMENT COMMITTEE REPORT</w:t>
      </w:r>
      <w:r>
        <w:rPr>
          <w:rFonts w:ascii="Arial" w:cs="Arial" w:eastAsia="Arial" w:hAnsi="Arial"/>
          <w:sz w:val="17"/>
          <w:szCs w:val="17"/>
          <w:color w:val="FEFEFE"/>
        </w:rPr>
        <w:t>​</w:t>
      </w:r>
    </w:p>
    <w:p>
      <w:pPr>
        <w:spacing w:after="0" w:line="385" w:lineRule="exact"/>
        <w:rPr>
          <w:sz w:val="20"/>
          <w:szCs w:val="20"/>
          <w:color w:val="auto"/>
        </w:rPr>
      </w:pPr>
    </w:p>
    <w:p>
      <w:pPr>
        <w:ind w:left="1000" w:right="199"/>
        <w:spacing w:after="0" w:line="256" w:lineRule="auto"/>
        <w:rPr>
          <w:sz w:val="20"/>
          <w:szCs w:val="20"/>
          <w:color w:val="auto"/>
        </w:rPr>
      </w:pPr>
      <w:r>
        <w:rPr>
          <w:rFonts w:ascii="Arial" w:cs="Arial" w:eastAsia="Arial" w:hAnsi="Arial"/>
          <w:sz w:val="18"/>
          <w:szCs w:val="18"/>
          <w:color w:val="auto"/>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2023 Proxy Statement and incorporated by reference into the Company’s annual report on Form 10-K. This Report is provided by the following Independent Directors, who comprise the Committee:</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James A. Lawrence, Chair</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 Ann Jenkins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Adalio T. Sanchez</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54     </w:t>
      </w:r>
      <w:r>
        <w:rPr>
          <w:sz w:val="1"/>
          <w:szCs w:val="1"/>
          <w:color w:val="auto"/>
        </w:rPr>
        <w:drawing>
          <wp:inline distT="0" distB="0" distL="0" distR="0">
            <wp:extent cx="1242695" cy="24003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FEFEFE"/>
        </w:rPr>
        <w:t>COMPENSATION OF EXECUTIVE OFFICERS</w:t>
      </w:r>
      <w:r>
        <w:rPr>
          <w:rFonts w:ascii="Arial" w:cs="Arial" w:eastAsia="Arial" w:hAnsi="Arial"/>
          <w:sz w:val="17"/>
          <w:szCs w:val="17"/>
          <w:color w:val="FEFEFE"/>
        </w:rPr>
        <w:t>​</w:t>
      </w:r>
    </w:p>
    <w:p>
      <w:pPr>
        <w:spacing w:after="0" w:line="354" w:lineRule="exact"/>
        <w:rPr>
          <w:sz w:val="20"/>
          <w:szCs w:val="20"/>
          <w:color w:val="auto"/>
        </w:rPr>
      </w:pPr>
    </w:p>
    <w:p>
      <w:pPr>
        <w:ind w:left="1000" w:right="219"/>
        <w:spacing w:after="0" w:line="260" w:lineRule="auto"/>
        <w:rPr>
          <w:sz w:val="20"/>
          <w:szCs w:val="20"/>
          <w:color w:val="auto"/>
        </w:rPr>
      </w:pPr>
      <w:r>
        <w:rPr>
          <w:rFonts w:ascii="Arial" w:cs="Arial" w:eastAsia="Arial" w:hAnsi="Arial"/>
          <w:sz w:val="18"/>
          <w:szCs w:val="18"/>
          <w:color w:val="auto"/>
        </w:rPr>
        <w:t>The following table sets forth information concerning the compensation provided to NEOs by the Company for the years indicated.</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134620</wp:posOffset>
            </wp:positionV>
            <wp:extent cx="5554980" cy="8915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54980" cy="891540"/>
                    </a:xfrm>
                    <a:prstGeom prst="rect">
                      <a:avLst/>
                    </a:prstGeom>
                    <a:noFill/>
                  </pic:spPr>
                </pic:pic>
              </a:graphicData>
            </a:graphic>
          </wp:anchor>
        </w:drawing>
      </w:r>
    </w:p>
    <w:p>
      <w:pPr>
        <w:spacing w:after="0" w:line="202"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Change in</w:t>
      </w:r>
    </w:p>
    <w:p>
      <w:pPr>
        <w:spacing w:after="0" w:line="14"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Pension</w:t>
      </w:r>
    </w:p>
    <w:p>
      <w:pPr>
        <w:jc w:val="right"/>
        <w:ind w:right="1999"/>
        <w:spacing w:after="0"/>
        <w:rPr>
          <w:sz w:val="20"/>
          <w:szCs w:val="20"/>
          <w:color w:val="auto"/>
        </w:rPr>
      </w:pPr>
      <w:r>
        <w:rPr>
          <w:rFonts w:ascii="Arial" w:cs="Arial" w:eastAsia="Arial" w:hAnsi="Arial"/>
          <w:sz w:val="13"/>
          <w:szCs w:val="13"/>
          <w:b w:val="1"/>
          <w:bCs w:val="1"/>
          <w:color w:val="FEFEFE"/>
        </w:rPr>
        <w:t>Value and</w:t>
      </w:r>
    </w:p>
    <w:tbl>
      <w:tblPr>
        <w:tblLayout w:type="fixed"/>
        <w:tblInd w:w="980" w:type="dxa"/>
        <w:tblCellMar>
          <w:top w:w="0" w:type="dxa"/>
          <w:left w:w="0" w:type="dxa"/>
          <w:bottom w:w="0" w:type="dxa"/>
          <w:right w:w="0" w:type="dxa"/>
        </w:tblCellMar>
      </w:tblPr>
      <w:tr>
        <w:trPr>
          <w:trHeight w:val="145"/>
        </w:trPr>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Non-Equity</w:t>
            </w:r>
          </w:p>
        </w:tc>
        <w:tc>
          <w:tcPr>
            <w:tcW w:w="1060" w:type="dxa"/>
            <w:vAlign w:val="bottom"/>
          </w:tcPr>
          <w:p>
            <w:pPr>
              <w:jc w:val="right"/>
              <w:ind w:right="33"/>
              <w:spacing w:after="0" w:line="145" w:lineRule="exact"/>
              <w:rPr>
                <w:sz w:val="20"/>
                <w:szCs w:val="20"/>
                <w:color w:val="auto"/>
              </w:rPr>
            </w:pPr>
            <w:r>
              <w:rPr>
                <w:rFonts w:ascii="Arial" w:cs="Arial" w:eastAsia="Arial" w:hAnsi="Arial"/>
                <w:sz w:val="13"/>
                <w:szCs w:val="13"/>
                <w:b w:val="1"/>
                <w:bCs w:val="1"/>
                <w:color w:val="FEFEFE"/>
              </w:rPr>
              <w:t>Nonqualified</w:t>
            </w: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FEFEFE"/>
              </w:rPr>
              <w:t>Stock</w:t>
            </w:r>
          </w:p>
        </w:tc>
        <w:tc>
          <w:tcPr>
            <w:tcW w:w="6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Option</w:t>
            </w:r>
          </w:p>
        </w:tc>
        <w:tc>
          <w:tcPr>
            <w:tcW w:w="1060" w:type="dxa"/>
            <w:vAlign w:val="bottom"/>
            <w:vMerge w:val="continue"/>
          </w:tcPr>
          <w:p>
            <w:pPr>
              <w:spacing w:after="0"/>
              <w:rPr>
                <w:sz w:val="12"/>
                <w:szCs w:val="12"/>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Deferred</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FEFEFE"/>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Salary</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Bonus</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Incentive Plan</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Compensation</w:t>
            </w:r>
          </w:p>
        </w:tc>
        <w:tc>
          <w:tcPr>
            <w:tcW w:w="1080" w:type="dxa"/>
            <w:vAlign w:val="bottom"/>
            <w:vMerge w:val="continue"/>
          </w:tcPr>
          <w:p>
            <w:pPr>
              <w:spacing w:after="0"/>
              <w:rPr>
                <w:sz w:val="12"/>
                <w:szCs w:val="12"/>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b w:val="1"/>
                <w:bCs w:val="1"/>
                <w:color w:val="FEFEFE"/>
              </w:rPr>
              <w:t>Awards</w:t>
            </w:r>
          </w:p>
        </w:tc>
        <w:tc>
          <w:tcPr>
            <w:tcW w:w="640" w:type="dxa"/>
            <w:vAlign w:val="bottom"/>
          </w:tcPr>
          <w:p>
            <w:pPr>
              <w:jc w:val="right"/>
              <w:ind w:right="33"/>
              <w:spacing w:after="0"/>
              <w:rPr>
                <w:sz w:val="20"/>
                <w:szCs w:val="20"/>
                <w:color w:val="auto"/>
              </w:rPr>
            </w:pPr>
            <w:r>
              <w:rPr>
                <w:rFonts w:ascii="Arial" w:cs="Arial" w:eastAsia="Arial" w:hAnsi="Arial"/>
                <w:sz w:val="13"/>
                <w:szCs w:val="13"/>
                <w:b w:val="1"/>
                <w:bCs w:val="1"/>
                <w:color w:val="FEFEFE"/>
              </w:rPr>
              <w:t>Awards</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Compensation</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Earnings</w:t>
            </w: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FEFEFE"/>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tcPr>
          <w:p>
            <w:pPr>
              <w:ind w:left="40"/>
              <w:spacing w:after="0"/>
              <w:rPr>
                <w:sz w:val="20"/>
                <w:szCs w:val="20"/>
                <w:color w:val="auto"/>
              </w:rPr>
            </w:pPr>
            <w:r>
              <w:rPr>
                <w:rFonts w:ascii="Arial" w:cs="Arial" w:eastAsia="Arial" w:hAnsi="Arial"/>
                <w:sz w:val="13"/>
                <w:szCs w:val="13"/>
                <w:b w:val="1"/>
                <w:bCs w:val="1"/>
                <w:color w:val="FEFEFE"/>
              </w:rPr>
              <w:t>Name and Principal Position</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FEFEFE"/>
              </w:rPr>
              <w:t>Year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FEFEFE"/>
              </w:rPr>
              <w:t>($)(1)</w:t>
            </w: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b w:val="1"/>
                <w:bCs w:val="1"/>
                <w:color w:val="FEFEFE"/>
              </w:rPr>
              <w:t>($)(2)</w:t>
            </w:r>
          </w:p>
        </w:tc>
        <w:tc>
          <w:tcPr>
            <w:tcW w:w="640" w:type="dxa"/>
            <w:vAlign w:val="bottom"/>
          </w:tcPr>
          <w:p>
            <w:pPr>
              <w:jc w:val="right"/>
              <w:ind w:right="33"/>
              <w:spacing w:after="0"/>
              <w:rPr>
                <w:sz w:val="20"/>
                <w:szCs w:val="20"/>
                <w:color w:val="auto"/>
              </w:rPr>
            </w:pPr>
            <w:r>
              <w:rPr>
                <w:rFonts w:ascii="Arial" w:cs="Arial" w:eastAsia="Arial" w:hAnsi="Arial"/>
                <w:sz w:val="13"/>
                <w:szCs w:val="13"/>
                <w:b w:val="1"/>
                <w:bCs w:val="1"/>
                <w:color w:val="FEFEFE"/>
              </w:rPr>
              <w:t>($)(3)</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FEFEFE"/>
              </w:rPr>
              <w:t>($)(4)</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FEFEFE"/>
              </w:rPr>
              <w:t>($)(5)</w:t>
            </w:r>
          </w:p>
        </w:tc>
        <w:tc>
          <w:tcPr>
            <w:tcW w:w="680" w:type="dxa"/>
            <w:vAlign w:val="bottom"/>
          </w:tcPr>
          <w:p>
            <w:pPr>
              <w:jc w:val="right"/>
              <w:ind w:right="33"/>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65"/>
        </w:trPr>
        <w:tc>
          <w:tcPr>
            <w:tcW w:w="1900" w:type="dxa"/>
            <w:vAlign w:val="bottom"/>
          </w:tcPr>
          <w:p>
            <w:pPr>
              <w:ind w:left="40"/>
              <w:spacing w:after="0"/>
              <w:rPr>
                <w:sz w:val="20"/>
                <w:szCs w:val="20"/>
                <w:color w:val="auto"/>
              </w:rPr>
            </w:pPr>
            <w:r>
              <w:rPr>
                <w:rFonts w:ascii="Arial" w:cs="Arial" w:eastAsia="Arial" w:hAnsi="Arial"/>
                <w:sz w:val="13"/>
                <w:szCs w:val="13"/>
                <w:b w:val="1"/>
                <w:bCs w:val="1"/>
                <w:color w:val="FEFEFE"/>
              </w:rPr>
              <w:t>(a)</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FEFEFE"/>
              </w:rPr>
              <w:t>(b)</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EFEFE"/>
              </w:rPr>
              <w:t>(c)</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FEFEFE"/>
              </w:rPr>
              <w:t>(d)</w:t>
            </w:r>
          </w:p>
        </w:tc>
        <w:tc>
          <w:tcPr>
            <w:tcW w:w="8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FEFEFE"/>
              </w:rPr>
              <w:t>(e)</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FEFEFE"/>
              </w:rPr>
              <w:t>(f)</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FEFEFE"/>
              </w:rPr>
              <w:t>(g)</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FEFEFE"/>
              </w:rPr>
              <w:t>(h)</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FEFEFE"/>
              </w:rPr>
              <w:t>(i)</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FEFEFE"/>
              </w:rPr>
              <w:t>(j)</w:t>
            </w:r>
          </w:p>
        </w:tc>
        <w:tc>
          <w:tcPr>
            <w:tcW w:w="0" w:type="dxa"/>
            <w:vAlign w:val="bottom"/>
          </w:tcPr>
          <w:p>
            <w:pPr>
              <w:spacing w:after="0"/>
              <w:rPr>
                <w:sz w:val="1"/>
                <w:szCs w:val="1"/>
                <w:color w:val="auto"/>
              </w:rPr>
            </w:pPr>
          </w:p>
        </w:tc>
      </w:tr>
      <w:tr>
        <w:trPr>
          <w:trHeight w:val="189"/>
        </w:trPr>
        <w:tc>
          <w:tcPr>
            <w:tcW w:w="1900" w:type="dxa"/>
            <w:vAlign w:val="bottom"/>
          </w:tcPr>
          <w:p>
            <w:pPr>
              <w:ind w:left="40"/>
              <w:spacing w:after="0"/>
              <w:rPr>
                <w:sz w:val="20"/>
                <w:szCs w:val="20"/>
                <w:color w:val="auto"/>
              </w:rPr>
            </w:pPr>
            <w:r>
              <w:rPr>
                <w:rFonts w:ascii="Arial" w:cs="Arial" w:eastAsia="Arial" w:hAnsi="Arial"/>
                <w:sz w:val="13"/>
                <w:szCs w:val="13"/>
                <w:color w:val="auto"/>
              </w:rPr>
              <w:t>Philip R. Gallagher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2023 1,150,000</w:t>
            </w:r>
          </w:p>
        </w:tc>
        <w:tc>
          <w:tcPr>
            <w:tcW w:w="560" w:type="dxa"/>
            <w:vAlign w:val="bottom"/>
          </w:tcPr>
          <w:p>
            <w:pPr>
              <w:spacing w:after="0"/>
              <w:rPr>
                <w:sz w:val="16"/>
                <w:szCs w:val="16"/>
                <w:color w:val="auto"/>
              </w:rPr>
            </w:pPr>
          </w:p>
        </w:tc>
        <w:tc>
          <w:tcPr>
            <w:tcW w:w="740" w:type="dxa"/>
            <w:vAlign w:val="bottom"/>
            <w:gridSpan w:val="2"/>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6,078,268</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2,432,526</w:t>
            </w:r>
          </w:p>
        </w:tc>
        <w:tc>
          <w:tcPr>
            <w:tcW w:w="1060" w:type="dxa"/>
            <w:vAlign w:val="bottom"/>
          </w:tcPr>
          <w:p>
            <w:pPr>
              <w:jc w:val="right"/>
              <w:spacing w:after="0"/>
              <w:rPr>
                <w:sz w:val="20"/>
                <w:szCs w:val="20"/>
                <w:color w:val="auto"/>
              </w:rPr>
            </w:pPr>
            <w:r>
              <w:rPr>
                <w:rFonts w:ascii="Arial" w:cs="Arial" w:eastAsia="Arial" w:hAnsi="Arial"/>
                <w:sz w:val="13"/>
                <w:szCs w:val="13"/>
                <w:color w:val="auto"/>
              </w:rPr>
              <w:t>27,780</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28,253</w:t>
            </w:r>
          </w:p>
        </w:tc>
        <w:tc>
          <w:tcPr>
            <w:tcW w:w="680" w:type="dxa"/>
            <w:vAlign w:val="bottom"/>
          </w:tcPr>
          <w:p>
            <w:pPr>
              <w:jc w:val="right"/>
              <w:spacing w:after="0"/>
              <w:rPr>
                <w:sz w:val="20"/>
                <w:szCs w:val="20"/>
                <w:color w:val="auto"/>
              </w:rPr>
            </w:pPr>
            <w:r>
              <w:rPr>
                <w:rFonts w:ascii="Arial" w:cs="Arial" w:eastAsia="Arial" w:hAnsi="Arial"/>
                <w:sz w:val="13"/>
                <w:szCs w:val="13"/>
                <w:color w:val="auto"/>
              </w:rPr>
              <w:t>9,716,827</w:t>
            </w:r>
          </w:p>
        </w:tc>
        <w:tc>
          <w:tcPr>
            <w:tcW w:w="0" w:type="dxa"/>
            <w:vAlign w:val="bottom"/>
          </w:tcPr>
          <w:p>
            <w:pPr>
              <w:spacing w:after="0"/>
              <w:rPr>
                <w:sz w:val="1"/>
                <w:szCs w:val="1"/>
                <w:color w:val="auto"/>
              </w:rPr>
            </w:pPr>
          </w:p>
        </w:tc>
      </w:tr>
      <w:tr>
        <w:trPr>
          <w:trHeight w:val="189"/>
        </w:trPr>
        <w:tc>
          <w:tcPr>
            <w:tcW w:w="1900" w:type="dxa"/>
            <w:vAlign w:val="bottom"/>
          </w:tcPr>
          <w:p>
            <w:pPr>
              <w:ind w:left="40"/>
              <w:spacing w:after="0"/>
              <w:rPr>
                <w:sz w:val="20"/>
                <w:szCs w:val="20"/>
                <w:color w:val="auto"/>
              </w:rPr>
            </w:pPr>
            <w:r>
              <w:rPr>
                <w:rFonts w:ascii="Arial" w:cs="Arial" w:eastAsia="Arial" w:hAnsi="Arial"/>
                <w:sz w:val="13"/>
                <w:szCs w:val="13"/>
                <w:color w:val="auto"/>
              </w:rPr>
              <w:t>Chief Executive Officer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2022 1,100,000</w:t>
            </w:r>
          </w:p>
        </w:tc>
        <w:tc>
          <w:tcPr>
            <w:tcW w:w="560" w:type="dxa"/>
            <w:vAlign w:val="bottom"/>
          </w:tcPr>
          <w:p>
            <w:pPr>
              <w:spacing w:after="0"/>
              <w:rPr>
                <w:sz w:val="16"/>
                <w:szCs w:val="16"/>
                <w:color w:val="auto"/>
              </w:rPr>
            </w:pPr>
          </w:p>
        </w:tc>
        <w:tc>
          <w:tcPr>
            <w:tcW w:w="138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2,380,763 1,835,681</w:t>
            </w:r>
          </w:p>
        </w:tc>
        <w:tc>
          <w:tcPr>
            <w:tcW w:w="1060" w:type="dxa"/>
            <w:vAlign w:val="bottom"/>
          </w:tcPr>
          <w:p>
            <w:pPr>
              <w:jc w:val="right"/>
              <w:spacing w:after="0"/>
              <w:rPr>
                <w:sz w:val="20"/>
                <w:szCs w:val="20"/>
                <w:color w:val="auto"/>
              </w:rPr>
            </w:pPr>
            <w:r>
              <w:rPr>
                <w:rFonts w:ascii="Arial" w:cs="Arial" w:eastAsia="Arial" w:hAnsi="Arial"/>
                <w:sz w:val="13"/>
                <w:szCs w:val="13"/>
                <w:color w:val="auto"/>
              </w:rPr>
              <w:t>2,769,360</w:t>
            </w:r>
          </w:p>
        </w:tc>
        <w:tc>
          <w:tcPr>
            <w:tcW w:w="1060" w:type="dxa"/>
            <w:vAlign w:val="bottom"/>
          </w:tcPr>
          <w:p>
            <w:pPr>
              <w:jc w:val="right"/>
              <w:spacing w:after="0"/>
              <w:rPr>
                <w:sz w:val="20"/>
                <w:szCs w:val="20"/>
                <w:color w:val="auto"/>
              </w:rPr>
            </w:pPr>
            <w:r>
              <w:rPr>
                <w:rFonts w:ascii="Arial" w:cs="Arial" w:eastAsia="Arial" w:hAnsi="Arial"/>
                <w:sz w:val="13"/>
                <w:szCs w:val="13"/>
                <w:color w:val="auto"/>
              </w:rPr>
              <w:t>17,711</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26,385</w:t>
            </w:r>
          </w:p>
        </w:tc>
        <w:tc>
          <w:tcPr>
            <w:tcW w:w="680" w:type="dxa"/>
            <w:vAlign w:val="bottom"/>
          </w:tcPr>
          <w:p>
            <w:pPr>
              <w:jc w:val="right"/>
              <w:spacing w:after="0"/>
              <w:rPr>
                <w:sz w:val="20"/>
                <w:szCs w:val="20"/>
                <w:color w:val="auto"/>
              </w:rPr>
            </w:pPr>
            <w:r>
              <w:rPr>
                <w:rFonts w:ascii="Arial" w:cs="Arial" w:eastAsia="Arial" w:hAnsi="Arial"/>
                <w:sz w:val="13"/>
                <w:szCs w:val="13"/>
                <w:color w:val="auto"/>
              </w:rPr>
              <w:t>8,129,900</w:t>
            </w:r>
          </w:p>
        </w:tc>
        <w:tc>
          <w:tcPr>
            <w:tcW w:w="0" w:type="dxa"/>
            <w:vAlign w:val="bottom"/>
          </w:tcPr>
          <w:p>
            <w:pPr>
              <w:spacing w:after="0"/>
              <w:rPr>
                <w:sz w:val="1"/>
                <w:szCs w:val="1"/>
                <w:color w:val="auto"/>
              </w:rPr>
            </w:pPr>
          </w:p>
        </w:tc>
      </w:tr>
      <w:tr>
        <w:trPr>
          <w:trHeight w:val="213"/>
        </w:trPr>
        <w:tc>
          <w:tcPr>
            <w:tcW w:w="1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2021</w:t>
            </w:r>
          </w:p>
        </w:tc>
        <w:tc>
          <w:tcPr>
            <w:tcW w:w="660" w:type="dxa"/>
            <w:vAlign w:val="bottom"/>
          </w:tcPr>
          <w:p>
            <w:pPr>
              <w:jc w:val="right"/>
              <w:spacing w:after="0"/>
              <w:rPr>
                <w:sz w:val="20"/>
                <w:szCs w:val="20"/>
                <w:color w:val="auto"/>
              </w:rPr>
            </w:pPr>
            <w:r>
              <w:rPr>
                <w:rFonts w:ascii="Arial" w:cs="Arial" w:eastAsia="Arial" w:hAnsi="Arial"/>
                <w:sz w:val="13"/>
                <w:szCs w:val="13"/>
                <w:color w:val="auto"/>
              </w:rPr>
              <w:t>958,962</w:t>
            </w:r>
          </w:p>
        </w:tc>
        <w:tc>
          <w:tcPr>
            <w:tcW w:w="560" w:type="dxa"/>
            <w:vAlign w:val="bottom"/>
          </w:tcPr>
          <w:p>
            <w:pPr>
              <w:spacing w:after="0"/>
              <w:rPr>
                <w:sz w:val="18"/>
                <w:szCs w:val="18"/>
                <w:color w:val="auto"/>
              </w:rPr>
            </w:pPr>
          </w:p>
        </w:tc>
        <w:tc>
          <w:tcPr>
            <w:tcW w:w="1380" w:type="dxa"/>
            <w:vAlign w:val="bottom"/>
            <w:gridSpan w:val="3"/>
          </w:tcPr>
          <w:p>
            <w:pPr>
              <w:spacing w:after="0" w:line="213"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1,654,457 1,203,602</w:t>
            </w:r>
          </w:p>
        </w:tc>
        <w:tc>
          <w:tcPr>
            <w:tcW w:w="1060" w:type="dxa"/>
            <w:vAlign w:val="bottom"/>
          </w:tcPr>
          <w:p>
            <w:pPr>
              <w:jc w:val="right"/>
              <w:spacing w:after="0"/>
              <w:rPr>
                <w:sz w:val="20"/>
                <w:szCs w:val="20"/>
                <w:color w:val="auto"/>
              </w:rPr>
            </w:pPr>
            <w:r>
              <w:rPr>
                <w:rFonts w:ascii="Arial" w:cs="Arial" w:eastAsia="Arial" w:hAnsi="Arial"/>
                <w:sz w:val="13"/>
                <w:szCs w:val="13"/>
                <w:color w:val="auto"/>
              </w:rPr>
              <w:t>2,287,811</w:t>
            </w:r>
          </w:p>
        </w:tc>
        <w:tc>
          <w:tcPr>
            <w:tcW w:w="1060" w:type="dxa"/>
            <w:vAlign w:val="bottom"/>
          </w:tcPr>
          <w:p>
            <w:pPr>
              <w:jc w:val="right"/>
              <w:spacing w:after="0"/>
              <w:rPr>
                <w:sz w:val="20"/>
                <w:szCs w:val="20"/>
                <w:color w:val="auto"/>
              </w:rPr>
            </w:pPr>
            <w:r>
              <w:rPr>
                <w:rFonts w:ascii="Arial" w:cs="Arial" w:eastAsia="Arial" w:hAnsi="Arial"/>
                <w:sz w:val="13"/>
                <w:szCs w:val="13"/>
                <w:color w:val="auto"/>
              </w:rPr>
              <w:t>23,145</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24,010</w:t>
            </w:r>
          </w:p>
        </w:tc>
        <w:tc>
          <w:tcPr>
            <w:tcW w:w="680" w:type="dxa"/>
            <w:vAlign w:val="bottom"/>
          </w:tcPr>
          <w:p>
            <w:pPr>
              <w:jc w:val="right"/>
              <w:spacing w:after="0"/>
              <w:rPr>
                <w:sz w:val="20"/>
                <w:szCs w:val="20"/>
                <w:color w:val="auto"/>
              </w:rPr>
            </w:pPr>
            <w:r>
              <w:rPr>
                <w:rFonts w:ascii="Arial" w:cs="Arial" w:eastAsia="Arial" w:hAnsi="Arial"/>
                <w:sz w:val="13"/>
                <w:szCs w:val="13"/>
                <w:color w:val="auto"/>
              </w:rPr>
              <w:t>6,151,987</w:t>
            </w:r>
          </w:p>
        </w:tc>
        <w:tc>
          <w:tcPr>
            <w:tcW w:w="0" w:type="dxa"/>
            <w:vAlign w:val="bottom"/>
          </w:tcPr>
          <w:p>
            <w:pPr>
              <w:spacing w:after="0"/>
              <w:rPr>
                <w:sz w:val="1"/>
                <w:szCs w:val="1"/>
                <w:color w:val="auto"/>
              </w:rPr>
            </w:pPr>
          </w:p>
        </w:tc>
      </w:tr>
      <w:tr>
        <w:trPr>
          <w:trHeight w:val="178"/>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Kenneth Jacobson</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482,081</w:t>
            </w:r>
          </w:p>
        </w:tc>
        <w:tc>
          <w:tcPr>
            <w:tcW w:w="560" w:type="dxa"/>
            <w:vAlign w:val="bottom"/>
            <w:shd w:val="clear" w:color="auto" w:fill="CBECD5"/>
          </w:tcPr>
          <w:p>
            <w:pPr>
              <w:spacing w:after="0"/>
              <w:rPr>
                <w:sz w:val="15"/>
                <w:szCs w:val="15"/>
                <w:color w:val="auto"/>
              </w:rPr>
            </w:pPr>
          </w:p>
        </w:tc>
        <w:tc>
          <w:tcPr>
            <w:tcW w:w="740" w:type="dxa"/>
            <w:vAlign w:val="bottom"/>
            <w:gridSpan w:val="2"/>
            <w:shd w:val="clear" w:color="auto" w:fill="CBECD5"/>
          </w:tcPr>
          <w:p>
            <w:pPr>
              <w:spacing w:after="0" w:line="179"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1,168,888</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618,113</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16,493</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26,474</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2,312,049</w:t>
            </w:r>
          </w:p>
        </w:tc>
        <w:tc>
          <w:tcPr>
            <w:tcW w:w="0" w:type="dxa"/>
            <w:vAlign w:val="bottom"/>
          </w:tcPr>
          <w:p>
            <w:pPr>
              <w:spacing w:after="0"/>
              <w:rPr>
                <w:sz w:val="1"/>
                <w:szCs w:val="1"/>
                <w:color w:val="auto"/>
              </w:rPr>
            </w:pPr>
          </w:p>
        </w:tc>
      </w:tr>
      <w:tr>
        <w:trPr>
          <w:trHeight w:val="227"/>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Chief Financial Officer</w:t>
            </w:r>
          </w:p>
        </w:tc>
        <w:tc>
          <w:tcPr>
            <w:tcW w:w="380" w:type="dxa"/>
            <w:vAlign w:val="bottom"/>
            <w:shd w:val="clear" w:color="auto" w:fill="CBECD5"/>
          </w:tcPr>
          <w:p>
            <w:pPr>
              <w:spacing w:after="0"/>
              <w:rPr>
                <w:sz w:val="19"/>
                <w:szCs w:val="19"/>
                <w:color w:val="auto"/>
              </w:rPr>
            </w:pPr>
          </w:p>
        </w:tc>
        <w:tc>
          <w:tcPr>
            <w:tcW w:w="660" w:type="dxa"/>
            <w:vAlign w:val="bottom"/>
            <w:shd w:val="clear" w:color="auto" w:fill="CBECD5"/>
          </w:tcPr>
          <w:p>
            <w:pPr>
              <w:jc w:val="right"/>
              <w:ind w:right="553"/>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3"/>
                <w:szCs w:val="13"/>
                <w:color w:val="auto"/>
              </w:rPr>
              <w:t>Ken E. Arnold</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525,000</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888,362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555,251</w:t>
            </w:r>
          </w:p>
        </w:tc>
        <w:tc>
          <w:tcPr>
            <w:tcW w:w="1060" w:type="dxa"/>
            <w:vAlign w:val="bottom"/>
          </w:tcPr>
          <w:p>
            <w:pPr>
              <w:jc w:val="right"/>
              <w:spacing w:after="0"/>
              <w:rPr>
                <w:sz w:val="20"/>
                <w:szCs w:val="20"/>
                <w:color w:val="auto"/>
              </w:rPr>
            </w:pPr>
            <w:r>
              <w:rPr>
                <w:rFonts w:ascii="Arial" w:cs="Arial" w:eastAsia="Arial" w:hAnsi="Arial"/>
                <w:sz w:val="13"/>
                <w:szCs w:val="13"/>
                <w:color w:val="auto"/>
              </w:rPr>
              <w:t>77,903</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19,863</w:t>
            </w:r>
          </w:p>
        </w:tc>
        <w:tc>
          <w:tcPr>
            <w:tcW w:w="680" w:type="dxa"/>
            <w:vAlign w:val="bottom"/>
          </w:tcPr>
          <w:p>
            <w:pPr>
              <w:jc w:val="right"/>
              <w:spacing w:after="0"/>
              <w:rPr>
                <w:sz w:val="20"/>
                <w:szCs w:val="20"/>
                <w:color w:val="auto"/>
              </w:rPr>
            </w:pPr>
            <w:r>
              <w:rPr>
                <w:rFonts w:ascii="Arial" w:cs="Arial" w:eastAsia="Arial" w:hAnsi="Arial"/>
                <w:sz w:val="13"/>
                <w:szCs w:val="13"/>
                <w:color w:val="auto"/>
              </w:rPr>
              <w:t>2,066,379</w:t>
            </w:r>
          </w:p>
        </w:tc>
        <w:tc>
          <w:tcPr>
            <w:tcW w:w="0" w:type="dxa"/>
            <w:vAlign w:val="bottom"/>
          </w:tcPr>
          <w:p>
            <w:pPr>
              <w:spacing w:after="0"/>
              <w:rPr>
                <w:sz w:val="1"/>
                <w:szCs w:val="1"/>
                <w:color w:val="auto"/>
              </w:rPr>
            </w:pPr>
          </w:p>
        </w:tc>
      </w:tr>
      <w:tr>
        <w:trPr>
          <w:trHeight w:val="203"/>
        </w:trPr>
        <w:tc>
          <w:tcPr>
            <w:tcW w:w="1900" w:type="dxa"/>
            <w:vAlign w:val="bottom"/>
          </w:tcPr>
          <w:p>
            <w:pPr>
              <w:ind w:left="40"/>
              <w:spacing w:after="0"/>
              <w:rPr>
                <w:sz w:val="20"/>
                <w:szCs w:val="20"/>
                <w:color w:val="auto"/>
              </w:rPr>
            </w:pPr>
            <w:r>
              <w:rPr>
                <w:rFonts w:ascii="Arial" w:cs="Arial" w:eastAsia="Arial" w:hAnsi="Arial"/>
                <w:sz w:val="13"/>
                <w:szCs w:val="13"/>
                <w:color w:val="auto"/>
              </w:rPr>
              <w:t>Chief People Officer</w:t>
            </w:r>
          </w:p>
        </w:tc>
        <w:tc>
          <w:tcPr>
            <w:tcW w:w="380" w:type="dxa"/>
            <w:vAlign w:val="bottom"/>
          </w:tcPr>
          <w:p>
            <w:pPr>
              <w:jc w:val="right"/>
              <w:spacing w:after="0"/>
              <w:rPr>
                <w:sz w:val="20"/>
                <w:szCs w:val="20"/>
                <w:color w:val="auto"/>
              </w:rPr>
            </w:pPr>
            <w:r>
              <w:rPr>
                <w:rFonts w:ascii="Arial" w:cs="Arial" w:eastAsia="Arial" w:hAnsi="Arial"/>
                <w:sz w:val="13"/>
                <w:szCs w:val="13"/>
                <w:color w:val="auto"/>
              </w:rPr>
              <w:t>2022</w:t>
            </w:r>
          </w:p>
        </w:tc>
        <w:tc>
          <w:tcPr>
            <w:tcW w:w="660" w:type="dxa"/>
            <w:vAlign w:val="bottom"/>
          </w:tcPr>
          <w:p>
            <w:pPr>
              <w:jc w:val="right"/>
              <w:spacing w:after="0"/>
              <w:rPr>
                <w:sz w:val="20"/>
                <w:szCs w:val="20"/>
                <w:color w:val="auto"/>
              </w:rPr>
            </w:pPr>
            <w:r>
              <w:rPr>
                <w:rFonts w:ascii="Arial" w:cs="Arial" w:eastAsia="Arial" w:hAnsi="Arial"/>
                <w:sz w:val="13"/>
                <w:szCs w:val="13"/>
                <w:color w:val="auto"/>
              </w:rPr>
              <w:t>500,000</w:t>
            </w:r>
          </w:p>
        </w:tc>
        <w:tc>
          <w:tcPr>
            <w:tcW w:w="5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380,922</w:t>
            </w:r>
          </w:p>
        </w:tc>
        <w:tc>
          <w:tcPr>
            <w:tcW w:w="640" w:type="dxa"/>
            <w:vAlign w:val="bottom"/>
          </w:tcPr>
          <w:p>
            <w:pPr>
              <w:jc w:val="right"/>
              <w:spacing w:after="0"/>
              <w:rPr>
                <w:sz w:val="20"/>
                <w:szCs w:val="20"/>
                <w:color w:val="auto"/>
              </w:rPr>
            </w:pPr>
            <w:r>
              <w:rPr>
                <w:rFonts w:ascii="Arial" w:cs="Arial" w:eastAsia="Arial" w:hAnsi="Arial"/>
                <w:sz w:val="13"/>
                <w:szCs w:val="13"/>
                <w:color w:val="auto"/>
              </w:rPr>
              <w:t>293,706</w:t>
            </w:r>
          </w:p>
        </w:tc>
        <w:tc>
          <w:tcPr>
            <w:tcW w:w="1060" w:type="dxa"/>
            <w:vAlign w:val="bottom"/>
          </w:tcPr>
          <w:p>
            <w:pPr>
              <w:jc w:val="right"/>
              <w:spacing w:after="0"/>
              <w:rPr>
                <w:sz w:val="20"/>
                <w:szCs w:val="20"/>
                <w:color w:val="auto"/>
              </w:rPr>
            </w:pPr>
            <w:r>
              <w:rPr>
                <w:rFonts w:ascii="Arial" w:cs="Arial" w:eastAsia="Arial" w:hAnsi="Arial"/>
                <w:sz w:val="13"/>
                <w:szCs w:val="13"/>
                <w:color w:val="auto"/>
              </w:rPr>
              <w:t>587,440</w:t>
            </w:r>
          </w:p>
        </w:tc>
        <w:tc>
          <w:tcPr>
            <w:tcW w:w="1060" w:type="dxa"/>
            <w:vAlign w:val="bottom"/>
          </w:tcPr>
          <w:p>
            <w:pPr>
              <w:jc w:val="right"/>
              <w:spacing w:after="0"/>
              <w:rPr>
                <w:sz w:val="20"/>
                <w:szCs w:val="20"/>
                <w:color w:val="auto"/>
              </w:rPr>
            </w:pPr>
            <w:r>
              <w:rPr>
                <w:rFonts w:ascii="Arial" w:cs="Arial" w:eastAsia="Arial" w:hAnsi="Arial"/>
                <w:sz w:val="13"/>
                <w:szCs w:val="13"/>
                <w:color w:val="auto"/>
              </w:rPr>
              <w:t>34,433</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18,053</w:t>
            </w:r>
          </w:p>
        </w:tc>
        <w:tc>
          <w:tcPr>
            <w:tcW w:w="680" w:type="dxa"/>
            <w:vAlign w:val="bottom"/>
          </w:tcPr>
          <w:p>
            <w:pPr>
              <w:jc w:val="right"/>
              <w:spacing w:after="0"/>
              <w:rPr>
                <w:sz w:val="20"/>
                <w:szCs w:val="20"/>
                <w:color w:val="auto"/>
              </w:rPr>
            </w:pPr>
            <w:r>
              <w:rPr>
                <w:rFonts w:ascii="Arial" w:cs="Arial" w:eastAsia="Arial" w:hAnsi="Arial"/>
                <w:sz w:val="13"/>
                <w:szCs w:val="13"/>
                <w:color w:val="auto"/>
              </w:rPr>
              <w:t>1,814,554</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2021</w:t>
            </w:r>
          </w:p>
        </w:tc>
        <w:tc>
          <w:tcPr>
            <w:tcW w:w="660" w:type="dxa"/>
            <w:vAlign w:val="bottom"/>
          </w:tcPr>
          <w:p>
            <w:pPr>
              <w:jc w:val="right"/>
              <w:spacing w:after="0"/>
              <w:rPr>
                <w:sz w:val="20"/>
                <w:szCs w:val="20"/>
                <w:color w:val="auto"/>
              </w:rPr>
            </w:pPr>
            <w:r>
              <w:rPr>
                <w:rFonts w:ascii="Arial" w:cs="Arial" w:eastAsia="Arial" w:hAnsi="Arial"/>
                <w:sz w:val="13"/>
                <w:szCs w:val="13"/>
                <w:color w:val="auto"/>
              </w:rPr>
              <w:t>389,246</w:t>
            </w:r>
          </w:p>
        </w:tc>
        <w:tc>
          <w:tcPr>
            <w:tcW w:w="5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295,680</w:t>
            </w:r>
          </w:p>
        </w:tc>
        <w:tc>
          <w:tcPr>
            <w:tcW w:w="640" w:type="dxa"/>
            <w:vAlign w:val="bottom"/>
          </w:tcPr>
          <w:p>
            <w:pPr>
              <w:jc w:val="right"/>
              <w:spacing w:after="0"/>
              <w:rPr>
                <w:sz w:val="20"/>
                <w:szCs w:val="20"/>
                <w:color w:val="auto"/>
              </w:rPr>
            </w:pPr>
            <w:r>
              <w:rPr>
                <w:rFonts w:ascii="Arial" w:cs="Arial" w:eastAsia="Arial" w:hAnsi="Arial"/>
                <w:sz w:val="13"/>
                <w:szCs w:val="13"/>
                <w:color w:val="auto"/>
              </w:rPr>
              <w:t>216,410</w:t>
            </w:r>
          </w:p>
        </w:tc>
        <w:tc>
          <w:tcPr>
            <w:tcW w:w="1060" w:type="dxa"/>
            <w:vAlign w:val="bottom"/>
          </w:tcPr>
          <w:p>
            <w:pPr>
              <w:jc w:val="right"/>
              <w:spacing w:after="0"/>
              <w:rPr>
                <w:sz w:val="20"/>
                <w:szCs w:val="20"/>
                <w:color w:val="auto"/>
              </w:rPr>
            </w:pPr>
            <w:r>
              <w:rPr>
                <w:rFonts w:ascii="Arial" w:cs="Arial" w:eastAsia="Arial" w:hAnsi="Arial"/>
                <w:sz w:val="13"/>
                <w:szCs w:val="13"/>
                <w:color w:val="auto"/>
              </w:rPr>
              <w:t>440,470</w:t>
            </w:r>
          </w:p>
        </w:tc>
        <w:tc>
          <w:tcPr>
            <w:tcW w:w="1060" w:type="dxa"/>
            <w:vAlign w:val="bottom"/>
          </w:tcPr>
          <w:p>
            <w:pPr>
              <w:jc w:val="right"/>
              <w:spacing w:after="0"/>
              <w:rPr>
                <w:sz w:val="20"/>
                <w:szCs w:val="20"/>
                <w:color w:val="auto"/>
              </w:rPr>
            </w:pPr>
            <w:r>
              <w:rPr>
                <w:rFonts w:ascii="Arial" w:cs="Arial" w:eastAsia="Arial" w:hAnsi="Arial"/>
                <w:sz w:val="13"/>
                <w:szCs w:val="13"/>
                <w:color w:val="auto"/>
              </w:rPr>
              <w:t>42.850</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17,725</w:t>
            </w:r>
          </w:p>
        </w:tc>
        <w:tc>
          <w:tcPr>
            <w:tcW w:w="680" w:type="dxa"/>
            <w:vAlign w:val="bottom"/>
          </w:tcPr>
          <w:p>
            <w:pPr>
              <w:jc w:val="right"/>
              <w:spacing w:after="0"/>
              <w:rPr>
                <w:sz w:val="20"/>
                <w:szCs w:val="20"/>
                <w:color w:val="auto"/>
              </w:rPr>
            </w:pPr>
            <w:r>
              <w:rPr>
                <w:rFonts w:ascii="Arial" w:cs="Arial" w:eastAsia="Arial" w:hAnsi="Arial"/>
                <w:sz w:val="13"/>
                <w:szCs w:val="13"/>
                <w:color w:val="auto"/>
              </w:rPr>
              <w:t>1,402,381</w:t>
            </w:r>
          </w:p>
        </w:tc>
        <w:tc>
          <w:tcPr>
            <w:tcW w:w="0" w:type="dxa"/>
            <w:vAlign w:val="bottom"/>
          </w:tcPr>
          <w:p>
            <w:pPr>
              <w:spacing w:after="0"/>
              <w:rPr>
                <w:sz w:val="1"/>
                <w:szCs w:val="1"/>
                <w:color w:val="auto"/>
              </w:rPr>
            </w:pPr>
          </w:p>
        </w:tc>
      </w:tr>
      <w:tr>
        <w:trPr>
          <w:trHeight w:val="185"/>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Michael R. McCoy</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550,000</w:t>
            </w:r>
          </w:p>
        </w:tc>
        <w:tc>
          <w:tcPr>
            <w:tcW w:w="560" w:type="dxa"/>
            <w:vAlign w:val="bottom"/>
            <w:shd w:val="clear" w:color="auto" w:fill="CBECD5"/>
          </w:tcPr>
          <w:p>
            <w:pPr>
              <w:spacing w:after="0"/>
              <w:rPr>
                <w:sz w:val="16"/>
                <w:szCs w:val="16"/>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981,885</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581,691</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31,956</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187,613</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2,333,145</w:t>
            </w:r>
          </w:p>
        </w:tc>
        <w:tc>
          <w:tcPr>
            <w:tcW w:w="0" w:type="dxa"/>
            <w:vAlign w:val="bottom"/>
          </w:tcPr>
          <w:p>
            <w:pPr>
              <w:spacing w:after="0"/>
              <w:rPr>
                <w:sz w:val="1"/>
                <w:szCs w:val="1"/>
                <w:color w:val="auto"/>
              </w:rPr>
            </w:pPr>
          </w:p>
        </w:tc>
      </w:tr>
      <w:tr>
        <w:trPr>
          <w:trHeight w:val="203"/>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General Counsel and</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2022</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500,000</w:t>
            </w:r>
          </w:p>
        </w:tc>
        <w:tc>
          <w:tcPr>
            <w:tcW w:w="560" w:type="dxa"/>
            <w:vAlign w:val="bottom"/>
            <w:shd w:val="clear" w:color="auto" w:fill="CBECD5"/>
          </w:tcPr>
          <w:p>
            <w:pPr>
              <w:spacing w:after="0"/>
              <w:rPr>
                <w:sz w:val="17"/>
                <w:szCs w:val="17"/>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392,845</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302,891</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587,440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19,483</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202,270</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2,004,929</w:t>
            </w:r>
          </w:p>
        </w:tc>
        <w:tc>
          <w:tcPr>
            <w:tcW w:w="0" w:type="dxa"/>
            <w:vAlign w:val="bottom"/>
          </w:tcPr>
          <w:p>
            <w:pPr>
              <w:spacing w:after="0"/>
              <w:rPr>
                <w:sz w:val="1"/>
                <w:szCs w:val="1"/>
                <w:color w:val="auto"/>
              </w:rPr>
            </w:pPr>
          </w:p>
        </w:tc>
      </w:tr>
      <w:tr>
        <w:trPr>
          <w:trHeight w:val="227"/>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Chief Legal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2021</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437,736</w:t>
            </w:r>
          </w:p>
        </w:tc>
        <w:tc>
          <w:tcPr>
            <w:tcW w:w="560" w:type="dxa"/>
            <w:vAlign w:val="bottom"/>
            <w:shd w:val="clear" w:color="auto" w:fill="CBECD5"/>
          </w:tcPr>
          <w:p>
            <w:pPr>
              <w:spacing w:after="0"/>
              <w:rPr>
                <w:sz w:val="19"/>
                <w:szCs w:val="19"/>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319,407</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233,720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437,230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27,585</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106,153</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1,561,831</w:t>
            </w:r>
          </w:p>
        </w:tc>
        <w:tc>
          <w:tcPr>
            <w:tcW w:w="0" w:type="dxa"/>
            <w:vAlign w:val="bottom"/>
          </w:tcPr>
          <w:p>
            <w:pPr>
              <w:spacing w:after="0"/>
              <w:rPr>
                <w:sz w:val="1"/>
                <w:szCs w:val="1"/>
                <w:color w:val="auto"/>
              </w:rPr>
            </w:pPr>
          </w:p>
        </w:tc>
      </w:tr>
      <w:tr>
        <w:trPr>
          <w:trHeight w:val="192"/>
        </w:trPr>
        <w:tc>
          <w:tcPr>
            <w:tcW w:w="1900" w:type="dxa"/>
            <w:vAlign w:val="bottom"/>
          </w:tcPr>
          <w:p>
            <w:pPr>
              <w:ind w:left="40"/>
              <w:spacing w:after="0"/>
              <w:rPr>
                <w:sz w:val="20"/>
                <w:szCs w:val="20"/>
                <w:color w:val="auto"/>
              </w:rPr>
            </w:pPr>
            <w:r>
              <w:rPr>
                <w:rFonts w:ascii="Arial" w:cs="Arial" w:eastAsia="Arial" w:hAnsi="Arial"/>
                <w:sz w:val="13"/>
                <w:szCs w:val="13"/>
                <w:color w:val="auto"/>
              </w:rPr>
              <w:t>Rebeca Obregon-Jimenez</w:t>
            </w:r>
            <w:r>
              <w:rPr>
                <w:rFonts w:ascii="Arial" w:cs="Arial" w:eastAsia="Arial" w:hAnsi="Arial"/>
                <w:sz w:val="16"/>
                <w:szCs w:val="16"/>
                <w:color w:val="auto"/>
                <w:vertAlign w:val="superscript"/>
              </w:rPr>
              <w:t>(6)</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262,000</w:t>
            </w:r>
          </w:p>
        </w:tc>
        <w:tc>
          <w:tcPr>
            <w:tcW w:w="560" w:type="dxa"/>
            <w:vAlign w:val="bottom"/>
          </w:tcPr>
          <w:p>
            <w:pPr>
              <w:jc w:val="right"/>
              <w:spacing w:after="0"/>
              <w:rPr>
                <w:sz w:val="20"/>
                <w:szCs w:val="20"/>
                <w:color w:val="auto"/>
              </w:rPr>
            </w:pPr>
            <w:r>
              <w:rPr>
                <w:rFonts w:ascii="Arial" w:cs="Arial" w:eastAsia="Arial" w:hAnsi="Arial"/>
                <w:sz w:val="13"/>
                <w:szCs w:val="13"/>
                <w:color w:val="auto"/>
              </w:rPr>
              <w:t>649,375</w:t>
            </w:r>
          </w:p>
        </w:tc>
        <w:tc>
          <w:tcPr>
            <w:tcW w:w="8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524,332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274,982</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10,140</w:t>
            </w:r>
          </w:p>
        </w:tc>
        <w:tc>
          <w:tcPr>
            <w:tcW w:w="680" w:type="dxa"/>
            <w:vAlign w:val="bottom"/>
          </w:tcPr>
          <w:p>
            <w:pPr>
              <w:jc w:val="right"/>
              <w:spacing w:after="0"/>
              <w:rPr>
                <w:sz w:val="20"/>
                <w:szCs w:val="20"/>
                <w:color w:val="auto"/>
              </w:rPr>
            </w:pPr>
            <w:r>
              <w:rPr>
                <w:rFonts w:ascii="Arial" w:cs="Arial" w:eastAsia="Arial" w:hAnsi="Arial"/>
                <w:sz w:val="13"/>
                <w:szCs w:val="13"/>
                <w:color w:val="auto"/>
              </w:rPr>
              <w:t>1,720,829</w:t>
            </w:r>
          </w:p>
        </w:tc>
        <w:tc>
          <w:tcPr>
            <w:tcW w:w="0" w:type="dxa"/>
            <w:vAlign w:val="bottom"/>
          </w:tcPr>
          <w:p>
            <w:pPr>
              <w:spacing w:after="0"/>
              <w:rPr>
                <w:sz w:val="1"/>
                <w:szCs w:val="1"/>
                <w:color w:val="auto"/>
              </w:rPr>
            </w:pPr>
          </w:p>
        </w:tc>
      </w:tr>
      <w:tr>
        <w:trPr>
          <w:trHeight w:val="203"/>
        </w:trPr>
        <w:tc>
          <w:tcPr>
            <w:tcW w:w="1900" w:type="dxa"/>
            <w:vAlign w:val="bottom"/>
          </w:tcPr>
          <w:p>
            <w:pPr>
              <w:ind w:left="40"/>
              <w:spacing w:after="0"/>
              <w:rPr>
                <w:sz w:val="20"/>
                <w:szCs w:val="20"/>
                <w:color w:val="auto"/>
              </w:rPr>
            </w:pPr>
            <w:r>
              <w:rPr>
                <w:rFonts w:ascii="Arial" w:cs="Arial" w:eastAsia="Arial" w:hAnsi="Arial"/>
                <w:sz w:val="13"/>
                <w:szCs w:val="13"/>
                <w:color w:val="auto"/>
              </w:rPr>
              <w:t>SVP, Strategic Business</w:t>
            </w:r>
          </w:p>
        </w:tc>
        <w:tc>
          <w:tcPr>
            <w:tcW w:w="380" w:type="dxa"/>
            <w:vAlign w:val="bottom"/>
          </w:tcPr>
          <w:p>
            <w:pPr>
              <w:spacing w:after="0"/>
              <w:rPr>
                <w:sz w:val="17"/>
                <w:szCs w:val="17"/>
                <w:color w:val="auto"/>
              </w:rPr>
            </w:pPr>
          </w:p>
        </w:tc>
        <w:tc>
          <w:tcPr>
            <w:tcW w:w="660" w:type="dxa"/>
            <w:vAlign w:val="bottom"/>
          </w:tcPr>
          <w:p>
            <w:pPr>
              <w:jc w:val="right"/>
              <w:ind w:right="55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900" w:type="dxa"/>
            <w:vAlign w:val="bottom"/>
          </w:tcPr>
          <w:p>
            <w:pPr>
              <w:ind w:left="40"/>
              <w:spacing w:after="0"/>
              <w:rPr>
                <w:sz w:val="20"/>
                <w:szCs w:val="20"/>
                <w:color w:val="auto"/>
              </w:rPr>
            </w:pPr>
            <w:r>
              <w:rPr>
                <w:rFonts w:ascii="Arial" w:cs="Arial" w:eastAsia="Arial" w:hAnsi="Arial"/>
                <w:sz w:val="13"/>
                <w:szCs w:val="13"/>
                <w:color w:val="auto"/>
              </w:rPr>
              <w:t>Engagements and</w:t>
            </w:r>
          </w:p>
        </w:tc>
        <w:tc>
          <w:tcPr>
            <w:tcW w:w="380" w:type="dxa"/>
            <w:vAlign w:val="bottom"/>
          </w:tcPr>
          <w:p>
            <w:pPr>
              <w:spacing w:after="0"/>
              <w:rPr>
                <w:sz w:val="17"/>
                <w:szCs w:val="17"/>
                <w:color w:val="auto"/>
              </w:rPr>
            </w:pPr>
          </w:p>
        </w:tc>
        <w:tc>
          <w:tcPr>
            <w:tcW w:w="660" w:type="dxa"/>
            <w:vAlign w:val="bottom"/>
          </w:tcPr>
          <w:p>
            <w:pPr>
              <w:jc w:val="right"/>
              <w:ind w:right="55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900" w:type="dxa"/>
            <w:vAlign w:val="bottom"/>
          </w:tcPr>
          <w:p>
            <w:pPr>
              <w:ind w:left="40"/>
              <w:spacing w:after="0"/>
              <w:rPr>
                <w:sz w:val="20"/>
                <w:szCs w:val="20"/>
                <w:color w:val="auto"/>
              </w:rPr>
            </w:pPr>
            <w:r>
              <w:rPr>
                <w:rFonts w:ascii="Arial" w:cs="Arial" w:eastAsia="Arial" w:hAnsi="Arial"/>
                <w:sz w:val="13"/>
                <w:szCs w:val="13"/>
                <w:color w:val="auto"/>
              </w:rPr>
              <w:t>Supplier Management</w:t>
            </w:r>
          </w:p>
        </w:tc>
        <w:tc>
          <w:tcPr>
            <w:tcW w:w="380" w:type="dxa"/>
            <w:vAlign w:val="bottom"/>
          </w:tcPr>
          <w:p>
            <w:pPr>
              <w:spacing w:after="0"/>
              <w:rPr>
                <w:sz w:val="19"/>
                <w:szCs w:val="19"/>
                <w:color w:val="auto"/>
              </w:rPr>
            </w:pPr>
          </w:p>
        </w:tc>
        <w:tc>
          <w:tcPr>
            <w:tcW w:w="660" w:type="dxa"/>
            <w:vAlign w:val="bottom"/>
          </w:tcPr>
          <w:p>
            <w:pPr>
              <w:jc w:val="right"/>
              <w:ind w:right="55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Thomas Liguori</w:t>
            </w:r>
            <w:r>
              <w:rPr>
                <w:rFonts w:ascii="Arial" w:cs="Arial" w:eastAsia="Arial" w:hAnsi="Arial"/>
                <w:sz w:val="16"/>
                <w:szCs w:val="16"/>
                <w:color w:val="auto"/>
                <w:vertAlign w:val="superscript"/>
              </w:rPr>
              <w:t>(7)</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438,750</w:t>
            </w:r>
          </w:p>
        </w:tc>
        <w:tc>
          <w:tcPr>
            <w:tcW w:w="560" w:type="dxa"/>
            <w:vAlign w:val="bottom"/>
            <w:shd w:val="clear" w:color="auto" w:fill="CBECD5"/>
          </w:tcPr>
          <w:p>
            <w:pPr>
              <w:spacing w:after="0"/>
              <w:rPr>
                <w:sz w:val="17"/>
                <w:szCs w:val="17"/>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618,708</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128,718</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22,327</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1,208,503</w:t>
            </w:r>
          </w:p>
        </w:tc>
        <w:tc>
          <w:tcPr>
            <w:tcW w:w="0" w:type="dxa"/>
            <w:vAlign w:val="bottom"/>
          </w:tcPr>
          <w:p>
            <w:pPr>
              <w:spacing w:after="0"/>
              <w:rPr>
                <w:sz w:val="1"/>
                <w:szCs w:val="1"/>
                <w:color w:val="auto"/>
              </w:rPr>
            </w:pPr>
          </w:p>
        </w:tc>
      </w:tr>
      <w:tr>
        <w:trPr>
          <w:trHeight w:val="203"/>
        </w:trPr>
        <w:tc>
          <w:tcPr>
            <w:tcW w:w="1900" w:type="dxa"/>
            <w:vAlign w:val="bottom"/>
            <w:shd w:val="clear" w:color="auto" w:fill="CBECD5"/>
          </w:tcPr>
          <w:p>
            <w:pPr>
              <w:ind w:left="40"/>
              <w:spacing w:after="0"/>
              <w:rPr>
                <w:sz w:val="20"/>
                <w:szCs w:val="20"/>
                <w:color w:val="auto"/>
              </w:rPr>
            </w:pPr>
            <w:r>
              <w:rPr>
                <w:rFonts w:ascii="Arial" w:cs="Arial" w:eastAsia="Arial" w:hAnsi="Arial"/>
                <w:sz w:val="13"/>
                <w:szCs w:val="13"/>
                <w:color w:val="auto"/>
              </w:rPr>
              <w:t>Former Chief Financial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2022</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585,000</w:t>
            </w:r>
          </w:p>
        </w:tc>
        <w:tc>
          <w:tcPr>
            <w:tcW w:w="560" w:type="dxa"/>
            <w:vAlign w:val="bottom"/>
            <w:shd w:val="clear" w:color="auto" w:fill="CBECD5"/>
          </w:tcPr>
          <w:p>
            <w:pPr>
              <w:spacing w:after="0"/>
              <w:rPr>
                <w:sz w:val="17"/>
                <w:szCs w:val="17"/>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761,844</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587,412</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981,864</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111,328</w:t>
            </w:r>
          </w:p>
        </w:tc>
        <w:tc>
          <w:tcPr>
            <w:tcW w:w="1080" w:type="dxa"/>
            <w:vAlign w:val="bottom"/>
            <w:shd w:val="clear" w:color="auto" w:fill="CBECD5"/>
          </w:tcPr>
          <w:p>
            <w:pPr>
              <w:jc w:val="right"/>
              <w:ind w:right="13"/>
              <w:spacing w:after="0"/>
              <w:rPr>
                <w:sz w:val="20"/>
                <w:szCs w:val="20"/>
                <w:color w:val="auto"/>
              </w:rPr>
            </w:pPr>
            <w:r>
              <w:rPr>
                <w:rFonts w:ascii="Arial" w:cs="Arial" w:eastAsia="Arial" w:hAnsi="Arial"/>
                <w:sz w:val="13"/>
                <w:szCs w:val="13"/>
                <w:color w:val="auto"/>
              </w:rPr>
              <w:t>22,141</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3,049,589</w:t>
            </w:r>
          </w:p>
        </w:tc>
        <w:tc>
          <w:tcPr>
            <w:tcW w:w="0" w:type="dxa"/>
            <w:vAlign w:val="bottom"/>
          </w:tcPr>
          <w:p>
            <w:pPr>
              <w:spacing w:after="0"/>
              <w:rPr>
                <w:sz w:val="1"/>
                <w:szCs w:val="1"/>
                <w:color w:val="auto"/>
              </w:rPr>
            </w:pPr>
          </w:p>
        </w:tc>
      </w:tr>
      <w:tr>
        <w:trPr>
          <w:trHeight w:val="234"/>
        </w:trPr>
        <w:tc>
          <w:tcPr>
            <w:tcW w:w="1900" w:type="dxa"/>
            <w:vAlign w:val="bottom"/>
            <w:tcBorders>
              <w:bottom w:val="single" w:sz="8" w:color="CBECD5"/>
            </w:tcBorders>
            <w:shd w:val="clear" w:color="auto" w:fill="CBECD5"/>
          </w:tcPr>
          <w:p>
            <w:pPr>
              <w:spacing w:after="0"/>
              <w:rPr>
                <w:sz w:val="20"/>
                <w:szCs w:val="20"/>
                <w:color w:val="auto"/>
              </w:rPr>
            </w:pPr>
          </w:p>
        </w:tc>
        <w:tc>
          <w:tcPr>
            <w:tcW w:w="3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2021</w:t>
            </w:r>
          </w:p>
        </w:tc>
        <w:tc>
          <w:tcPr>
            <w:tcW w:w="6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530,000</w:t>
            </w:r>
          </w:p>
        </w:tc>
        <w:tc>
          <w:tcPr>
            <w:tcW w:w="560" w:type="dxa"/>
            <w:vAlign w:val="bottom"/>
            <w:tcBorders>
              <w:bottom w:val="single" w:sz="8" w:color="CBECD5"/>
            </w:tcBorders>
            <w:shd w:val="clear" w:color="auto" w:fill="CBECD5"/>
          </w:tcPr>
          <w:p>
            <w:pPr>
              <w:spacing w:after="0"/>
              <w:rPr>
                <w:sz w:val="20"/>
                <w:szCs w:val="20"/>
                <w:color w:val="auto"/>
              </w:rPr>
            </w:pP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BECD5"/>
            </w:tcBorders>
            <w:shd w:val="clear" w:color="auto" w:fill="CBECD5"/>
          </w:tcPr>
          <w:p>
            <w:pPr>
              <w:jc w:val="right"/>
              <w:ind w:right="13"/>
              <w:spacing w:after="0"/>
              <w:rPr>
                <w:sz w:val="20"/>
                <w:szCs w:val="20"/>
                <w:color w:val="auto"/>
              </w:rPr>
            </w:pPr>
            <w:r>
              <w:rPr>
                <w:rFonts w:ascii="Arial" w:cs="Arial" w:eastAsia="Arial" w:hAnsi="Arial"/>
                <w:sz w:val="13"/>
                <w:szCs w:val="13"/>
                <w:color w:val="auto"/>
              </w:rPr>
              <w:t>709,655</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519,347</w:t>
            </w:r>
          </w:p>
        </w:tc>
        <w:tc>
          <w:tcPr>
            <w:tcW w:w="10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858,865</w:t>
            </w:r>
          </w:p>
        </w:tc>
        <w:tc>
          <w:tcPr>
            <w:tcW w:w="10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67,297</w:t>
            </w:r>
          </w:p>
        </w:tc>
        <w:tc>
          <w:tcPr>
            <w:tcW w:w="1080" w:type="dxa"/>
            <w:vAlign w:val="bottom"/>
            <w:tcBorders>
              <w:bottom w:val="single" w:sz="8" w:color="CBECD5"/>
            </w:tcBorders>
            <w:shd w:val="clear" w:color="auto" w:fill="CBECD5"/>
          </w:tcPr>
          <w:p>
            <w:pPr>
              <w:jc w:val="right"/>
              <w:ind w:right="13"/>
              <w:spacing w:after="0"/>
              <w:rPr>
                <w:sz w:val="20"/>
                <w:szCs w:val="20"/>
                <w:color w:val="auto"/>
              </w:rPr>
            </w:pPr>
            <w:r>
              <w:rPr>
                <w:rFonts w:ascii="Arial" w:cs="Arial" w:eastAsia="Arial" w:hAnsi="Arial"/>
                <w:sz w:val="13"/>
                <w:szCs w:val="13"/>
                <w:color w:val="auto"/>
              </w:rPr>
              <w:t>24,608</w:t>
            </w:r>
          </w:p>
        </w:tc>
        <w:tc>
          <w:tcPr>
            <w:tcW w:w="6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2,709,772</w:t>
            </w:r>
          </w:p>
        </w:tc>
        <w:tc>
          <w:tcPr>
            <w:tcW w:w="0" w:type="dxa"/>
            <w:vAlign w:val="bottom"/>
          </w:tcPr>
          <w:p>
            <w:pPr>
              <w:spacing w:after="0"/>
              <w:rPr>
                <w:sz w:val="1"/>
                <w:szCs w:val="1"/>
                <w:color w:val="auto"/>
              </w:rPr>
            </w:pPr>
          </w:p>
        </w:tc>
      </w:tr>
      <w:tr>
        <w:trPr>
          <w:trHeight w:val="27"/>
        </w:trPr>
        <w:tc>
          <w:tcPr>
            <w:tcW w:w="1900" w:type="dxa"/>
            <w:vAlign w:val="bottom"/>
            <w:shd w:val="clear" w:color="auto" w:fill="53C072"/>
          </w:tcPr>
          <w:p>
            <w:pPr>
              <w:spacing w:after="0"/>
              <w:rPr>
                <w:sz w:val="2"/>
                <w:szCs w:val="2"/>
                <w:color w:val="auto"/>
              </w:rPr>
            </w:pPr>
          </w:p>
        </w:tc>
        <w:tc>
          <w:tcPr>
            <w:tcW w:w="380" w:type="dxa"/>
            <w:vAlign w:val="bottom"/>
            <w:shd w:val="clear" w:color="auto" w:fill="53C072"/>
          </w:tcPr>
          <w:p>
            <w:pPr>
              <w:spacing w:after="0"/>
              <w:rPr>
                <w:sz w:val="2"/>
                <w:szCs w:val="2"/>
                <w:color w:val="auto"/>
              </w:rPr>
            </w:pPr>
          </w:p>
        </w:tc>
        <w:tc>
          <w:tcPr>
            <w:tcW w:w="660" w:type="dxa"/>
            <w:vAlign w:val="bottom"/>
            <w:shd w:val="clear" w:color="auto" w:fill="53C072"/>
          </w:tcPr>
          <w:p>
            <w:pPr>
              <w:spacing w:after="0"/>
              <w:rPr>
                <w:sz w:val="2"/>
                <w:szCs w:val="2"/>
                <w:color w:val="auto"/>
              </w:rPr>
            </w:pPr>
          </w:p>
        </w:tc>
        <w:tc>
          <w:tcPr>
            <w:tcW w:w="560" w:type="dxa"/>
            <w:vAlign w:val="bottom"/>
            <w:shd w:val="clear" w:color="auto" w:fill="53C072"/>
          </w:tcPr>
          <w:p>
            <w:pPr>
              <w:spacing w:after="0"/>
              <w:rPr>
                <w:sz w:val="2"/>
                <w:szCs w:val="2"/>
                <w:color w:val="auto"/>
              </w:rPr>
            </w:pPr>
          </w:p>
        </w:tc>
        <w:tc>
          <w:tcPr>
            <w:tcW w:w="80" w:type="dxa"/>
            <w:vAlign w:val="bottom"/>
            <w:shd w:val="clear" w:color="auto" w:fill="53C072"/>
          </w:tcPr>
          <w:p>
            <w:pPr>
              <w:spacing w:after="0"/>
              <w:rPr>
                <w:sz w:val="2"/>
                <w:szCs w:val="2"/>
                <w:color w:val="auto"/>
              </w:rPr>
            </w:pPr>
          </w:p>
        </w:tc>
        <w:tc>
          <w:tcPr>
            <w:tcW w:w="660" w:type="dxa"/>
            <w:vAlign w:val="bottom"/>
            <w:shd w:val="clear" w:color="auto" w:fill="53C072"/>
          </w:tcPr>
          <w:p>
            <w:pPr>
              <w:spacing w:after="0"/>
              <w:rPr>
                <w:sz w:val="2"/>
                <w:szCs w:val="2"/>
                <w:color w:val="auto"/>
              </w:rPr>
            </w:pPr>
          </w:p>
        </w:tc>
        <w:tc>
          <w:tcPr>
            <w:tcW w:w="640" w:type="dxa"/>
            <w:vAlign w:val="bottom"/>
            <w:shd w:val="clear" w:color="auto" w:fill="53C072"/>
          </w:tcPr>
          <w:p>
            <w:pPr>
              <w:spacing w:after="0"/>
              <w:rPr>
                <w:sz w:val="2"/>
                <w:szCs w:val="2"/>
                <w:color w:val="auto"/>
              </w:rPr>
            </w:pPr>
          </w:p>
        </w:tc>
        <w:tc>
          <w:tcPr>
            <w:tcW w:w="1060" w:type="dxa"/>
            <w:vAlign w:val="bottom"/>
            <w:shd w:val="clear" w:color="auto" w:fill="53C072"/>
          </w:tcPr>
          <w:p>
            <w:pPr>
              <w:spacing w:after="0"/>
              <w:rPr>
                <w:sz w:val="2"/>
                <w:szCs w:val="2"/>
                <w:color w:val="auto"/>
              </w:rPr>
            </w:pPr>
          </w:p>
        </w:tc>
        <w:tc>
          <w:tcPr>
            <w:tcW w:w="1060" w:type="dxa"/>
            <w:vAlign w:val="bottom"/>
            <w:shd w:val="clear" w:color="auto" w:fill="53C072"/>
          </w:tcPr>
          <w:p>
            <w:pPr>
              <w:spacing w:after="0"/>
              <w:rPr>
                <w:sz w:val="2"/>
                <w:szCs w:val="2"/>
                <w:color w:val="auto"/>
              </w:rPr>
            </w:pPr>
          </w:p>
        </w:tc>
        <w:tc>
          <w:tcPr>
            <w:tcW w:w="1080" w:type="dxa"/>
            <w:vAlign w:val="bottom"/>
            <w:shd w:val="clear" w:color="auto" w:fill="53C072"/>
          </w:tcPr>
          <w:p>
            <w:pPr>
              <w:spacing w:after="0"/>
              <w:rPr>
                <w:sz w:val="2"/>
                <w:szCs w:val="2"/>
                <w:color w:val="auto"/>
              </w:rPr>
            </w:pPr>
          </w:p>
        </w:tc>
        <w:tc>
          <w:tcPr>
            <w:tcW w:w="680" w:type="dxa"/>
            <w:vAlign w:val="bottom"/>
            <w:shd w:val="clear" w:color="auto" w:fill="53C07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780" w:right="159" w:hanging="718"/>
        <w:spacing w:after="0" w:line="254"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hire, Ms. Obregon-Jimenez received a one-time cash hiring bonus of $230,000, of which 50% was paid at time of hire and 50% will be paid after one year of the hiring date (“Hiring Bonus”). If she voluntarily terminates her employment during the first year, 100% of the Hiring Bonus previously paid must be repaid. If she terminates during the second year, 50% of the Hiring Bonus previously paid must be repaid, prorated by month. In addition, Ms. Obregon-Jimenez received a one-time cash bonus of $534,375 to cover an anticipated cash bonus forfeited from her prior employer (“Cash Bonus”). If she voluntarily terminates her employment within two years, a prorated share of the Cash Bonus previously paid must be repaid.</w:t>
      </w:r>
    </w:p>
    <w:p>
      <w:pPr>
        <w:spacing w:after="0" w:line="110" w:lineRule="exact"/>
        <w:rPr>
          <w:rFonts w:ascii="Arial" w:cs="Arial" w:eastAsia="Arial" w:hAnsi="Arial"/>
          <w:sz w:val="18"/>
          <w:szCs w:val="18"/>
          <w:color w:val="auto"/>
        </w:rPr>
      </w:pPr>
    </w:p>
    <w:p>
      <w:pPr>
        <w:ind w:left="1780" w:right="159" w:hanging="718"/>
        <w:spacing w:after="0" w:line="252"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reflect the grant date fair value of awards of RSUs and PSUs, computed in accordance with FASB ASC Topic 718, excluding the effect of estimated forfeitures and dividends expected to be paid during the vesting period. The grant date fair value of RSUs awarded to each participating NEO in fiscal 2023 is as follows: Mr. Gallagher — $3,080,867; Mr. Jacobson — $592,449; Mr. Arnold —  $450,301; Mr. McCoy — $497,684; and Ms. Obregon-Jimenez — $524,332.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2023, the grant date fair value of the PSUs awarded to each participating NEO is as follows: Mr. Gallagher — $2,997,401; Mr. Jacobson — $576,439; Mr. Arnold — $438,061 and Mr. McCoy — $484,201. Assuming the maximum payout of</w:t>
      </w:r>
    </w:p>
    <w:p>
      <w:pPr>
        <w:sectPr>
          <w:pgSz w:w="11900" w:h="16838" w:orient="portrait"/>
          <w:cols w:equalWidth="0" w:num="1">
            <w:col w:w="9879"/>
          </w:cols>
          <w:pgMar w:left="580" w:top="90" w:right="1440" w:bottom="1440" w:gutter="0" w:footer="0" w:header="0"/>
        </w:sectPr>
      </w:pPr>
    </w:p>
    <w:p>
      <w:pPr>
        <w:spacing w:after="0" w:line="16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4"/>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780" w:right="259"/>
        <w:spacing w:after="0" w:line="267" w:lineRule="auto"/>
        <w:rPr>
          <w:sz w:val="20"/>
          <w:szCs w:val="20"/>
          <w:color w:val="auto"/>
        </w:rPr>
      </w:pPr>
      <w:r>
        <w:rPr>
          <w:rFonts w:ascii="Arial" w:cs="Arial" w:eastAsia="Arial" w:hAnsi="Arial"/>
          <w:sz w:val="17"/>
          <w:szCs w:val="17"/>
          <w:color w:val="auto"/>
        </w:rPr>
        <w:t>PSUs granted in fiscal 2023 is achieved, the grant date fair value of such awards would be for each participating NEO as follows: Mr. Gallagher — $5,994,802; Mr. Jacobson — $1,152,878; Mr. Arnold — $876,122 and Mr. McCoy — $968,401. Ms. Obregon-Jimenez was not granted PSU awards during fiscal 2023. Mr. Liguori was not granted RSU or PSU awards during fiscal year 2023.</w:t>
      </w:r>
    </w:p>
    <w:p>
      <w:pPr>
        <w:spacing w:after="0" w:line="89" w:lineRule="exact"/>
        <w:rPr>
          <w:sz w:val="20"/>
          <w:szCs w:val="20"/>
          <w:color w:val="auto"/>
        </w:rPr>
      </w:pPr>
    </w:p>
    <w:p>
      <w:pPr>
        <w:ind w:left="1780" w:right="159" w:hanging="718"/>
        <w:spacing w:after="0" w:line="256" w:lineRule="auto"/>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were no stock options granted during fiscal year 2023. For fiscal years 2022 and 2021, the amounts reflect the grant date fair values for stock option awards calculated using the Black-Scholes option pricing model. The amounts included in these columns relate to awards made in the fiscal year and reflect the aggregate grant date fair value computed in accordance with FASB ASC Topic 718 and do not correspond to the actual amounts that will be realized by the NEOs.</w:t>
      </w:r>
    </w:p>
    <w:p>
      <w:pPr>
        <w:spacing w:after="0" w:line="97" w:lineRule="exact"/>
        <w:rPr>
          <w:rFonts w:ascii="Arial" w:cs="Arial" w:eastAsia="Arial" w:hAnsi="Arial"/>
          <w:sz w:val="18"/>
          <w:szCs w:val="18"/>
          <w:color w:val="auto"/>
        </w:rPr>
      </w:pPr>
    </w:p>
    <w:p>
      <w:pPr>
        <w:ind w:left="1780" w:right="239" w:hanging="718"/>
        <w:spacing w:after="0" w:line="270" w:lineRule="auto"/>
        <w:tabs>
          <w:tab w:leader="none" w:pos="1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Amounts include the net changes in the actuarial present value of accumulated benefits under the Company’s qualified and nonqualified retirement plans. For fiscal 2023, the increase in the actuarial present value of accumulated benefits under the Company’s qualified plan was as follows:</w:t>
      </w:r>
    </w:p>
    <w:p>
      <w:pPr>
        <w:ind w:left="1780" w:right="459"/>
        <w:spacing w:after="0" w:line="250" w:lineRule="auto"/>
        <w:rPr>
          <w:rFonts w:ascii="Arial" w:cs="Arial" w:eastAsia="Arial" w:hAnsi="Arial"/>
          <w:sz w:val="17"/>
          <w:szCs w:val="17"/>
          <w:color w:val="auto"/>
        </w:rPr>
      </w:pPr>
      <w:r>
        <w:rPr>
          <w:rFonts w:ascii="Arial" w:cs="Arial" w:eastAsia="Arial" w:hAnsi="Arial"/>
          <w:sz w:val="18"/>
          <w:szCs w:val="18"/>
          <w:color w:val="auto"/>
        </w:rPr>
        <w:t>Mr. Gallagher  —  $27,780; Mr. Jacobson  —  $3,640; Mr. Arnold — $27,465; Mr. McCoy — $5,381 and Mr. Liguori — $18,203. For fiscal 2023, the increase in the actuarial present value of accumulated benefits under the Company’s nonqualified retirement plans was as follows:</w:t>
      </w:r>
    </w:p>
    <w:p>
      <w:pPr>
        <w:spacing w:after="0" w:line="1" w:lineRule="exact"/>
        <w:rPr>
          <w:rFonts w:ascii="Arial" w:cs="Arial" w:eastAsia="Arial" w:hAnsi="Arial"/>
          <w:sz w:val="17"/>
          <w:szCs w:val="17"/>
          <w:color w:val="auto"/>
        </w:rPr>
      </w:pPr>
    </w:p>
    <w:p>
      <w:pPr>
        <w:ind w:left="1780" w:right="259"/>
        <w:spacing w:after="0" w:line="252" w:lineRule="auto"/>
        <w:rPr>
          <w:rFonts w:ascii="Arial" w:cs="Arial" w:eastAsia="Arial" w:hAnsi="Arial"/>
          <w:sz w:val="17"/>
          <w:szCs w:val="17"/>
          <w:color w:val="auto"/>
        </w:rPr>
      </w:pPr>
      <w:r>
        <w:rPr>
          <w:rFonts w:ascii="Arial" w:cs="Arial" w:eastAsia="Arial" w:hAnsi="Arial"/>
          <w:sz w:val="18"/>
          <w:szCs w:val="18"/>
          <w:color w:val="auto"/>
        </w:rPr>
        <w:t>Mr. Jacobson  —  $12,853; Mr. Arnold  —  $50,438; Mr. McCoy  —  $26,575; and Mr. Liguori  —   $110,515. Since Mr. Gallagher was a participant in the SERP, he is not also a participant in the Company’s nonqualified retirement plan. Mr. Gallagher received his final benefit payment under the SERP in fiscal 2023. Since Ms. Obregon-Jimenez does not have the requisite one year of service, she is not a participant in either the qualified or nonqualified retirement plans at the end of fiscal 2023.</w:t>
      </w:r>
    </w:p>
    <w:p>
      <w:pPr>
        <w:spacing w:after="0" w:line="101" w:lineRule="exact"/>
        <w:rPr>
          <w:rFonts w:ascii="Arial" w:cs="Arial" w:eastAsia="Arial" w:hAnsi="Arial"/>
          <w:sz w:val="17"/>
          <w:szCs w:val="17"/>
          <w:color w:val="auto"/>
        </w:rPr>
      </w:pPr>
    </w:p>
    <w:p>
      <w:pPr>
        <w:jc w:val="both"/>
        <w:ind w:left="1780" w:right="339" w:hanging="718"/>
        <w:spacing w:after="0" w:line="268" w:lineRule="auto"/>
        <w:tabs>
          <w:tab w:leader="none" w:pos="1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Amounts include (a) expenses associated with the Company’s automobile program for each of the NEOs, and (b) the cost of annual physical exams. For Mr. McCoy, the amount for fiscal year 2023 includes $158,906 for tax equalization relating to his 2020 and 2021 tax returns in connection with his temporary assignment in Belgium and $28,234 for automobile related expense. For</w:t>
      </w:r>
    </w:p>
    <w:p>
      <w:pPr>
        <w:spacing w:after="0" w:line="2" w:lineRule="exact"/>
        <w:rPr>
          <w:rFonts w:ascii="Arial" w:cs="Arial" w:eastAsia="Arial" w:hAnsi="Arial"/>
          <w:sz w:val="17"/>
          <w:szCs w:val="17"/>
          <w:color w:val="auto"/>
        </w:rPr>
      </w:pPr>
    </w:p>
    <w:p>
      <w:pPr>
        <w:ind w:left="1780" w:right="179"/>
        <w:spacing w:after="0" w:line="256" w:lineRule="auto"/>
        <w:rPr>
          <w:rFonts w:ascii="Arial" w:cs="Arial" w:eastAsia="Arial" w:hAnsi="Arial"/>
          <w:sz w:val="17"/>
          <w:szCs w:val="17"/>
          <w:color w:val="auto"/>
        </w:rPr>
      </w:pPr>
      <w:r>
        <w:rPr>
          <w:rFonts w:ascii="Arial" w:cs="Arial" w:eastAsia="Arial" w:hAnsi="Arial"/>
          <w:sz w:val="18"/>
          <w:szCs w:val="18"/>
          <w:color w:val="auto"/>
        </w:rPr>
        <w:t>Mr. Jacobson, the amount for fiscal year 2023 includes $25,983 for auto related expense. None of the perquisites and personal benefits for the other NEOs exceeded the greater of $25,000 or 10% of the total amount of their benefits.</w:t>
      </w:r>
    </w:p>
    <w:p>
      <w:pPr>
        <w:spacing w:after="0" w:line="95" w:lineRule="exact"/>
        <w:rPr>
          <w:rFonts w:ascii="Arial" w:cs="Arial" w:eastAsia="Arial" w:hAnsi="Arial"/>
          <w:sz w:val="17"/>
          <w:szCs w:val="17"/>
          <w:color w:val="auto"/>
        </w:rPr>
      </w:pPr>
    </w:p>
    <w:p>
      <w:pPr>
        <w:ind w:left="1780" w:right="399" w:hanging="718"/>
        <w:spacing w:after="0" w:line="275" w:lineRule="auto"/>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Ms. Obregon-Jimenez, her salary and non-equity incentive compensation are prorated for the period in fiscal 2023 during which she was employed by the Company.</w:t>
      </w:r>
    </w:p>
    <w:p>
      <w:pPr>
        <w:spacing w:after="0" w:line="79" w:lineRule="exact"/>
        <w:rPr>
          <w:rFonts w:ascii="Arial" w:cs="Arial" w:eastAsia="Arial" w:hAnsi="Arial"/>
          <w:sz w:val="18"/>
          <w:szCs w:val="18"/>
          <w:color w:val="auto"/>
        </w:rPr>
      </w:pPr>
    </w:p>
    <w:p>
      <w:pPr>
        <w:ind w:left="1780" w:right="899" w:hanging="718"/>
        <w:spacing w:after="0" w:line="275" w:lineRule="auto"/>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Liguori transitioned from CFO, effective September 6, 2022, to a senior advisor through March 31, 2023.</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EQUITY COMPENSATION PLAN INFORMATION</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certain equity compensation plan information as of July 1, 2023:</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4580" w:type="dxa"/>
            <w:vAlign w:val="bottom"/>
            <w:shd w:val="clear" w:color="auto" w:fill="53C072"/>
          </w:tcPr>
          <w:p>
            <w:pPr>
              <w:spacing w:after="0"/>
              <w:rPr>
                <w:sz w:val="16"/>
                <w:szCs w:val="16"/>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Number of</w:t>
            </w:r>
          </w:p>
        </w:tc>
        <w:tc>
          <w:tcPr>
            <w:tcW w:w="1200" w:type="dxa"/>
            <w:vAlign w:val="bottom"/>
            <w:shd w:val="clear" w:color="auto" w:fill="53C072"/>
          </w:tcPr>
          <w:p>
            <w:pPr>
              <w:spacing w:after="0"/>
              <w:rPr>
                <w:sz w:val="16"/>
                <w:szCs w:val="16"/>
                <w:color w:val="auto"/>
              </w:rPr>
            </w:pPr>
          </w:p>
        </w:tc>
        <w:tc>
          <w:tcPr>
            <w:tcW w:w="1460" w:type="dxa"/>
            <w:vAlign w:val="bottom"/>
            <w:shd w:val="clear" w:color="auto" w:fill="53C072"/>
          </w:tcPr>
          <w:p>
            <w:pPr>
              <w:spacing w:after="0"/>
              <w:rPr>
                <w:sz w:val="16"/>
                <w:szCs w:val="16"/>
                <w:color w:val="auto"/>
              </w:rPr>
            </w:pP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Securities</w:t>
            </w:r>
          </w:p>
        </w:tc>
        <w:tc>
          <w:tcPr>
            <w:tcW w:w="1200" w:type="dxa"/>
            <w:vAlign w:val="bottom"/>
            <w:shd w:val="clear" w:color="auto" w:fill="53C072"/>
          </w:tcPr>
          <w:p>
            <w:pPr>
              <w:spacing w:after="0"/>
              <w:rPr>
                <w:sz w:val="14"/>
                <w:szCs w:val="14"/>
                <w:color w:val="auto"/>
              </w:rPr>
            </w:pP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Number of</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to be Issued</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Weighted-</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Securities</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Upon</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Average</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Remaining</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Exercise of</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 Price of</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Available for</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Outstanding</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Outstanding</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Future Issuance</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Options,</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Options,</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Under Equity</w:t>
            </w:r>
          </w:p>
        </w:tc>
      </w:tr>
      <w:tr>
        <w:trPr>
          <w:trHeight w:val="162"/>
        </w:trPr>
        <w:tc>
          <w:tcPr>
            <w:tcW w:w="4580" w:type="dxa"/>
            <w:vAlign w:val="bottom"/>
            <w:shd w:val="clear" w:color="auto" w:fill="53C072"/>
          </w:tcPr>
          <w:p>
            <w:pPr>
              <w:spacing w:after="0"/>
              <w:rPr>
                <w:sz w:val="14"/>
                <w:szCs w:val="14"/>
                <w:color w:val="auto"/>
              </w:rPr>
            </w:pPr>
          </w:p>
        </w:tc>
        <w:tc>
          <w:tcPr>
            <w:tcW w:w="1520" w:type="dxa"/>
            <w:vAlign w:val="bottom"/>
            <w:shd w:val="clear" w:color="auto" w:fill="53C072"/>
          </w:tcPr>
          <w:p>
            <w:pPr>
              <w:jc w:val="right"/>
              <w:ind w:right="166"/>
              <w:spacing w:after="0"/>
              <w:rPr>
                <w:sz w:val="20"/>
                <w:szCs w:val="20"/>
                <w:color w:val="auto"/>
              </w:rPr>
            </w:pPr>
            <w:r>
              <w:rPr>
                <w:rFonts w:ascii="Arial" w:cs="Arial" w:eastAsia="Arial" w:hAnsi="Arial"/>
                <w:sz w:val="14"/>
                <w:szCs w:val="14"/>
                <w:b w:val="1"/>
                <w:bCs w:val="1"/>
                <w:color w:val="FEFEFE"/>
              </w:rPr>
              <w:t>Warrants and</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Warrants and</w:t>
            </w:r>
          </w:p>
        </w:tc>
        <w:tc>
          <w:tcPr>
            <w:tcW w:w="14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Compensation</w:t>
            </w:r>
          </w:p>
        </w:tc>
      </w:tr>
      <w:tr>
        <w:trPr>
          <w:trHeight w:val="189"/>
        </w:trPr>
        <w:tc>
          <w:tcPr>
            <w:tcW w:w="45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Plan Category</w:t>
            </w:r>
          </w:p>
        </w:tc>
        <w:tc>
          <w:tcPr>
            <w:tcW w:w="152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Rights</w:t>
            </w:r>
          </w:p>
        </w:tc>
        <w:tc>
          <w:tcPr>
            <w:tcW w:w="12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Rights</w:t>
            </w:r>
          </w:p>
        </w:tc>
        <w:tc>
          <w:tcPr>
            <w:tcW w:w="1460" w:type="dxa"/>
            <w:vAlign w:val="bottom"/>
            <w:shd w:val="clear" w:color="auto" w:fill="53C072"/>
          </w:tcPr>
          <w:p>
            <w:pPr>
              <w:jc w:val="right"/>
              <w:ind w:right="46"/>
              <w:spacing w:after="0"/>
              <w:rPr>
                <w:sz w:val="20"/>
                <w:szCs w:val="20"/>
                <w:color w:val="auto"/>
              </w:rPr>
            </w:pPr>
            <w:r>
              <w:rPr>
                <w:rFonts w:ascii="Arial" w:cs="Arial" w:eastAsia="Arial" w:hAnsi="Arial"/>
                <w:sz w:val="14"/>
                <w:szCs w:val="14"/>
                <w:b w:val="1"/>
                <w:bCs w:val="1"/>
                <w:color w:val="FEFEFE"/>
              </w:rPr>
              <w:t>Plans</w:t>
            </w:r>
          </w:p>
        </w:tc>
      </w:tr>
      <w:tr>
        <w:trPr>
          <w:trHeight w:val="304"/>
        </w:trPr>
        <w:tc>
          <w:tcPr>
            <w:tcW w:w="4580" w:type="dxa"/>
            <w:vAlign w:val="bottom"/>
            <w:tcBorders>
              <w:bottom w:val="single" w:sz="8" w:color="53C072"/>
            </w:tcBorders>
          </w:tcPr>
          <w:p>
            <w:pPr>
              <w:ind w:left="6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Equity compensation plans approved by shareholders</w:t>
            </w:r>
          </w:p>
        </w:tc>
        <w:tc>
          <w:tcPr>
            <w:tcW w:w="152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2,535,355</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r>
            <w:r>
              <w:rPr>
                <w:rFonts w:ascii="Arial" w:cs="Arial" w:eastAsia="Arial" w:hAnsi="Arial"/>
                <w:sz w:val="34"/>
                <w:szCs w:val="34"/>
                <w:color w:val="auto"/>
                <w:vertAlign w:val="subscript"/>
              </w:rPr>
              <w:t>​ ​</w:t>
            </w:r>
          </w:p>
        </w:tc>
        <w:tc>
          <w:tcPr>
            <w:tcW w:w="1200" w:type="dxa"/>
            <w:vAlign w:val="bottom"/>
            <w:tcBorders>
              <w:bottom w:val="single" w:sz="8" w:color="53C072"/>
            </w:tcBorders>
          </w:tcPr>
          <w:p>
            <w:pPr>
              <w:jc w:val="right"/>
              <w:ind w:right="126"/>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$ 37.43</w:t>
            </w:r>
            <w:r>
              <w:rPr>
                <w:rFonts w:ascii="Arial" w:cs="Arial" w:eastAsia="Arial" w:hAnsi="Arial"/>
                <w:sz w:val="25"/>
                <w:szCs w:val="25"/>
                <w:color w:val="auto"/>
                <w:vertAlign w:val="superscript"/>
              </w:rPr>
              <w:t>(2)</w:t>
            </w:r>
          </w:p>
        </w:tc>
        <w:tc>
          <w:tcPr>
            <w:tcW w:w="146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 ​ ​</w:t>
            </w:r>
            <w:r>
              <w:rPr>
                <w:rFonts w:ascii="Arial" w:cs="Arial" w:eastAsia="Arial" w:hAnsi="Arial"/>
                <w:sz w:val="18"/>
                <w:szCs w:val="18"/>
                <w:color w:val="auto"/>
              </w:rPr>
              <w:t>4,587,936</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w:t>
            </w:r>
            <w:r>
              <w:rPr>
                <w:rFonts w:ascii="Arial" w:cs="Arial" w:eastAsia="Arial" w:hAnsi="Arial"/>
                <w:sz w:val="34"/>
                <w:szCs w:val="34"/>
                <w:color w:val="auto"/>
                <w:vertAlign w:val="subscript"/>
              </w:rPr>
              <w:t>​</w:t>
            </w:r>
          </w:p>
        </w:tc>
      </w:tr>
    </w:tbl>
    <w:p>
      <w:pPr>
        <w:spacing w:after="0" w:line="41" w:lineRule="exact"/>
        <w:rPr>
          <w:sz w:val="20"/>
          <w:szCs w:val="20"/>
          <w:color w:val="auto"/>
        </w:rPr>
      </w:pPr>
    </w:p>
    <w:p>
      <w:pPr>
        <w:ind w:left="1780" w:right="279" w:hanging="718"/>
        <w:spacing w:after="0" w:line="275" w:lineRule="auto"/>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1,170,439 shares underlying outstanding options, 1,214,120 RSUs, and 150,796 PSUs awarded but not yet vested as of the end of the fiscal year.</w:t>
      </w:r>
    </w:p>
    <w:p>
      <w:pPr>
        <w:spacing w:after="0" w:line="79" w:lineRule="exact"/>
        <w:rPr>
          <w:rFonts w:ascii="Arial" w:cs="Arial" w:eastAsia="Arial" w:hAnsi="Arial"/>
          <w:sz w:val="18"/>
          <w:szCs w:val="18"/>
          <w:color w:val="auto"/>
        </w:rPr>
      </w:pPr>
    </w:p>
    <w:p>
      <w:pPr>
        <w:ind w:left="1780" w:right="579" w:hanging="718"/>
        <w:spacing w:after="0" w:line="275" w:lineRule="auto"/>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exercise price is applicable only to the outstanding options referenced above. The RSUs and PSUs do not require consideration to be paid upon vesting.</w:t>
      </w:r>
    </w:p>
    <w:p>
      <w:pPr>
        <w:spacing w:after="0" w:line="79" w:lineRule="exact"/>
        <w:rPr>
          <w:rFonts w:ascii="Arial" w:cs="Arial" w:eastAsia="Arial" w:hAnsi="Arial"/>
          <w:sz w:val="18"/>
          <w:szCs w:val="18"/>
          <w:color w:val="auto"/>
        </w:rPr>
      </w:pPr>
    </w:p>
    <w:p>
      <w:pPr>
        <w:ind w:left="1780" w:right="619" w:hanging="718"/>
        <w:spacing w:after="0" w:line="275" w:lineRule="auto"/>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337,957 shares available for future issuance under the Amended and Restated Avnet Employee Stock Purchase Plan.</w:t>
      </w:r>
    </w:p>
    <w:p>
      <w:pPr>
        <w:spacing w:after="0" w:line="1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56     </w:t>
      </w:r>
      <w:r>
        <w:rPr>
          <w:sz w:val="1"/>
          <w:szCs w:val="1"/>
          <w:color w:val="auto"/>
        </w:rPr>
        <w:drawing>
          <wp:inline distT="0" distB="0" distL="0" distR="0">
            <wp:extent cx="1242695" cy="24003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4"/>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3C072"/>
        </w:rPr>
        <w:t>GRANTS OF PLAN-BASED AWARDS</w:t>
      </w:r>
    </w:p>
    <w:p>
      <w:pPr>
        <w:spacing w:after="0" w:line="172" w:lineRule="exact"/>
        <w:rPr>
          <w:sz w:val="20"/>
          <w:szCs w:val="20"/>
          <w:color w:val="auto"/>
        </w:rPr>
      </w:pPr>
    </w:p>
    <w:p>
      <w:pPr>
        <w:ind w:left="500" w:right="40"/>
        <w:spacing w:after="0" w:line="258"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2023 relating to: (1) annual cash incentive awards, (2) RSUs, and (3) PSUs. The actual payouts earned in fiscal 2023 under the Non-Equity Incentive Plan Awards are included in the Summary Compensation Table as are the grant date fair values associated with the awards under the Equity Incentive Plan and All Other Stock Awards in the table below.</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54"/>
        </w:trPr>
        <w:tc>
          <w:tcPr>
            <w:tcW w:w="1480" w:type="dxa"/>
            <w:vAlign w:val="bottom"/>
            <w:shd w:val="clear" w:color="auto" w:fill="53C072"/>
          </w:tcPr>
          <w:p>
            <w:pPr>
              <w:spacing w:after="0"/>
              <w:rPr>
                <w:sz w:val="13"/>
                <w:szCs w:val="13"/>
                <w:color w:val="auto"/>
              </w:rPr>
            </w:pPr>
          </w:p>
        </w:tc>
        <w:tc>
          <w:tcPr>
            <w:tcW w:w="42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600" w:type="dxa"/>
            <w:vAlign w:val="bottom"/>
            <w:shd w:val="clear" w:color="auto" w:fill="53C072"/>
          </w:tcPr>
          <w:p>
            <w:pPr>
              <w:spacing w:after="0"/>
              <w:rPr>
                <w:sz w:val="13"/>
                <w:szCs w:val="13"/>
                <w:color w:val="auto"/>
              </w:rPr>
            </w:pPr>
          </w:p>
        </w:tc>
        <w:tc>
          <w:tcPr>
            <w:tcW w:w="180" w:type="dxa"/>
            <w:vAlign w:val="bottom"/>
            <w:shd w:val="clear" w:color="auto" w:fill="53C072"/>
          </w:tcPr>
          <w:p>
            <w:pPr>
              <w:spacing w:after="0"/>
              <w:rPr>
                <w:sz w:val="13"/>
                <w:szCs w:val="13"/>
                <w:color w:val="auto"/>
              </w:rPr>
            </w:pPr>
          </w:p>
        </w:tc>
        <w:tc>
          <w:tcPr>
            <w:tcW w:w="30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64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All Other</w:t>
            </w:r>
          </w:p>
        </w:tc>
        <w:tc>
          <w:tcPr>
            <w:tcW w:w="120" w:type="dxa"/>
            <w:vAlign w:val="bottom"/>
            <w:shd w:val="clear" w:color="auto" w:fill="53C072"/>
          </w:tcPr>
          <w:p>
            <w:pPr>
              <w:spacing w:after="0"/>
              <w:rPr>
                <w:sz w:val="13"/>
                <w:szCs w:val="13"/>
                <w:color w:val="auto"/>
              </w:rPr>
            </w:pPr>
          </w:p>
        </w:tc>
        <w:tc>
          <w:tcPr>
            <w:tcW w:w="66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EFEFE"/>
              </w:rPr>
              <w:t>All Other</w:t>
            </w:r>
          </w:p>
        </w:tc>
        <w:tc>
          <w:tcPr>
            <w:tcW w:w="100" w:type="dxa"/>
            <w:vAlign w:val="bottom"/>
            <w:shd w:val="clear" w:color="auto" w:fill="53C072"/>
          </w:tcPr>
          <w:p>
            <w:pPr>
              <w:spacing w:after="0"/>
              <w:rPr>
                <w:sz w:val="13"/>
                <w:szCs w:val="13"/>
                <w:color w:val="auto"/>
              </w:rPr>
            </w:pPr>
          </w:p>
        </w:tc>
        <w:tc>
          <w:tcPr>
            <w:tcW w:w="720" w:type="dxa"/>
            <w:vAlign w:val="bottom"/>
            <w:shd w:val="clear" w:color="auto" w:fill="53C072"/>
          </w:tcPr>
          <w:p>
            <w:pPr>
              <w:spacing w:after="0"/>
              <w:rPr>
                <w:sz w:val="13"/>
                <w:szCs w:val="13"/>
                <w:color w:val="auto"/>
              </w:rPr>
            </w:pPr>
          </w:p>
        </w:tc>
        <w:tc>
          <w:tcPr>
            <w:tcW w:w="780" w:type="dxa"/>
            <w:vAlign w:val="bottom"/>
            <w:gridSpan w:val="2"/>
            <w:vMerge w:val="restart"/>
            <w:shd w:val="clear" w:color="auto" w:fill="53C072"/>
          </w:tcPr>
          <w:p>
            <w:pPr>
              <w:jc w:val="right"/>
              <w:ind w:right="20"/>
              <w:spacing w:after="0"/>
              <w:rPr>
                <w:sz w:val="20"/>
                <w:szCs w:val="20"/>
                <w:color w:val="auto"/>
              </w:rPr>
            </w:pPr>
            <w:r>
              <w:rPr>
                <w:rFonts w:ascii="Arial" w:cs="Arial" w:eastAsia="Arial" w:hAnsi="Arial"/>
                <w:sz w:val="13"/>
                <w:szCs w:val="13"/>
                <w:b w:val="1"/>
                <w:bCs w:val="1"/>
                <w:color w:val="FEFEFE"/>
              </w:rPr>
              <w:t>Grant Date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80" w:type="dxa"/>
            <w:vAlign w:val="bottom"/>
            <w:shd w:val="clear" w:color="auto" w:fill="53C072"/>
          </w:tcPr>
          <w:p>
            <w:pPr>
              <w:spacing w:after="0"/>
              <w:rPr>
                <w:sz w:val="14"/>
                <w:szCs w:val="14"/>
                <w:color w:val="auto"/>
              </w:rPr>
            </w:pPr>
          </w:p>
        </w:tc>
        <w:tc>
          <w:tcPr>
            <w:tcW w:w="4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58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40" w:type="dxa"/>
            <w:vAlign w:val="bottom"/>
            <w:shd w:val="clear" w:color="auto" w:fill="53C072"/>
          </w:tcPr>
          <w:p>
            <w:pPr>
              <w:spacing w:after="0"/>
              <w:rPr>
                <w:sz w:val="14"/>
                <w:szCs w:val="14"/>
                <w:color w:val="auto"/>
              </w:rPr>
            </w:pPr>
          </w:p>
        </w:tc>
        <w:tc>
          <w:tcPr>
            <w:tcW w:w="1980" w:type="dxa"/>
            <w:vAlign w:val="bottom"/>
            <w:gridSpan w:val="5"/>
            <w:shd w:val="clear" w:color="auto" w:fill="53C072"/>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6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1780" w:type="dxa"/>
            <w:vAlign w:val="bottom"/>
            <w:gridSpan w:val="6"/>
            <w:shd w:val="clear" w:color="auto" w:fill="53C072"/>
          </w:tcPr>
          <w:p>
            <w:pPr>
              <w:jc w:val="right"/>
              <w:ind w:right="80"/>
              <w:spacing w:after="0"/>
              <w:rPr>
                <w:sz w:val="20"/>
                <w:szCs w:val="20"/>
                <w:color w:val="auto"/>
              </w:rPr>
            </w:pPr>
            <w:r>
              <w:rPr>
                <w:rFonts w:ascii="Arial" w:cs="Arial" w:eastAsia="Arial" w:hAnsi="Arial"/>
                <w:sz w:val="13"/>
                <w:szCs w:val="13"/>
                <w:b w:val="1"/>
                <w:bCs w:val="1"/>
                <w:color w:val="FEFEFE"/>
              </w:rPr>
              <w:t>Estimated Future Payouts</w:t>
            </w:r>
          </w:p>
        </w:tc>
        <w:tc>
          <w:tcPr>
            <w:tcW w:w="100" w:type="dxa"/>
            <w:vAlign w:val="bottom"/>
            <w:shd w:val="clear" w:color="auto" w:fill="53C072"/>
          </w:tcPr>
          <w:p>
            <w:pPr>
              <w:spacing w:after="0"/>
              <w:rPr>
                <w:sz w:val="14"/>
                <w:szCs w:val="14"/>
                <w:color w:val="auto"/>
              </w:rPr>
            </w:pPr>
          </w:p>
        </w:tc>
        <w:tc>
          <w:tcPr>
            <w:tcW w:w="64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Stock</w:t>
            </w:r>
          </w:p>
        </w:tc>
        <w:tc>
          <w:tcPr>
            <w:tcW w:w="120" w:type="dxa"/>
            <w:vAlign w:val="bottom"/>
            <w:shd w:val="clear" w:color="auto" w:fill="53C072"/>
          </w:tcPr>
          <w:p>
            <w:pPr>
              <w:spacing w:after="0"/>
              <w:rPr>
                <w:sz w:val="14"/>
                <w:szCs w:val="14"/>
                <w:color w:val="auto"/>
              </w:rPr>
            </w:pPr>
          </w:p>
        </w:tc>
        <w:tc>
          <w:tcPr>
            <w:tcW w:w="66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3C072"/>
          </w:tcPr>
          <w:p>
            <w:pPr>
              <w:spacing w:after="0"/>
              <w:rPr>
                <w:sz w:val="14"/>
                <w:szCs w:val="14"/>
                <w:color w:val="auto"/>
              </w:rPr>
            </w:pPr>
          </w:p>
        </w:tc>
        <w:tc>
          <w:tcPr>
            <w:tcW w:w="720" w:type="dxa"/>
            <w:vAlign w:val="bottom"/>
            <w:shd w:val="clear" w:color="auto" w:fill="53C072"/>
          </w:tcPr>
          <w:p>
            <w:pPr>
              <w:spacing w:after="0"/>
              <w:rPr>
                <w:sz w:val="14"/>
                <w:szCs w:val="14"/>
                <w:color w:val="auto"/>
              </w:rPr>
            </w:pPr>
          </w:p>
        </w:tc>
        <w:tc>
          <w:tcPr>
            <w:tcW w:w="780" w:type="dxa"/>
            <w:vAlign w:val="bottom"/>
            <w:gridSpan w:val="2"/>
            <w:vMerge w:val="continue"/>
            <w:shd w:val="clear" w:color="auto" w:fill="53C07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480" w:type="dxa"/>
            <w:vAlign w:val="bottom"/>
            <w:shd w:val="clear" w:color="auto" w:fill="53C072"/>
          </w:tcPr>
          <w:p>
            <w:pPr>
              <w:spacing w:after="0"/>
              <w:rPr>
                <w:sz w:val="8"/>
                <w:szCs w:val="8"/>
                <w:color w:val="auto"/>
              </w:rPr>
            </w:pPr>
          </w:p>
        </w:tc>
        <w:tc>
          <w:tcPr>
            <w:tcW w:w="420" w:type="dxa"/>
            <w:vAlign w:val="bottom"/>
            <w:shd w:val="clear" w:color="auto" w:fill="53C072"/>
          </w:tcPr>
          <w:p>
            <w:pPr>
              <w:spacing w:after="0"/>
              <w:rPr>
                <w:sz w:val="8"/>
                <w:szCs w:val="8"/>
                <w:color w:val="auto"/>
              </w:rPr>
            </w:pPr>
          </w:p>
        </w:tc>
        <w:tc>
          <w:tcPr>
            <w:tcW w:w="120" w:type="dxa"/>
            <w:vAlign w:val="bottom"/>
            <w:shd w:val="clear" w:color="auto" w:fill="53C072"/>
          </w:tcPr>
          <w:p>
            <w:pPr>
              <w:spacing w:after="0"/>
              <w:rPr>
                <w:sz w:val="8"/>
                <w:szCs w:val="8"/>
                <w:color w:val="auto"/>
              </w:rPr>
            </w:pPr>
          </w:p>
        </w:tc>
        <w:tc>
          <w:tcPr>
            <w:tcW w:w="580" w:type="dxa"/>
            <w:vAlign w:val="bottom"/>
            <w:shd w:val="clear" w:color="auto" w:fill="53C072"/>
          </w:tcPr>
          <w:p>
            <w:pPr>
              <w:spacing w:after="0"/>
              <w:rPr>
                <w:sz w:val="8"/>
                <w:szCs w:val="8"/>
                <w:color w:val="auto"/>
              </w:rPr>
            </w:pPr>
          </w:p>
        </w:tc>
        <w:tc>
          <w:tcPr>
            <w:tcW w:w="60" w:type="dxa"/>
            <w:vAlign w:val="bottom"/>
            <w:shd w:val="clear" w:color="auto" w:fill="53C072"/>
          </w:tcPr>
          <w:p>
            <w:pPr>
              <w:spacing w:after="0"/>
              <w:rPr>
                <w:sz w:val="8"/>
                <w:szCs w:val="8"/>
                <w:color w:val="auto"/>
              </w:rPr>
            </w:pPr>
          </w:p>
        </w:tc>
        <w:tc>
          <w:tcPr>
            <w:tcW w:w="40" w:type="dxa"/>
            <w:vAlign w:val="bottom"/>
            <w:shd w:val="clear" w:color="auto" w:fill="53C072"/>
          </w:tcPr>
          <w:p>
            <w:pPr>
              <w:spacing w:after="0"/>
              <w:rPr>
                <w:sz w:val="8"/>
                <w:szCs w:val="8"/>
                <w:color w:val="auto"/>
              </w:rPr>
            </w:pPr>
          </w:p>
        </w:tc>
        <w:tc>
          <w:tcPr>
            <w:tcW w:w="1980" w:type="dxa"/>
            <w:vAlign w:val="bottom"/>
            <w:gridSpan w:val="5"/>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w w:val="95"/>
              </w:rPr>
              <w:t>Under Non-Equity Incentive Plan</w:t>
            </w:r>
          </w:p>
        </w:tc>
        <w:tc>
          <w:tcPr>
            <w:tcW w:w="60" w:type="dxa"/>
            <w:vAlign w:val="bottom"/>
            <w:shd w:val="clear" w:color="auto" w:fill="53C072"/>
          </w:tcPr>
          <w:p>
            <w:pPr>
              <w:spacing w:after="0"/>
              <w:rPr>
                <w:sz w:val="8"/>
                <w:szCs w:val="8"/>
                <w:color w:val="auto"/>
              </w:rPr>
            </w:pPr>
          </w:p>
        </w:tc>
        <w:tc>
          <w:tcPr>
            <w:tcW w:w="80" w:type="dxa"/>
            <w:vAlign w:val="bottom"/>
            <w:shd w:val="clear" w:color="auto" w:fill="53C072"/>
          </w:tcPr>
          <w:p>
            <w:pPr>
              <w:spacing w:after="0"/>
              <w:rPr>
                <w:sz w:val="8"/>
                <w:szCs w:val="8"/>
                <w:color w:val="auto"/>
              </w:rPr>
            </w:pPr>
          </w:p>
        </w:tc>
        <w:tc>
          <w:tcPr>
            <w:tcW w:w="1780" w:type="dxa"/>
            <w:vAlign w:val="bottom"/>
            <w:gridSpan w:val="6"/>
            <w:vMerge w:val="restart"/>
            <w:shd w:val="clear" w:color="auto" w:fill="53C072"/>
          </w:tcPr>
          <w:p>
            <w:pPr>
              <w:jc w:val="right"/>
              <w:ind w:right="80"/>
              <w:spacing w:after="0"/>
              <w:rPr>
                <w:sz w:val="20"/>
                <w:szCs w:val="20"/>
                <w:color w:val="auto"/>
              </w:rPr>
            </w:pPr>
            <w:r>
              <w:rPr>
                <w:rFonts w:ascii="Arial" w:cs="Arial" w:eastAsia="Arial" w:hAnsi="Arial"/>
                <w:sz w:val="13"/>
                <w:szCs w:val="13"/>
                <w:b w:val="1"/>
                <w:bCs w:val="1"/>
                <w:color w:val="FEFEFE"/>
                <w:w w:val="97"/>
              </w:rPr>
              <w:t>Under Equity Incentive Plan</w:t>
            </w:r>
          </w:p>
        </w:tc>
        <w:tc>
          <w:tcPr>
            <w:tcW w:w="100" w:type="dxa"/>
            <w:vAlign w:val="bottom"/>
            <w:shd w:val="clear" w:color="auto" w:fill="53C072"/>
          </w:tcPr>
          <w:p>
            <w:pPr>
              <w:spacing w:after="0"/>
              <w:rPr>
                <w:sz w:val="8"/>
                <w:szCs w:val="8"/>
                <w:color w:val="auto"/>
              </w:rPr>
            </w:pPr>
          </w:p>
        </w:tc>
        <w:tc>
          <w:tcPr>
            <w:tcW w:w="640" w:type="dxa"/>
            <w:vAlign w:val="bottom"/>
            <w:shd w:val="clear" w:color="auto" w:fill="53C072"/>
          </w:tcPr>
          <w:p>
            <w:pPr>
              <w:jc w:val="right"/>
              <w:ind w:right="1"/>
              <w:spacing w:after="0" w:line="100" w:lineRule="exact"/>
              <w:rPr>
                <w:sz w:val="20"/>
                <w:szCs w:val="20"/>
                <w:color w:val="auto"/>
              </w:rPr>
            </w:pPr>
            <w:r>
              <w:rPr>
                <w:rFonts w:ascii="Arial" w:cs="Arial" w:eastAsia="Arial" w:hAnsi="Arial"/>
                <w:sz w:val="10"/>
                <w:szCs w:val="10"/>
                <w:b w:val="1"/>
                <w:bCs w:val="1"/>
                <w:color w:val="FEFEFE"/>
              </w:rPr>
              <w:t>Awards:</w:t>
            </w:r>
          </w:p>
        </w:tc>
        <w:tc>
          <w:tcPr>
            <w:tcW w:w="120" w:type="dxa"/>
            <w:vAlign w:val="bottom"/>
            <w:shd w:val="clear" w:color="auto" w:fill="53C072"/>
          </w:tcPr>
          <w:p>
            <w:pPr>
              <w:spacing w:after="0"/>
              <w:rPr>
                <w:sz w:val="8"/>
                <w:szCs w:val="8"/>
                <w:color w:val="auto"/>
              </w:rPr>
            </w:pPr>
          </w:p>
        </w:tc>
        <w:tc>
          <w:tcPr>
            <w:tcW w:w="1480" w:type="dxa"/>
            <w:vAlign w:val="bottom"/>
            <w:gridSpan w:val="3"/>
            <w:shd w:val="clear" w:color="auto" w:fill="53C072"/>
          </w:tcPr>
          <w:p>
            <w:pPr>
              <w:jc w:val="right"/>
              <w:ind w:right="2"/>
              <w:spacing w:after="0" w:line="100" w:lineRule="exact"/>
              <w:rPr>
                <w:sz w:val="20"/>
                <w:szCs w:val="20"/>
                <w:color w:val="auto"/>
              </w:rPr>
            </w:pPr>
            <w:r>
              <w:rPr>
                <w:rFonts w:ascii="Arial" w:cs="Arial" w:eastAsia="Arial" w:hAnsi="Arial"/>
                <w:sz w:val="10"/>
                <w:szCs w:val="10"/>
                <w:b w:val="1"/>
                <w:bCs w:val="1"/>
                <w:color w:val="FEFEFE"/>
              </w:rPr>
              <w:t>Awards:  Exercise or</w:t>
            </w:r>
          </w:p>
        </w:tc>
        <w:tc>
          <w:tcPr>
            <w:tcW w:w="100" w:type="dxa"/>
            <w:vAlign w:val="bottom"/>
            <w:shd w:val="clear" w:color="auto" w:fill="53C072"/>
          </w:tcPr>
          <w:p>
            <w:pPr>
              <w:spacing w:after="0"/>
              <w:rPr>
                <w:sz w:val="8"/>
                <w:szCs w:val="8"/>
                <w:color w:val="auto"/>
              </w:rPr>
            </w:pPr>
          </w:p>
        </w:tc>
        <w:tc>
          <w:tcPr>
            <w:tcW w:w="680" w:type="dxa"/>
            <w:vAlign w:val="bottom"/>
            <w:shd w:val="clear" w:color="auto" w:fill="53C072"/>
          </w:tcPr>
          <w:p>
            <w:pPr>
              <w:jc w:val="right"/>
              <w:ind w:right="20"/>
              <w:spacing w:after="0" w:line="100" w:lineRule="exact"/>
              <w:rPr>
                <w:sz w:val="20"/>
                <w:szCs w:val="20"/>
                <w:color w:val="auto"/>
              </w:rPr>
            </w:pPr>
            <w:r>
              <w:rPr>
                <w:rFonts w:ascii="Arial" w:cs="Arial" w:eastAsia="Arial" w:hAnsi="Arial"/>
                <w:sz w:val="10"/>
                <w:szCs w:val="10"/>
                <w:b w:val="1"/>
                <w:bCs w:val="1"/>
                <w:color w:val="FEFEFE"/>
              </w:rPr>
              <w:t>Fair Value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8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53C072"/>
          </w:tcPr>
          <w:p>
            <w:pPr>
              <w:spacing w:after="0"/>
              <w:rPr>
                <w:sz w:val="4"/>
                <w:szCs w:val="4"/>
                <w:color w:val="auto"/>
              </w:rPr>
            </w:pPr>
          </w:p>
        </w:tc>
        <w:tc>
          <w:tcPr>
            <w:tcW w:w="120" w:type="dxa"/>
            <w:vAlign w:val="bottom"/>
            <w:vMerge w:val="restart"/>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580" w:type="dxa"/>
            <w:vAlign w:val="bottom"/>
            <w:shd w:val="clear" w:color="auto" w:fill="53C072"/>
          </w:tcPr>
          <w:p>
            <w:pPr>
              <w:spacing w:after="0"/>
              <w:rPr>
                <w:sz w:val="4"/>
                <w:szCs w:val="4"/>
                <w:color w:val="auto"/>
              </w:rPr>
            </w:pPr>
          </w:p>
        </w:tc>
        <w:tc>
          <w:tcPr>
            <w:tcW w:w="100" w:type="dxa"/>
            <w:vAlign w:val="bottom"/>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980" w:type="dxa"/>
            <w:vAlign w:val="bottom"/>
            <w:gridSpan w:val="5"/>
            <w:vMerge w:val="continue"/>
            <w:shd w:val="clear" w:color="auto" w:fill="53C072"/>
          </w:tcPr>
          <w:p>
            <w:pPr>
              <w:spacing w:after="0"/>
              <w:rPr>
                <w:sz w:val="4"/>
                <w:szCs w:val="4"/>
                <w:color w:val="auto"/>
              </w:rPr>
            </w:pPr>
          </w:p>
        </w:tc>
        <w:tc>
          <w:tcPr>
            <w:tcW w:w="60" w:type="dxa"/>
            <w:vAlign w:val="bottom"/>
            <w:shd w:val="clear" w:color="auto" w:fill="53C072"/>
          </w:tcPr>
          <w:p>
            <w:pPr>
              <w:spacing w:after="0"/>
              <w:rPr>
                <w:sz w:val="4"/>
                <w:szCs w:val="4"/>
                <w:color w:val="auto"/>
              </w:rPr>
            </w:pPr>
          </w:p>
        </w:tc>
        <w:tc>
          <w:tcPr>
            <w:tcW w:w="80" w:type="dxa"/>
            <w:vAlign w:val="bottom"/>
            <w:shd w:val="clear" w:color="auto" w:fill="53C072"/>
          </w:tcPr>
          <w:p>
            <w:pPr>
              <w:spacing w:after="0"/>
              <w:rPr>
                <w:sz w:val="4"/>
                <w:szCs w:val="4"/>
                <w:color w:val="auto"/>
              </w:rPr>
            </w:pPr>
          </w:p>
        </w:tc>
        <w:tc>
          <w:tcPr>
            <w:tcW w:w="1780" w:type="dxa"/>
            <w:vAlign w:val="bottom"/>
            <w:gridSpan w:val="6"/>
            <w:vMerge w:val="continue"/>
            <w:shd w:val="clear" w:color="auto" w:fill="53C072"/>
          </w:tcPr>
          <w:p>
            <w:pPr>
              <w:spacing w:after="0"/>
              <w:rPr>
                <w:sz w:val="4"/>
                <w:szCs w:val="4"/>
                <w:color w:val="auto"/>
              </w:rPr>
            </w:pPr>
          </w:p>
        </w:tc>
        <w:tc>
          <w:tcPr>
            <w:tcW w:w="740" w:type="dxa"/>
            <w:vAlign w:val="bottom"/>
            <w:gridSpan w:val="2"/>
            <w:vMerge w:val="restart"/>
            <w:shd w:val="clear" w:color="auto" w:fill="53C072"/>
          </w:tcPr>
          <w:p>
            <w:pPr>
              <w:jc w:val="right"/>
              <w:ind w:right="1"/>
              <w:spacing w:after="0" w:line="184" w:lineRule="exact"/>
              <w:rPr>
                <w:sz w:val="20"/>
                <w:szCs w:val="20"/>
                <w:color w:val="auto"/>
              </w:rPr>
            </w:pPr>
            <w:r>
              <w:rPr>
                <w:rFonts w:ascii="Arial" w:cs="Arial" w:eastAsia="Arial" w:hAnsi="Arial"/>
                <w:sz w:val="21"/>
                <w:szCs w:val="21"/>
                <w:b w:val="1"/>
                <w:bCs w:val="1"/>
                <w:color w:val="FEFEFE"/>
                <w:vertAlign w:val="subscript"/>
              </w:rPr>
              <w:t>​</w:t>
            </w:r>
            <w:r>
              <w:rPr>
                <w:rFonts w:ascii="Arial" w:cs="Arial" w:eastAsia="Arial" w:hAnsi="Arial"/>
                <w:sz w:val="11"/>
                <w:szCs w:val="11"/>
                <w:b w:val="1"/>
                <w:bCs w:val="1"/>
                <w:color w:val="FEFEFE"/>
              </w:rPr>
              <w:t>Number of</w:t>
            </w:r>
          </w:p>
        </w:tc>
        <w:tc>
          <w:tcPr>
            <w:tcW w:w="780" w:type="dxa"/>
            <w:vAlign w:val="bottom"/>
            <w:gridSpan w:val="2"/>
            <w:vMerge w:val="restart"/>
            <w:shd w:val="clear" w:color="auto" w:fill="53C072"/>
          </w:tcPr>
          <w:p>
            <w:pPr>
              <w:jc w:val="right"/>
              <w:ind w:right="3"/>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53C072"/>
          </w:tcPr>
          <w:p>
            <w:pPr>
              <w:spacing w:after="0"/>
              <w:rPr>
                <w:sz w:val="4"/>
                <w:szCs w:val="4"/>
                <w:color w:val="auto"/>
              </w:rPr>
            </w:pPr>
          </w:p>
        </w:tc>
        <w:tc>
          <w:tcPr>
            <w:tcW w:w="720" w:type="dxa"/>
            <w:vAlign w:val="bottom"/>
            <w:vMerge w:val="restart"/>
            <w:shd w:val="clear" w:color="auto" w:fill="53C072"/>
          </w:tcPr>
          <w:p>
            <w:pPr>
              <w:jc w:val="right"/>
              <w:ind w:right="2"/>
              <w:spacing w:after="0"/>
              <w:rPr>
                <w:sz w:val="20"/>
                <w:szCs w:val="20"/>
                <w:color w:val="auto"/>
              </w:rPr>
            </w:pPr>
            <w:r>
              <w:rPr>
                <w:rFonts w:ascii="Arial" w:cs="Arial" w:eastAsia="Arial" w:hAnsi="Arial"/>
                <w:sz w:val="13"/>
                <w:szCs w:val="13"/>
                <w:b w:val="1"/>
                <w:bCs w:val="1"/>
                <w:color w:val="FEFEFE"/>
                <w:w w:val="96"/>
              </w:rPr>
              <w:t>Base Price</w:t>
            </w:r>
          </w:p>
        </w:tc>
        <w:tc>
          <w:tcPr>
            <w:tcW w:w="100" w:type="dxa"/>
            <w:vAlign w:val="bottom"/>
            <w:shd w:val="clear" w:color="auto" w:fill="53C072"/>
          </w:tcPr>
          <w:p>
            <w:pPr>
              <w:spacing w:after="0"/>
              <w:rPr>
                <w:sz w:val="4"/>
                <w:szCs w:val="4"/>
                <w:color w:val="auto"/>
              </w:rPr>
            </w:pPr>
          </w:p>
        </w:tc>
        <w:tc>
          <w:tcPr>
            <w:tcW w:w="680" w:type="dxa"/>
            <w:vAlign w:val="bottom"/>
            <w:vMerge w:val="restart"/>
            <w:shd w:val="clear" w:color="auto" w:fill="53C072"/>
          </w:tcPr>
          <w:p>
            <w:pPr>
              <w:jc w:val="right"/>
              <w:ind w:right="20"/>
              <w:spacing w:after="0"/>
              <w:rPr>
                <w:sz w:val="20"/>
                <w:szCs w:val="20"/>
                <w:color w:val="auto"/>
              </w:rPr>
            </w:pPr>
            <w:r>
              <w:rPr>
                <w:rFonts w:ascii="Arial" w:cs="Arial" w:eastAsia="Arial" w:hAnsi="Arial"/>
                <w:sz w:val="13"/>
                <w:szCs w:val="13"/>
                <w:b w:val="1"/>
                <w:bCs w:val="1"/>
                <w:color w:val="FEFEFE"/>
              </w:rPr>
              <w:t>of Stock</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480" w:type="dxa"/>
            <w:vAlign w:val="bottom"/>
            <w:vMerge w:val="continue"/>
            <w:shd w:val="clear" w:color="auto" w:fill="53C072"/>
          </w:tcPr>
          <w:p>
            <w:pPr>
              <w:spacing w:after="0"/>
              <w:rPr>
                <w:sz w:val="16"/>
                <w:szCs w:val="16"/>
                <w:color w:val="auto"/>
              </w:rPr>
            </w:pPr>
          </w:p>
        </w:tc>
        <w:tc>
          <w:tcPr>
            <w:tcW w:w="420" w:type="dxa"/>
            <w:vAlign w:val="bottom"/>
            <w:shd w:val="clear" w:color="auto" w:fill="53C072"/>
          </w:tcPr>
          <w:p>
            <w:pPr>
              <w:spacing w:after="0"/>
              <w:rPr>
                <w:sz w:val="16"/>
                <w:szCs w:val="16"/>
                <w:color w:val="auto"/>
              </w:rPr>
            </w:pPr>
          </w:p>
        </w:tc>
        <w:tc>
          <w:tcPr>
            <w:tcW w:w="120" w:type="dxa"/>
            <w:vAlign w:val="bottom"/>
            <w:vMerge w:val="continue"/>
            <w:shd w:val="clear" w:color="auto" w:fill="53C072"/>
          </w:tcPr>
          <w:p>
            <w:pPr>
              <w:spacing w:after="0"/>
              <w:rPr>
                <w:sz w:val="16"/>
                <w:szCs w:val="16"/>
                <w:color w:val="auto"/>
              </w:rPr>
            </w:pPr>
          </w:p>
        </w:tc>
        <w:tc>
          <w:tcPr>
            <w:tcW w:w="580" w:type="dxa"/>
            <w:vAlign w:val="bottom"/>
            <w:shd w:val="clear" w:color="auto" w:fill="53C072"/>
          </w:tcPr>
          <w:p>
            <w:pPr>
              <w:spacing w:after="0"/>
              <w:rPr>
                <w:sz w:val="16"/>
                <w:szCs w:val="16"/>
                <w:color w:val="auto"/>
              </w:rPr>
            </w:pPr>
          </w:p>
        </w:tc>
        <w:tc>
          <w:tcPr>
            <w:tcW w:w="100" w:type="dxa"/>
            <w:vAlign w:val="bottom"/>
            <w:gridSpan w:val="2"/>
            <w:vMerge w:val="continue"/>
            <w:shd w:val="clear" w:color="auto" w:fill="53C072"/>
          </w:tcPr>
          <w:p>
            <w:pPr>
              <w:spacing w:after="0"/>
              <w:rPr>
                <w:sz w:val="16"/>
                <w:szCs w:val="16"/>
                <w:color w:val="auto"/>
              </w:rPr>
            </w:pPr>
          </w:p>
        </w:tc>
        <w:tc>
          <w:tcPr>
            <w:tcW w:w="64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520" w:type="dxa"/>
            <w:vAlign w:val="bottom"/>
            <w:shd w:val="clear" w:color="auto" w:fill="53C072"/>
          </w:tcPr>
          <w:p>
            <w:pPr>
              <w:spacing w:after="0"/>
              <w:rPr>
                <w:sz w:val="16"/>
                <w:szCs w:val="16"/>
                <w:color w:val="auto"/>
              </w:rPr>
            </w:pPr>
          </w:p>
        </w:tc>
        <w:tc>
          <w:tcPr>
            <w:tcW w:w="820" w:type="dxa"/>
            <w:vAlign w:val="bottom"/>
            <w:gridSpan w:val="4"/>
            <w:shd w:val="clear" w:color="auto" w:fill="53C072"/>
          </w:tcPr>
          <w:p>
            <w:pPr>
              <w:jc w:val="right"/>
              <w:ind w:right="40"/>
              <w:spacing w:after="0" w:line="130" w:lineRule="exact"/>
              <w:rPr>
                <w:sz w:val="20"/>
                <w:szCs w:val="20"/>
                <w:color w:val="auto"/>
              </w:rPr>
            </w:pPr>
            <w:r>
              <w:rPr>
                <w:rFonts w:ascii="Arial" w:cs="Arial" w:eastAsia="Arial" w:hAnsi="Arial"/>
                <w:sz w:val="9"/>
                <w:szCs w:val="9"/>
                <w:b w:val="1"/>
                <w:bCs w:val="1"/>
                <w:color w:val="FEFEFE"/>
              </w:rPr>
              <w:t xml:space="preserve">Awards(1) </w:t>
            </w:r>
            <w:r>
              <w:rPr>
                <w:rFonts w:ascii="Arial" w:cs="Arial" w:eastAsia="Arial" w:hAnsi="Arial"/>
                <w:sz w:val="15"/>
                <w:szCs w:val="15"/>
                <w:b w:val="1"/>
                <w:bCs w:val="1"/>
                <w:color w:val="FEFEFE"/>
                <w:vertAlign w:val="subscript"/>
              </w:rPr>
              <w:t>​​</w:t>
            </w:r>
          </w:p>
        </w:tc>
        <w:tc>
          <w:tcPr>
            <w:tcW w:w="600" w:type="dxa"/>
            <w:vAlign w:val="bottom"/>
            <w:shd w:val="clear" w:color="auto" w:fill="53C072"/>
          </w:tcPr>
          <w:p>
            <w:pPr>
              <w:spacing w:after="0"/>
              <w:rPr>
                <w:sz w:val="16"/>
                <w:szCs w:val="16"/>
                <w:color w:val="auto"/>
              </w:rPr>
            </w:pPr>
          </w:p>
        </w:tc>
        <w:tc>
          <w:tcPr>
            <w:tcW w:w="180" w:type="dxa"/>
            <w:vAlign w:val="bottom"/>
            <w:shd w:val="clear" w:color="auto" w:fill="53C072"/>
          </w:tcPr>
          <w:p>
            <w:pPr>
              <w:spacing w:after="0"/>
              <w:rPr>
                <w:sz w:val="16"/>
                <w:szCs w:val="16"/>
                <w:color w:val="auto"/>
              </w:rPr>
            </w:pPr>
          </w:p>
        </w:tc>
        <w:tc>
          <w:tcPr>
            <w:tcW w:w="1000" w:type="dxa"/>
            <w:vAlign w:val="bottom"/>
            <w:gridSpan w:val="4"/>
            <w:shd w:val="clear" w:color="auto" w:fill="53C072"/>
          </w:tcPr>
          <w:p>
            <w:pPr>
              <w:jc w:val="right"/>
              <w:ind w:right="40"/>
              <w:spacing w:after="0" w:line="130" w:lineRule="exact"/>
              <w:rPr>
                <w:sz w:val="20"/>
                <w:szCs w:val="20"/>
                <w:color w:val="auto"/>
              </w:rPr>
            </w:pPr>
            <w:r>
              <w:rPr>
                <w:rFonts w:ascii="Arial" w:cs="Arial" w:eastAsia="Arial" w:hAnsi="Arial"/>
                <w:sz w:val="13"/>
                <w:szCs w:val="13"/>
                <w:b w:val="1"/>
                <w:bCs w:val="1"/>
                <w:color w:val="FEFEFE"/>
              </w:rPr>
              <w:t>Awards(#)(2)</w:t>
            </w:r>
          </w:p>
        </w:tc>
        <w:tc>
          <w:tcPr>
            <w:tcW w:w="740" w:type="dxa"/>
            <w:vAlign w:val="bottom"/>
            <w:gridSpan w:val="2"/>
            <w:vMerge w:val="continue"/>
            <w:shd w:val="clear" w:color="auto" w:fill="53C072"/>
          </w:tcPr>
          <w:p>
            <w:pPr>
              <w:spacing w:after="0"/>
              <w:rPr>
                <w:sz w:val="16"/>
                <w:szCs w:val="16"/>
                <w:color w:val="auto"/>
              </w:rPr>
            </w:pPr>
          </w:p>
        </w:tc>
        <w:tc>
          <w:tcPr>
            <w:tcW w:w="780" w:type="dxa"/>
            <w:vAlign w:val="bottom"/>
            <w:gridSpan w:val="2"/>
            <w:vMerge w:val="continue"/>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720" w:type="dxa"/>
            <w:vAlign w:val="bottom"/>
            <w:vMerge w:val="continue"/>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680" w:type="dxa"/>
            <w:vAlign w:val="bottom"/>
            <w:vMerge w:val="continue"/>
            <w:shd w:val="clear" w:color="auto" w:fill="53C07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80" w:type="dxa"/>
            <w:vAlign w:val="bottom"/>
            <w:tcBorders>
              <w:top w:val="single" w:sz="8" w:color="53C072"/>
            </w:tcBorders>
            <w:shd w:val="clear" w:color="auto" w:fill="53C072"/>
          </w:tcPr>
          <w:p>
            <w:pPr>
              <w:spacing w:after="0"/>
              <w:rPr>
                <w:sz w:val="2"/>
                <w:szCs w:val="2"/>
                <w:color w:val="auto"/>
              </w:rPr>
            </w:pPr>
          </w:p>
        </w:tc>
        <w:tc>
          <w:tcPr>
            <w:tcW w:w="420" w:type="dxa"/>
            <w:vAlign w:val="bottom"/>
            <w:tcBorders>
              <w:top w:val="single" w:sz="8" w:color="53C072"/>
            </w:tcBorders>
            <w:shd w:val="clear" w:color="auto" w:fill="53C072"/>
          </w:tcPr>
          <w:p>
            <w:pPr>
              <w:spacing w:after="0"/>
              <w:rPr>
                <w:sz w:val="2"/>
                <w:szCs w:val="2"/>
                <w:color w:val="auto"/>
              </w:rPr>
            </w:pPr>
          </w:p>
        </w:tc>
        <w:tc>
          <w:tcPr>
            <w:tcW w:w="120" w:type="dxa"/>
            <w:vAlign w:val="bottom"/>
            <w:tcBorders>
              <w:top w:val="single" w:sz="8" w:color="53C072"/>
            </w:tcBorders>
            <w:shd w:val="clear" w:color="auto" w:fill="53C072"/>
          </w:tcPr>
          <w:p>
            <w:pPr>
              <w:spacing w:after="0"/>
              <w:rPr>
                <w:sz w:val="2"/>
                <w:szCs w:val="2"/>
                <w:color w:val="auto"/>
              </w:rPr>
            </w:pPr>
          </w:p>
        </w:tc>
        <w:tc>
          <w:tcPr>
            <w:tcW w:w="580" w:type="dxa"/>
            <w:vAlign w:val="bottom"/>
            <w:tcBorders>
              <w:top w:val="single" w:sz="8" w:color="53C072"/>
            </w:tcBorders>
            <w:shd w:val="clear" w:color="auto" w:fill="53C072"/>
          </w:tcPr>
          <w:p>
            <w:pPr>
              <w:spacing w:after="0"/>
              <w:rPr>
                <w:sz w:val="2"/>
                <w:szCs w:val="2"/>
                <w:color w:val="auto"/>
              </w:rPr>
            </w:pPr>
          </w:p>
        </w:tc>
        <w:tc>
          <w:tcPr>
            <w:tcW w:w="60" w:type="dxa"/>
            <w:vAlign w:val="bottom"/>
            <w:tcBorders>
              <w:top w:val="single" w:sz="8" w:color="53C072"/>
            </w:tcBorders>
            <w:shd w:val="clear" w:color="auto" w:fill="53C072"/>
          </w:tcPr>
          <w:p>
            <w:pPr>
              <w:spacing w:after="0"/>
              <w:rPr>
                <w:sz w:val="2"/>
                <w:szCs w:val="2"/>
                <w:color w:val="auto"/>
              </w:rPr>
            </w:pPr>
          </w:p>
        </w:tc>
        <w:tc>
          <w:tcPr>
            <w:tcW w:w="40" w:type="dxa"/>
            <w:vAlign w:val="bottom"/>
            <w:tcBorders>
              <w:top w:val="single" w:sz="8" w:color="auto"/>
            </w:tcBorders>
            <w:shd w:val="clear" w:color="auto" w:fill="53C072"/>
          </w:tcPr>
          <w:p>
            <w:pPr>
              <w:spacing w:after="0"/>
              <w:rPr>
                <w:sz w:val="2"/>
                <w:szCs w:val="2"/>
                <w:color w:val="auto"/>
              </w:rPr>
            </w:pPr>
          </w:p>
        </w:tc>
        <w:tc>
          <w:tcPr>
            <w:tcW w:w="640" w:type="dxa"/>
            <w:vAlign w:val="bottom"/>
            <w:tcBorders>
              <w:top w:val="single" w:sz="8" w:color="auto"/>
            </w:tcBorders>
            <w:shd w:val="clear" w:color="auto" w:fill="53C072"/>
          </w:tcPr>
          <w:p>
            <w:pPr>
              <w:spacing w:after="0"/>
              <w:rPr>
                <w:sz w:val="2"/>
                <w:szCs w:val="2"/>
                <w:color w:val="auto"/>
              </w:rPr>
            </w:pPr>
          </w:p>
        </w:tc>
        <w:tc>
          <w:tcPr>
            <w:tcW w:w="140" w:type="dxa"/>
            <w:vAlign w:val="bottom"/>
            <w:tcBorders>
              <w:top w:val="single" w:sz="8" w:color="auto"/>
            </w:tcBorders>
            <w:shd w:val="clear" w:color="auto" w:fill="53C072"/>
          </w:tcPr>
          <w:p>
            <w:pPr>
              <w:spacing w:after="0"/>
              <w:rPr>
                <w:sz w:val="2"/>
                <w:szCs w:val="2"/>
                <w:color w:val="auto"/>
              </w:rPr>
            </w:pPr>
          </w:p>
        </w:tc>
        <w:tc>
          <w:tcPr>
            <w:tcW w:w="520" w:type="dxa"/>
            <w:vAlign w:val="bottom"/>
            <w:tcBorders>
              <w:top w:val="single" w:sz="8" w:color="auto"/>
            </w:tcBorders>
            <w:shd w:val="clear" w:color="auto" w:fill="53C072"/>
          </w:tcPr>
          <w:p>
            <w:pPr>
              <w:spacing w:after="0"/>
              <w:rPr>
                <w:sz w:val="2"/>
                <w:szCs w:val="2"/>
                <w:color w:val="auto"/>
              </w:rPr>
            </w:pPr>
          </w:p>
        </w:tc>
        <w:tc>
          <w:tcPr>
            <w:tcW w:w="120" w:type="dxa"/>
            <w:vAlign w:val="bottom"/>
            <w:tcBorders>
              <w:top w:val="single" w:sz="8" w:color="auto"/>
            </w:tcBorders>
            <w:shd w:val="clear" w:color="auto" w:fill="53C072"/>
          </w:tcPr>
          <w:p>
            <w:pPr>
              <w:spacing w:after="0"/>
              <w:rPr>
                <w:sz w:val="2"/>
                <w:szCs w:val="2"/>
                <w:color w:val="auto"/>
              </w:rPr>
            </w:pPr>
          </w:p>
        </w:tc>
        <w:tc>
          <w:tcPr>
            <w:tcW w:w="560" w:type="dxa"/>
            <w:vAlign w:val="bottom"/>
            <w:tcBorders>
              <w:top w:val="single" w:sz="8" w:color="auto"/>
            </w:tcBorders>
            <w:shd w:val="clear" w:color="auto" w:fill="53C072"/>
          </w:tcPr>
          <w:p>
            <w:pPr>
              <w:spacing w:after="0"/>
              <w:rPr>
                <w:sz w:val="2"/>
                <w:szCs w:val="2"/>
                <w:color w:val="auto"/>
              </w:rPr>
            </w:pPr>
          </w:p>
        </w:tc>
        <w:tc>
          <w:tcPr>
            <w:tcW w:w="60" w:type="dxa"/>
            <w:vAlign w:val="bottom"/>
            <w:tcBorders>
              <w:top w:val="single" w:sz="8" w:color="53C072"/>
            </w:tcBorders>
            <w:shd w:val="clear" w:color="auto" w:fill="53C072"/>
          </w:tcPr>
          <w:p>
            <w:pPr>
              <w:spacing w:after="0"/>
              <w:rPr>
                <w:sz w:val="2"/>
                <w:szCs w:val="2"/>
                <w:color w:val="auto"/>
              </w:rPr>
            </w:pPr>
          </w:p>
        </w:tc>
        <w:tc>
          <w:tcPr>
            <w:tcW w:w="80" w:type="dxa"/>
            <w:vAlign w:val="bottom"/>
            <w:tcBorders>
              <w:top w:val="single" w:sz="8" w:color="auto"/>
            </w:tcBorders>
            <w:shd w:val="clear" w:color="auto" w:fill="53C072"/>
          </w:tcPr>
          <w:p>
            <w:pPr>
              <w:spacing w:after="0"/>
              <w:rPr>
                <w:sz w:val="2"/>
                <w:szCs w:val="2"/>
                <w:color w:val="auto"/>
              </w:rPr>
            </w:pPr>
          </w:p>
        </w:tc>
        <w:tc>
          <w:tcPr>
            <w:tcW w:w="600" w:type="dxa"/>
            <w:vAlign w:val="bottom"/>
            <w:tcBorders>
              <w:top w:val="single" w:sz="8" w:color="auto"/>
            </w:tcBorders>
            <w:shd w:val="clear" w:color="auto" w:fill="53C072"/>
          </w:tcPr>
          <w:p>
            <w:pPr>
              <w:spacing w:after="0"/>
              <w:rPr>
                <w:sz w:val="2"/>
                <w:szCs w:val="2"/>
                <w:color w:val="auto"/>
              </w:rPr>
            </w:pPr>
          </w:p>
        </w:tc>
        <w:tc>
          <w:tcPr>
            <w:tcW w:w="180" w:type="dxa"/>
            <w:vAlign w:val="bottom"/>
            <w:tcBorders>
              <w:top w:val="single" w:sz="8" w:color="auto"/>
            </w:tcBorders>
            <w:shd w:val="clear" w:color="auto" w:fill="53C072"/>
          </w:tcPr>
          <w:p>
            <w:pPr>
              <w:spacing w:after="0"/>
              <w:rPr>
                <w:sz w:val="2"/>
                <w:szCs w:val="2"/>
                <w:color w:val="auto"/>
              </w:rPr>
            </w:pPr>
          </w:p>
        </w:tc>
        <w:tc>
          <w:tcPr>
            <w:tcW w:w="300" w:type="dxa"/>
            <w:vAlign w:val="bottom"/>
            <w:tcBorders>
              <w:top w:val="single" w:sz="8" w:color="auto"/>
            </w:tcBorders>
            <w:shd w:val="clear" w:color="auto" w:fill="53C072"/>
          </w:tcPr>
          <w:p>
            <w:pPr>
              <w:spacing w:after="0"/>
              <w:rPr>
                <w:sz w:val="2"/>
                <w:szCs w:val="2"/>
                <w:color w:val="auto"/>
              </w:rPr>
            </w:pPr>
          </w:p>
        </w:tc>
        <w:tc>
          <w:tcPr>
            <w:tcW w:w="140" w:type="dxa"/>
            <w:vAlign w:val="bottom"/>
            <w:tcBorders>
              <w:top w:val="single" w:sz="8" w:color="auto"/>
            </w:tcBorders>
            <w:shd w:val="clear" w:color="auto" w:fill="53C072"/>
          </w:tcPr>
          <w:p>
            <w:pPr>
              <w:spacing w:after="0"/>
              <w:rPr>
                <w:sz w:val="2"/>
                <w:szCs w:val="2"/>
                <w:color w:val="auto"/>
              </w:rPr>
            </w:pPr>
          </w:p>
        </w:tc>
        <w:tc>
          <w:tcPr>
            <w:tcW w:w="520" w:type="dxa"/>
            <w:vAlign w:val="bottom"/>
            <w:tcBorders>
              <w:top w:val="single" w:sz="8" w:color="auto"/>
            </w:tcBorders>
            <w:shd w:val="clear" w:color="auto" w:fill="53C072"/>
          </w:tcPr>
          <w:p>
            <w:pPr>
              <w:spacing w:after="0"/>
              <w:rPr>
                <w:sz w:val="2"/>
                <w:szCs w:val="2"/>
                <w:color w:val="auto"/>
              </w:rPr>
            </w:pPr>
          </w:p>
        </w:tc>
        <w:tc>
          <w:tcPr>
            <w:tcW w:w="40" w:type="dxa"/>
            <w:vAlign w:val="bottom"/>
            <w:tcBorders>
              <w:top w:val="single" w:sz="8" w:color="53C072"/>
            </w:tcBorders>
            <w:shd w:val="clear" w:color="auto" w:fill="53C072"/>
          </w:tcPr>
          <w:p>
            <w:pPr>
              <w:spacing w:after="0"/>
              <w:rPr>
                <w:sz w:val="2"/>
                <w:szCs w:val="2"/>
                <w:color w:val="auto"/>
              </w:rPr>
            </w:pPr>
          </w:p>
        </w:tc>
        <w:tc>
          <w:tcPr>
            <w:tcW w:w="100" w:type="dxa"/>
            <w:vAlign w:val="bottom"/>
            <w:tcBorders>
              <w:top w:val="single" w:sz="8" w:color="53C072"/>
            </w:tcBorders>
            <w:shd w:val="clear" w:color="auto" w:fill="53C072"/>
          </w:tcPr>
          <w:p>
            <w:pPr>
              <w:spacing w:after="0"/>
              <w:rPr>
                <w:sz w:val="2"/>
                <w:szCs w:val="2"/>
                <w:color w:val="auto"/>
              </w:rPr>
            </w:pPr>
          </w:p>
        </w:tc>
        <w:tc>
          <w:tcPr>
            <w:tcW w:w="640" w:type="dxa"/>
            <w:vAlign w:val="bottom"/>
            <w:tcBorders>
              <w:top w:val="single" w:sz="8" w:color="53C072"/>
            </w:tcBorders>
            <w:shd w:val="clear" w:color="auto" w:fill="53C072"/>
          </w:tcPr>
          <w:p>
            <w:pPr>
              <w:jc w:val="right"/>
              <w:ind w:right="1"/>
              <w:spacing w:after="0"/>
              <w:rPr>
                <w:sz w:val="20"/>
                <w:szCs w:val="20"/>
                <w:color w:val="auto"/>
              </w:rPr>
            </w:pPr>
            <w:r>
              <w:rPr>
                <w:rFonts w:ascii="Arial" w:cs="Arial" w:eastAsia="Arial" w:hAnsi="Arial"/>
                <w:sz w:val="2"/>
                <w:szCs w:val="2"/>
                <w:b w:val="1"/>
                <w:bCs w:val="1"/>
                <w:color w:val="FEFEFE"/>
              </w:rPr>
              <w:t>Shares of</w:t>
            </w:r>
          </w:p>
        </w:tc>
        <w:tc>
          <w:tcPr>
            <w:tcW w:w="120" w:type="dxa"/>
            <w:vAlign w:val="bottom"/>
            <w:tcBorders>
              <w:top w:val="single" w:sz="8" w:color="53C072"/>
            </w:tcBorders>
            <w:shd w:val="clear" w:color="auto" w:fill="53C072"/>
          </w:tcPr>
          <w:p>
            <w:pPr>
              <w:spacing w:after="0"/>
              <w:rPr>
                <w:sz w:val="2"/>
                <w:szCs w:val="2"/>
                <w:color w:val="auto"/>
              </w:rPr>
            </w:pPr>
          </w:p>
        </w:tc>
        <w:tc>
          <w:tcPr>
            <w:tcW w:w="660" w:type="dxa"/>
            <w:vAlign w:val="bottom"/>
            <w:tcBorders>
              <w:top w:val="single" w:sz="8" w:color="53C072"/>
            </w:tcBorders>
            <w:shd w:val="clear" w:color="auto" w:fill="53C072"/>
          </w:tcPr>
          <w:p>
            <w:pPr>
              <w:jc w:val="right"/>
              <w:ind w:right="3"/>
              <w:spacing w:after="0"/>
              <w:rPr>
                <w:sz w:val="20"/>
                <w:szCs w:val="20"/>
                <w:color w:val="auto"/>
              </w:rPr>
            </w:pPr>
            <w:r>
              <w:rPr>
                <w:rFonts w:ascii="Arial" w:cs="Arial" w:eastAsia="Arial" w:hAnsi="Arial"/>
                <w:sz w:val="2"/>
                <w:szCs w:val="2"/>
                <w:b w:val="1"/>
                <w:bCs w:val="1"/>
                <w:color w:val="FEFEFE"/>
              </w:rPr>
              <w:t>Securities</w:t>
            </w:r>
          </w:p>
        </w:tc>
        <w:tc>
          <w:tcPr>
            <w:tcW w:w="100" w:type="dxa"/>
            <w:vAlign w:val="bottom"/>
            <w:tcBorders>
              <w:top w:val="single" w:sz="8" w:color="53C072"/>
            </w:tcBorders>
            <w:shd w:val="clear" w:color="auto" w:fill="53C072"/>
          </w:tcPr>
          <w:p>
            <w:pPr>
              <w:spacing w:after="0"/>
              <w:rPr>
                <w:sz w:val="2"/>
                <w:szCs w:val="2"/>
                <w:color w:val="auto"/>
              </w:rPr>
            </w:pPr>
          </w:p>
        </w:tc>
        <w:tc>
          <w:tcPr>
            <w:tcW w:w="720" w:type="dxa"/>
            <w:vAlign w:val="bottom"/>
            <w:tcBorders>
              <w:top w:val="single" w:sz="8" w:color="53C072"/>
            </w:tcBorders>
            <w:shd w:val="clear" w:color="auto" w:fill="53C072"/>
          </w:tcPr>
          <w:p>
            <w:pPr>
              <w:jc w:val="right"/>
              <w:ind w:right="2"/>
              <w:spacing w:after="0"/>
              <w:rPr>
                <w:sz w:val="20"/>
                <w:szCs w:val="20"/>
                <w:color w:val="auto"/>
              </w:rPr>
            </w:pPr>
            <w:r>
              <w:rPr>
                <w:rFonts w:ascii="Arial" w:cs="Arial" w:eastAsia="Arial" w:hAnsi="Arial"/>
                <w:sz w:val="2"/>
                <w:szCs w:val="2"/>
                <w:b w:val="1"/>
                <w:bCs w:val="1"/>
                <w:color w:val="FEFEFE"/>
              </w:rPr>
              <w:t>of Option</w:t>
            </w:r>
          </w:p>
        </w:tc>
        <w:tc>
          <w:tcPr>
            <w:tcW w:w="100" w:type="dxa"/>
            <w:vAlign w:val="bottom"/>
            <w:tcBorders>
              <w:top w:val="single" w:sz="8" w:color="53C072"/>
            </w:tcBorders>
            <w:shd w:val="clear" w:color="auto" w:fill="53C072"/>
          </w:tcPr>
          <w:p>
            <w:pPr>
              <w:spacing w:after="0"/>
              <w:rPr>
                <w:sz w:val="2"/>
                <w:szCs w:val="2"/>
                <w:color w:val="auto"/>
              </w:rPr>
            </w:pPr>
          </w:p>
        </w:tc>
        <w:tc>
          <w:tcPr>
            <w:tcW w:w="680" w:type="dxa"/>
            <w:vAlign w:val="bottom"/>
            <w:tcBorders>
              <w:top w:val="single" w:sz="8" w:color="53C072"/>
            </w:tcBorders>
            <w:shd w:val="clear" w:color="auto" w:fill="53C072"/>
          </w:tcPr>
          <w:p>
            <w:pPr>
              <w:jc w:val="right"/>
              <w:ind w:right="20"/>
              <w:spacing w:after="0"/>
              <w:rPr>
                <w:sz w:val="20"/>
                <w:szCs w:val="20"/>
                <w:color w:val="auto"/>
              </w:rPr>
            </w:pPr>
            <w:r>
              <w:rPr>
                <w:rFonts w:ascii="Arial" w:cs="Arial" w:eastAsia="Arial" w:hAnsi="Arial"/>
                <w:sz w:val="2"/>
                <w:szCs w:val="2"/>
                <w:b w:val="1"/>
                <w:bCs w:val="1"/>
                <w:color w:val="FEFEFE"/>
              </w:rPr>
              <w:t>and</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1320" w:type="dxa"/>
            <w:vAlign w:val="bottom"/>
            <w:gridSpan w:val="4"/>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Grant  Threshold</w:t>
            </w:r>
          </w:p>
        </w:tc>
        <w:tc>
          <w:tcPr>
            <w:tcW w:w="140" w:type="dxa"/>
            <w:vAlign w:val="bottom"/>
            <w:shd w:val="clear" w:color="auto" w:fill="53C072"/>
          </w:tcPr>
          <w:p>
            <w:pPr>
              <w:spacing w:after="0"/>
              <w:rPr>
                <w:sz w:val="12"/>
                <w:szCs w:val="12"/>
                <w:color w:val="auto"/>
              </w:rPr>
            </w:pPr>
          </w:p>
        </w:tc>
        <w:tc>
          <w:tcPr>
            <w:tcW w:w="1940" w:type="dxa"/>
            <w:vAlign w:val="bottom"/>
            <w:gridSpan w:val="6"/>
            <w:shd w:val="clear" w:color="auto" w:fill="53C072"/>
          </w:tcPr>
          <w:p>
            <w:pPr>
              <w:jc w:val="right"/>
              <w:spacing w:after="0"/>
              <w:rPr>
                <w:sz w:val="20"/>
                <w:szCs w:val="20"/>
                <w:color w:val="auto"/>
              </w:rPr>
            </w:pPr>
            <w:r>
              <w:rPr>
                <w:rFonts w:ascii="Arial" w:cs="Arial" w:eastAsia="Arial" w:hAnsi="Arial"/>
                <w:sz w:val="13"/>
                <w:szCs w:val="13"/>
                <w:b w:val="1"/>
                <w:bCs w:val="1"/>
                <w:color w:val="FEFEFE"/>
              </w:rPr>
              <w:t>Target  Maximum  Threshold</w:t>
            </w:r>
          </w:p>
        </w:tc>
        <w:tc>
          <w:tcPr>
            <w:tcW w:w="1180" w:type="dxa"/>
            <w:vAlign w:val="bottom"/>
            <w:gridSpan w:val="5"/>
            <w:shd w:val="clear" w:color="auto" w:fill="53C072"/>
          </w:tcPr>
          <w:p>
            <w:pPr>
              <w:jc w:val="right"/>
              <w:ind w:right="80"/>
              <w:spacing w:after="0"/>
              <w:rPr>
                <w:sz w:val="20"/>
                <w:szCs w:val="20"/>
                <w:color w:val="auto"/>
              </w:rPr>
            </w:pPr>
            <w:r>
              <w:rPr>
                <w:rFonts w:ascii="Arial" w:cs="Arial" w:eastAsia="Arial" w:hAnsi="Arial"/>
                <w:sz w:val="13"/>
                <w:szCs w:val="13"/>
                <w:b w:val="1"/>
                <w:bCs w:val="1"/>
                <w:color w:val="FEFEFE"/>
              </w:rPr>
              <w:t>Target  Maximum</w:t>
            </w: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Stock or</w:t>
            </w:r>
          </w:p>
        </w:tc>
        <w:tc>
          <w:tcPr>
            <w:tcW w:w="780" w:type="dxa"/>
            <w:vAlign w:val="bottom"/>
            <w:gridSpan w:val="2"/>
            <w:shd w:val="clear" w:color="auto" w:fill="53C072"/>
          </w:tcPr>
          <w:p>
            <w:pPr>
              <w:jc w:val="right"/>
              <w:ind w:right="3"/>
              <w:spacing w:after="0"/>
              <w:rPr>
                <w:sz w:val="20"/>
                <w:szCs w:val="20"/>
                <w:color w:val="auto"/>
              </w:rPr>
            </w:pPr>
            <w:r>
              <w:rPr>
                <w:rFonts w:ascii="Arial" w:cs="Arial" w:eastAsia="Arial" w:hAnsi="Arial"/>
                <w:sz w:val="13"/>
                <w:szCs w:val="13"/>
                <w:b w:val="1"/>
                <w:bCs w:val="1"/>
                <w:color w:val="FEFEFE"/>
              </w:rPr>
              <w:t>Underlying</w:t>
            </w:r>
          </w:p>
        </w:tc>
        <w:tc>
          <w:tcPr>
            <w:tcW w:w="100" w:type="dxa"/>
            <w:vAlign w:val="bottom"/>
            <w:shd w:val="clear" w:color="auto" w:fill="53C072"/>
          </w:tcPr>
          <w:p>
            <w:pPr>
              <w:spacing w:after="0"/>
              <w:rPr>
                <w:sz w:val="12"/>
                <w:szCs w:val="12"/>
                <w:color w:val="auto"/>
              </w:rPr>
            </w:pPr>
          </w:p>
        </w:tc>
        <w:tc>
          <w:tcPr>
            <w:tcW w:w="720" w:type="dxa"/>
            <w:vAlign w:val="bottom"/>
            <w:shd w:val="clear" w:color="auto" w:fill="53C072"/>
          </w:tcPr>
          <w:p>
            <w:pPr>
              <w:jc w:val="right"/>
              <w:ind w:right="2"/>
              <w:spacing w:after="0"/>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ind w:right="20"/>
              <w:spacing w:after="0"/>
              <w:rPr>
                <w:sz w:val="20"/>
                <w:szCs w:val="20"/>
                <w:color w:val="auto"/>
              </w:rPr>
            </w:pPr>
            <w:r>
              <w:rPr>
                <w:rFonts w:ascii="Arial" w:cs="Arial" w:eastAsia="Arial" w:hAnsi="Arial"/>
                <w:sz w:val="13"/>
                <w:szCs w:val="13"/>
                <w:b w:val="1"/>
                <w:bCs w:val="1"/>
                <w:color w:val="FEFEFE"/>
              </w:rPr>
              <w:t>Options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8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​Name (a)</w:t>
            </w:r>
          </w:p>
        </w:tc>
        <w:tc>
          <w:tcPr>
            <w:tcW w:w="4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80" w:type="dxa"/>
            <w:vAlign w:val="bottom"/>
            <w:shd w:val="clear" w:color="auto" w:fill="53C072"/>
          </w:tcPr>
          <w:p>
            <w:pPr>
              <w:jc w:val="right"/>
              <w:spacing w:after="0" w:line="144" w:lineRule="exact"/>
              <w:rPr>
                <w:sz w:val="20"/>
                <w:szCs w:val="20"/>
                <w:color w:val="auto"/>
              </w:rPr>
            </w:pPr>
            <w:r>
              <w:rPr>
                <w:rFonts w:ascii="Arial" w:cs="Arial" w:eastAsia="Arial" w:hAnsi="Arial"/>
                <w:sz w:val="13"/>
                <w:szCs w:val="13"/>
                <w:b w:val="1"/>
                <w:bCs w:val="1"/>
                <w:color w:val="FEFEFE"/>
              </w:rPr>
              <w:t>Date</w:t>
            </w:r>
          </w:p>
        </w:tc>
        <w:tc>
          <w:tcPr>
            <w:tcW w:w="6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
              <w:spacing w:after="0" w:line="144" w:lineRule="exact"/>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2"/>
                <w:szCs w:val="12"/>
                <w:color w:val="auto"/>
              </w:rPr>
            </w:pPr>
          </w:p>
        </w:tc>
        <w:tc>
          <w:tcPr>
            <w:tcW w:w="560" w:type="dxa"/>
            <w:vAlign w:val="bottom"/>
            <w:shd w:val="clear" w:color="auto" w:fill="53C072"/>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00" w:type="dxa"/>
            <w:vAlign w:val="bottom"/>
            <w:shd w:val="clear" w:color="auto" w:fill="53C072"/>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53C072"/>
          </w:tcPr>
          <w:p>
            <w:pPr>
              <w:spacing w:after="0"/>
              <w:rPr>
                <w:sz w:val="12"/>
                <w:szCs w:val="12"/>
                <w:color w:val="auto"/>
              </w:rPr>
            </w:pPr>
          </w:p>
        </w:tc>
        <w:tc>
          <w:tcPr>
            <w:tcW w:w="300" w:type="dxa"/>
            <w:vAlign w:val="bottom"/>
            <w:shd w:val="clear" w:color="auto" w:fill="53C072"/>
          </w:tcPr>
          <w:p>
            <w:pPr>
              <w:ind w:left="80"/>
              <w:spacing w:after="0" w:line="144" w:lineRule="exact"/>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
              <w:spacing w:after="0" w:line="144" w:lineRule="exact"/>
              <w:rPr>
                <w:sz w:val="20"/>
                <w:szCs w:val="20"/>
                <w:color w:val="auto"/>
              </w:rPr>
            </w:pPr>
            <w:r>
              <w:rPr>
                <w:rFonts w:ascii="Arial" w:cs="Arial" w:eastAsia="Arial" w:hAnsi="Arial"/>
                <w:sz w:val="13"/>
                <w:szCs w:val="13"/>
                <w:b w:val="1"/>
                <w:bCs w:val="1"/>
                <w:color w:val="FEFEFE"/>
              </w:rPr>
              <w:t>Units</w:t>
            </w: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jc w:val="right"/>
              <w:ind w:right="3"/>
              <w:spacing w:after="0" w:line="144" w:lineRule="exact"/>
              <w:rPr>
                <w:sz w:val="20"/>
                <w:szCs w:val="20"/>
                <w:color w:val="auto"/>
              </w:rPr>
            </w:pPr>
            <w:r>
              <w:rPr>
                <w:rFonts w:ascii="Arial" w:cs="Arial" w:eastAsia="Arial" w:hAnsi="Arial"/>
                <w:sz w:val="13"/>
                <w:szCs w:val="13"/>
                <w:b w:val="1"/>
                <w:bCs w:val="1"/>
                <w:color w:val="FEFEFE"/>
              </w:rPr>
              <w:t>Options</w:t>
            </w:r>
          </w:p>
        </w:tc>
        <w:tc>
          <w:tcPr>
            <w:tcW w:w="100" w:type="dxa"/>
            <w:vAlign w:val="bottom"/>
            <w:shd w:val="clear" w:color="auto" w:fill="53C072"/>
          </w:tcPr>
          <w:p>
            <w:pPr>
              <w:spacing w:after="0"/>
              <w:rPr>
                <w:sz w:val="12"/>
                <w:szCs w:val="12"/>
                <w:color w:val="auto"/>
              </w:rPr>
            </w:pPr>
          </w:p>
        </w:tc>
        <w:tc>
          <w:tcPr>
            <w:tcW w:w="720" w:type="dxa"/>
            <w:vAlign w:val="bottom"/>
            <w:shd w:val="clear" w:color="auto" w:fill="53C072"/>
          </w:tcPr>
          <w:p>
            <w:pPr>
              <w:jc w:val="right"/>
              <w:ind w:right="2"/>
              <w:spacing w:after="0" w:line="144" w:lineRule="exact"/>
              <w:rPr>
                <w:sz w:val="20"/>
                <w:szCs w:val="20"/>
                <w:color w:val="auto"/>
              </w:rPr>
            </w:pPr>
            <w:r>
              <w:rPr>
                <w:rFonts w:ascii="Arial" w:cs="Arial" w:eastAsia="Arial" w:hAnsi="Arial"/>
                <w:sz w:val="13"/>
                <w:szCs w:val="13"/>
                <w:b w:val="1"/>
                <w:bCs w:val="1"/>
                <w:color w:val="FEFEFE"/>
              </w:rPr>
              <w:t>($/Sh)</w:t>
            </w: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ind w:right="20"/>
              <w:spacing w:after="0" w:line="144" w:lineRule="exact"/>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80" w:type="dxa"/>
            <w:vAlign w:val="bottom"/>
            <w:tcBorders>
              <w:bottom w:val="single" w:sz="8" w:color="53C072"/>
            </w:tcBorders>
            <w:vMerge w:val="continue"/>
            <w:shd w:val="clear" w:color="auto" w:fill="53C072"/>
          </w:tcPr>
          <w:p>
            <w:pPr>
              <w:spacing w:after="0"/>
              <w:rPr>
                <w:sz w:val="13"/>
                <w:szCs w:val="13"/>
                <w:color w:val="auto"/>
              </w:rPr>
            </w:pPr>
          </w:p>
        </w:tc>
        <w:tc>
          <w:tcPr>
            <w:tcW w:w="420" w:type="dxa"/>
            <w:vAlign w:val="bottom"/>
            <w:tcBorders>
              <w:bottom w:val="single" w:sz="8" w:color="53C072"/>
            </w:tcBorders>
            <w:shd w:val="clear" w:color="auto" w:fill="53C072"/>
          </w:tcPr>
          <w:p>
            <w:pPr>
              <w:spacing w:after="0"/>
              <w:rPr>
                <w:sz w:val="13"/>
                <w:szCs w:val="13"/>
                <w:color w:val="auto"/>
              </w:rPr>
            </w:pPr>
          </w:p>
        </w:tc>
        <w:tc>
          <w:tcPr>
            <w:tcW w:w="120" w:type="dxa"/>
            <w:vAlign w:val="bottom"/>
            <w:tcBorders>
              <w:bottom w:val="single" w:sz="8" w:color="53C072"/>
            </w:tcBorders>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680" w:type="dxa"/>
            <w:vAlign w:val="bottom"/>
            <w:tcBorders>
              <w:bottom w:val="single" w:sz="8" w:color="53C072"/>
            </w:tcBorders>
            <w:gridSpan w:val="3"/>
            <w:shd w:val="clear" w:color="auto" w:fill="53C072"/>
          </w:tcPr>
          <w:p>
            <w:pPr>
              <w:jc w:val="right"/>
              <w:spacing w:after="0"/>
              <w:rPr>
                <w:sz w:val="20"/>
                <w:szCs w:val="20"/>
                <w:color w:val="auto"/>
              </w:rPr>
            </w:pPr>
            <w:r>
              <w:rPr>
                <w:rFonts w:ascii="Arial" w:cs="Arial" w:eastAsia="Arial" w:hAnsi="Arial"/>
                <w:sz w:val="13"/>
                <w:szCs w:val="13"/>
                <w:b w:val="1"/>
                <w:bCs w:val="1"/>
                <w:color w:val="FEFEFE"/>
              </w:rPr>
              <w:t>(b) ​​</w:t>
            </w:r>
          </w:p>
        </w:tc>
        <w:tc>
          <w:tcPr>
            <w:tcW w:w="78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(c) ​​</w:t>
            </w:r>
          </w:p>
        </w:tc>
        <w:tc>
          <w:tcPr>
            <w:tcW w:w="64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(d) ​​</w:t>
            </w:r>
          </w:p>
        </w:tc>
        <w:tc>
          <w:tcPr>
            <w:tcW w:w="700" w:type="dxa"/>
            <w:vAlign w:val="bottom"/>
            <w:tcBorders>
              <w:bottom w:val="single" w:sz="8" w:color="53C072"/>
            </w:tcBorders>
            <w:gridSpan w:val="3"/>
            <w:shd w:val="clear" w:color="auto" w:fill="53C072"/>
          </w:tcPr>
          <w:p>
            <w:pPr>
              <w:jc w:val="right"/>
              <w:ind w:right="40"/>
              <w:spacing w:after="0"/>
              <w:rPr>
                <w:sz w:val="20"/>
                <w:szCs w:val="20"/>
                <w:color w:val="auto"/>
              </w:rPr>
            </w:pPr>
            <w:r>
              <w:rPr>
                <w:rFonts w:ascii="Arial" w:cs="Arial" w:eastAsia="Arial" w:hAnsi="Arial"/>
                <w:sz w:val="13"/>
                <w:szCs w:val="13"/>
                <w:b w:val="1"/>
                <w:bCs w:val="1"/>
                <w:color w:val="FEFEFE"/>
              </w:rPr>
              <w:t>(e) ​​</w:t>
            </w:r>
          </w:p>
        </w:tc>
        <w:tc>
          <w:tcPr>
            <w:tcW w:w="780" w:type="dxa"/>
            <w:vAlign w:val="bottom"/>
            <w:tcBorders>
              <w:bottom w:val="single" w:sz="8" w:color="53C072"/>
            </w:tcBorders>
            <w:gridSpan w:val="2"/>
            <w:shd w:val="clear" w:color="auto" w:fill="53C072"/>
          </w:tcPr>
          <w:p>
            <w:pPr>
              <w:jc w:val="right"/>
              <w:ind w:right="45"/>
              <w:spacing w:after="0"/>
              <w:rPr>
                <w:sz w:val="20"/>
                <w:szCs w:val="20"/>
                <w:color w:val="auto"/>
              </w:rPr>
            </w:pPr>
            <w:r>
              <w:rPr>
                <w:rFonts w:ascii="Arial" w:cs="Arial" w:eastAsia="Arial" w:hAnsi="Arial"/>
                <w:sz w:val="13"/>
                <w:szCs w:val="13"/>
                <w:b w:val="1"/>
                <w:bCs w:val="1"/>
                <w:color w:val="FEFEFE"/>
              </w:rPr>
              <w:t>(f) ​​</w:t>
            </w:r>
          </w:p>
        </w:tc>
        <w:tc>
          <w:tcPr>
            <w:tcW w:w="440" w:type="dxa"/>
            <w:vAlign w:val="bottom"/>
            <w:tcBorders>
              <w:bottom w:val="single" w:sz="8" w:color="53C072"/>
            </w:tcBorders>
            <w:gridSpan w:val="2"/>
            <w:shd w:val="clear" w:color="auto" w:fill="53C072"/>
          </w:tcPr>
          <w:p>
            <w:pPr>
              <w:jc w:val="right"/>
              <w:ind w:right="8"/>
              <w:spacing w:after="0"/>
              <w:rPr>
                <w:sz w:val="20"/>
                <w:szCs w:val="20"/>
                <w:color w:val="auto"/>
              </w:rPr>
            </w:pPr>
            <w:r>
              <w:rPr>
                <w:rFonts w:ascii="Arial" w:cs="Arial" w:eastAsia="Arial" w:hAnsi="Arial"/>
                <w:sz w:val="13"/>
                <w:szCs w:val="13"/>
                <w:b w:val="1"/>
                <w:bCs w:val="1"/>
                <w:color w:val="FEFEFE"/>
              </w:rPr>
              <w:t>(g) ​​</w:t>
            </w:r>
          </w:p>
        </w:tc>
        <w:tc>
          <w:tcPr>
            <w:tcW w:w="560" w:type="dxa"/>
            <w:vAlign w:val="bottom"/>
            <w:tcBorders>
              <w:bottom w:val="single" w:sz="8" w:color="53C072"/>
            </w:tcBorders>
            <w:gridSpan w:val="2"/>
            <w:shd w:val="clear" w:color="auto" w:fill="53C072"/>
          </w:tcPr>
          <w:p>
            <w:pPr>
              <w:jc w:val="right"/>
              <w:ind w:right="40"/>
              <w:spacing w:after="0"/>
              <w:rPr>
                <w:sz w:val="20"/>
                <w:szCs w:val="20"/>
                <w:color w:val="auto"/>
              </w:rPr>
            </w:pPr>
            <w:r>
              <w:rPr>
                <w:rFonts w:ascii="Arial" w:cs="Arial" w:eastAsia="Arial" w:hAnsi="Arial"/>
                <w:sz w:val="13"/>
                <w:szCs w:val="13"/>
                <w:b w:val="1"/>
                <w:bCs w:val="1"/>
                <w:color w:val="FEFEFE"/>
              </w:rPr>
              <w:t>(h)</w:t>
            </w:r>
          </w:p>
        </w:tc>
        <w:tc>
          <w:tcPr>
            <w:tcW w:w="1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760" w:type="dxa"/>
            <w:vAlign w:val="bottom"/>
            <w:tcBorders>
              <w:bottom w:val="single" w:sz="8" w:color="53C072"/>
            </w:tcBorders>
            <w:gridSpan w:val="2"/>
            <w:shd w:val="clear" w:color="auto" w:fill="53C072"/>
          </w:tcPr>
          <w:p>
            <w:pPr>
              <w:jc w:val="right"/>
              <w:spacing w:after="0" w:line="149" w:lineRule="exact"/>
              <w:rPr>
                <w:sz w:val="20"/>
                <w:szCs w:val="20"/>
                <w:color w:val="auto"/>
              </w:rPr>
            </w:pPr>
            <w:r>
              <w:rPr>
                <w:rFonts w:ascii="Arial" w:cs="Arial" w:eastAsia="Arial" w:hAnsi="Arial"/>
                <w:sz w:val="10"/>
                <w:szCs w:val="10"/>
                <w:b w:val="1"/>
                <w:bCs w:val="1"/>
                <w:color w:val="FEFEFE"/>
              </w:rPr>
              <w:t xml:space="preserve">(#)(2)(i) </w:t>
            </w:r>
            <w:r>
              <w:rPr>
                <w:rFonts w:ascii="Arial" w:cs="Arial" w:eastAsia="Arial" w:hAnsi="Arial"/>
                <w:sz w:val="17"/>
                <w:szCs w:val="17"/>
                <w:b w:val="1"/>
                <w:bCs w:val="1"/>
                <w:color w:val="FEFEFE"/>
                <w:vertAlign w:val="subscript"/>
              </w:rPr>
              <w:t>​​</w:t>
            </w:r>
          </w:p>
        </w:tc>
        <w:tc>
          <w:tcPr>
            <w:tcW w:w="760" w:type="dxa"/>
            <w:vAlign w:val="bottom"/>
            <w:tcBorders>
              <w:bottom w:val="single" w:sz="8" w:color="53C072"/>
            </w:tcBorders>
            <w:gridSpan w:val="2"/>
            <w:shd w:val="clear" w:color="auto" w:fill="53C072"/>
          </w:tcPr>
          <w:p>
            <w:pPr>
              <w:jc w:val="right"/>
              <w:spacing w:after="0" w:line="149" w:lineRule="exact"/>
              <w:rPr>
                <w:sz w:val="20"/>
                <w:szCs w:val="20"/>
                <w:color w:val="auto"/>
              </w:rPr>
            </w:pPr>
            <w:r>
              <w:rPr>
                <w:rFonts w:ascii="Arial" w:cs="Arial" w:eastAsia="Arial" w:hAnsi="Arial"/>
                <w:sz w:val="10"/>
                <w:szCs w:val="10"/>
                <w:b w:val="1"/>
                <w:bCs w:val="1"/>
                <w:color w:val="FEFEFE"/>
              </w:rPr>
              <w:t xml:space="preserve">(#)(2)(j) </w:t>
            </w:r>
            <w:r>
              <w:rPr>
                <w:rFonts w:ascii="Arial" w:cs="Arial" w:eastAsia="Arial" w:hAnsi="Arial"/>
                <w:sz w:val="17"/>
                <w:szCs w:val="17"/>
                <w:b w:val="1"/>
                <w:bCs w:val="1"/>
                <w:color w:val="FEFEFE"/>
                <w:vertAlign w:val="subscript"/>
              </w:rPr>
              <w:t>​​</w:t>
            </w:r>
          </w:p>
        </w:tc>
        <w:tc>
          <w:tcPr>
            <w:tcW w:w="8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(k) ​​</w:t>
            </w:r>
          </w:p>
        </w:tc>
        <w:tc>
          <w:tcPr>
            <w:tcW w:w="68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(l)</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94"/>
        </w:trPr>
        <w:tc>
          <w:tcPr>
            <w:tcW w:w="148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8"/>
                <w:szCs w:val="8"/>
                <w:color w:val="auto"/>
              </w:rPr>
            </w:pP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6"/>
              </w:rPr>
              <w:t>8/30/2022</w:t>
            </w:r>
          </w:p>
        </w:tc>
        <w:tc>
          <w:tcPr>
            <w:tcW w:w="1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3,450,000</w:t>
            </w:r>
          </w:p>
        </w:tc>
        <w:tc>
          <w:tcPr>
            <w:tcW w:w="140" w:type="dxa"/>
            <w:vAlign w:val="bottom"/>
            <w:gridSpan w:val="2"/>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7"/>
        </w:trPr>
        <w:tc>
          <w:tcPr>
            <w:tcW w:w="1480" w:type="dxa"/>
            <w:vAlign w:val="bottom"/>
          </w:tcPr>
          <w:p>
            <w:pPr>
              <w:ind w:left="20"/>
              <w:spacing w:after="0" w:line="67" w:lineRule="exact"/>
              <w:rPr>
                <w:sz w:val="20"/>
                <w:szCs w:val="20"/>
                <w:color w:val="auto"/>
              </w:rPr>
            </w:pPr>
            <w:r>
              <w:rPr>
                <w:rFonts w:ascii="Arial" w:cs="Arial" w:eastAsia="Arial" w:hAnsi="Arial"/>
                <w:sz w:val="7"/>
                <w:szCs w:val="7"/>
                <w:color w:val="auto"/>
              </w:rPr>
              <w:t>Philip R. Gallagher</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gridSpan w:val="3"/>
          </w:tcPr>
          <w:p>
            <w:pPr>
              <w:jc w:val="right"/>
              <w:spacing w:after="0" w:line="67" w:lineRule="exact"/>
              <w:rPr>
                <w:sz w:val="20"/>
                <w:szCs w:val="20"/>
                <w:color w:val="auto"/>
              </w:rPr>
            </w:pPr>
            <w:r>
              <w:rPr>
                <w:rFonts w:ascii="Arial" w:cs="Arial" w:eastAsia="Arial" w:hAnsi="Arial"/>
                <w:sz w:val="7"/>
                <w:szCs w:val="7"/>
                <w:color w:val="auto"/>
              </w:rPr>
              <w:t>552,000  1,725,000</w:t>
            </w: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800" w:type="dxa"/>
            <w:vAlign w:val="bottom"/>
            <w:gridSpan w:val="4"/>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ind w:right="45"/>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440" w:type="dxa"/>
            <w:vAlign w:val="bottom"/>
            <w:gridSpan w:val="2"/>
          </w:tcPr>
          <w:p>
            <w:pPr>
              <w:jc w:val="right"/>
              <w:ind w:right="8"/>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60" w:type="dxa"/>
            <w:vAlign w:val="bottom"/>
            <w:gridSpan w:val="3"/>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tcPr>
          <w:p>
            <w:pPr>
              <w:jc w:val="right"/>
              <w:spacing w:after="0"/>
              <w:rPr>
                <w:sz w:val="20"/>
                <w:szCs w:val="20"/>
                <w:color w:val="auto"/>
              </w:rPr>
            </w:pPr>
            <w:r>
              <w:rPr>
                <w:rFonts w:ascii="Arial" w:cs="Arial" w:eastAsia="Arial" w:hAnsi="Arial"/>
                <w:sz w:val="13"/>
                <w:szCs w:val="13"/>
                <w:color w:val="auto"/>
              </w:rPr>
              <w:t>73,864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3,080,867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800" w:type="dxa"/>
            <w:vAlign w:val="bottom"/>
            <w:gridSpan w:val="4"/>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00" w:type="dxa"/>
            <w:vAlign w:val="bottom"/>
          </w:tcPr>
          <w:p>
            <w:pPr>
              <w:jc w:val="right"/>
              <w:spacing w:after="0"/>
              <w:rPr>
                <w:sz w:val="20"/>
                <w:szCs w:val="20"/>
                <w:color w:val="auto"/>
              </w:rPr>
            </w:pPr>
            <w:r>
              <w:rPr>
                <w:rFonts w:ascii="Arial" w:cs="Arial" w:eastAsia="Arial" w:hAnsi="Arial"/>
                <w:sz w:val="13"/>
                <w:szCs w:val="13"/>
                <w:color w:val="auto"/>
              </w:rPr>
              <w:t>24,929</w:t>
            </w:r>
          </w:p>
        </w:tc>
        <w:tc>
          <w:tcPr>
            <w:tcW w:w="620" w:type="dxa"/>
            <w:vAlign w:val="bottom"/>
            <w:gridSpan w:val="3"/>
          </w:tcPr>
          <w:p>
            <w:pPr>
              <w:jc w:val="right"/>
              <w:ind w:right="8"/>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73,864 </w:t>
            </w:r>
            <w:r>
              <w:rPr>
                <w:rFonts w:ascii="Arial" w:cs="Arial" w:eastAsia="Arial" w:hAnsi="Arial"/>
                <w:sz w:val="21"/>
                <w:szCs w:val="21"/>
                <w:color w:val="auto"/>
                <w:vertAlign w:val="superscript"/>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147,728</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2,997,401</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1480" w:type="dxa"/>
            <w:vAlign w:val="bottom"/>
            <w:shd w:val="clear" w:color="auto" w:fill="CBECD5"/>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shd w:val="clear" w:color="auto" w:fill="CBECD5"/>
          </w:tcPr>
          <w:p>
            <w:pPr>
              <w:spacing w:after="0"/>
              <w:rPr>
                <w:sz w:val="8"/>
                <w:szCs w:val="8"/>
                <w:color w:val="auto"/>
              </w:rPr>
            </w:pPr>
          </w:p>
        </w:tc>
        <w:tc>
          <w:tcPr>
            <w:tcW w:w="12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6"/>
              </w:rPr>
              <w:t>8/30/2022</w:t>
            </w:r>
          </w:p>
        </w:tc>
        <w:tc>
          <w:tcPr>
            <w:tcW w:w="100" w:type="dxa"/>
            <w:vAlign w:val="bottom"/>
            <w:gridSpan w:val="2"/>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150,624</w:t>
            </w:r>
          </w:p>
        </w:tc>
        <w:tc>
          <w:tcPr>
            <w:tcW w:w="14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7"/>
              </w:rPr>
              <w:t>442,708</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885,416</w:t>
            </w:r>
          </w:p>
        </w:tc>
        <w:tc>
          <w:tcPr>
            <w:tcW w:w="140" w:type="dxa"/>
            <w:vAlign w:val="bottom"/>
            <w:gridSpan w:val="2"/>
            <w:shd w:val="clear" w:color="auto" w:fill="CBECD5"/>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BECD5"/>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shd w:val="clear" w:color="auto" w:fill="CBECD5"/>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480" w:type="dxa"/>
            <w:vAlign w:val="bottom"/>
            <w:shd w:val="clear" w:color="auto" w:fill="CBECD5"/>
          </w:tcPr>
          <w:p>
            <w:pPr>
              <w:ind w:left="20"/>
              <w:spacing w:after="0" w:line="67" w:lineRule="exact"/>
              <w:rPr>
                <w:sz w:val="20"/>
                <w:szCs w:val="20"/>
                <w:color w:val="auto"/>
              </w:rPr>
            </w:pPr>
            <w:r>
              <w:rPr>
                <w:rFonts w:ascii="Arial" w:cs="Arial" w:eastAsia="Arial" w:hAnsi="Arial"/>
                <w:sz w:val="7"/>
                <w:szCs w:val="7"/>
                <w:color w:val="auto"/>
              </w:rPr>
              <w:t>Kenneth Jacobson</w:t>
            </w:r>
          </w:p>
        </w:tc>
        <w:tc>
          <w:tcPr>
            <w:tcW w:w="42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60" w:type="dxa"/>
            <w:vAlign w:val="bottom"/>
            <w:shd w:val="clear" w:color="auto" w:fill="CBECD5"/>
          </w:tcPr>
          <w:p>
            <w:pPr>
              <w:spacing w:after="0"/>
              <w:rPr>
                <w:sz w:val="5"/>
                <w:szCs w:val="5"/>
                <w:color w:val="auto"/>
              </w:rPr>
            </w:pPr>
          </w:p>
        </w:tc>
        <w:tc>
          <w:tcPr>
            <w:tcW w:w="4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4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60" w:type="dxa"/>
            <w:vAlign w:val="bottom"/>
            <w:vMerge w:val="continue"/>
            <w:shd w:val="clear" w:color="auto" w:fill="CBECD5"/>
          </w:tcPr>
          <w:p>
            <w:pPr>
              <w:spacing w:after="0"/>
              <w:rPr>
                <w:sz w:val="5"/>
                <w:szCs w:val="5"/>
                <w:color w:val="auto"/>
              </w:rPr>
            </w:pPr>
          </w:p>
        </w:tc>
        <w:tc>
          <w:tcPr>
            <w:tcW w:w="60" w:type="dxa"/>
            <w:vAlign w:val="bottom"/>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00" w:type="dxa"/>
            <w:vAlign w:val="bottom"/>
            <w:vMerge w:val="continue"/>
            <w:shd w:val="clear" w:color="auto" w:fill="CBECD5"/>
          </w:tcPr>
          <w:p>
            <w:pPr>
              <w:spacing w:after="0"/>
              <w:rPr>
                <w:sz w:val="5"/>
                <w:szCs w:val="5"/>
                <w:color w:val="auto"/>
              </w:rPr>
            </w:pPr>
          </w:p>
        </w:tc>
        <w:tc>
          <w:tcPr>
            <w:tcW w:w="18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40" w:type="dxa"/>
            <w:vAlign w:val="bottom"/>
            <w:shd w:val="clear" w:color="auto" w:fill="CBECD5"/>
          </w:tcPr>
          <w:p>
            <w:pPr>
              <w:spacing w:after="0"/>
              <w:rPr>
                <w:sz w:val="5"/>
                <w:szCs w:val="5"/>
                <w:color w:val="auto"/>
              </w:rPr>
            </w:pPr>
          </w:p>
        </w:tc>
        <w:tc>
          <w:tcPr>
            <w:tcW w:w="560" w:type="dxa"/>
            <w:vAlign w:val="bottom"/>
            <w:gridSpan w:val="2"/>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6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2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BECD5"/>
          </w:tcPr>
          <w:p>
            <w:pPr>
              <w:spacing w:after="0"/>
              <w:rPr>
                <w:sz w:val="16"/>
                <w:szCs w:val="16"/>
                <w:color w:val="auto"/>
              </w:rPr>
            </w:pPr>
          </w:p>
        </w:tc>
        <w:tc>
          <w:tcPr>
            <w:tcW w:w="800" w:type="dxa"/>
            <w:vAlign w:val="bottom"/>
            <w:gridSpan w:val="4"/>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shd w:val="clear" w:color="auto" w:fill="CBECD5"/>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gridSpan w:val="2"/>
            <w:shd w:val="clear" w:color="auto" w:fill="CBECD5"/>
          </w:tcPr>
          <w:p>
            <w:pPr>
              <w:jc w:val="right"/>
              <w:ind w:right="45"/>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440" w:type="dxa"/>
            <w:vAlign w:val="bottom"/>
            <w:gridSpan w:val="2"/>
            <w:shd w:val="clear" w:color="auto" w:fill="CBECD5"/>
          </w:tcPr>
          <w:p>
            <w:pPr>
              <w:jc w:val="right"/>
              <w:ind w:right="8"/>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60" w:type="dxa"/>
            <w:vAlign w:val="bottom"/>
            <w:gridSpan w:val="3"/>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14,204</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592,449</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BECD5"/>
            </w:tcBorders>
            <w:shd w:val="clear" w:color="auto" w:fill="CBECD5"/>
          </w:tcPr>
          <w:p>
            <w:pPr>
              <w:spacing w:after="0"/>
              <w:rPr>
                <w:sz w:val="17"/>
                <w:szCs w:val="17"/>
                <w:color w:val="auto"/>
              </w:rPr>
            </w:pPr>
          </w:p>
        </w:tc>
        <w:tc>
          <w:tcPr>
            <w:tcW w:w="800" w:type="dxa"/>
            <w:vAlign w:val="bottom"/>
            <w:tcBorders>
              <w:bottom w:val="single" w:sz="8" w:color="CBECD5"/>
            </w:tcBorders>
            <w:gridSpan w:val="4"/>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tcBorders>
              <w:bottom w:val="single" w:sz="8" w:color="CBECD5"/>
            </w:tcBorders>
            <w:gridSpan w:val="3"/>
            <w:shd w:val="clear" w:color="auto" w:fill="CBECD5"/>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4,794</w:t>
            </w:r>
          </w:p>
        </w:tc>
        <w:tc>
          <w:tcPr>
            <w:tcW w:w="620" w:type="dxa"/>
            <w:vAlign w:val="bottom"/>
            <w:tcBorders>
              <w:bottom w:val="single" w:sz="8" w:color="CBECD5"/>
            </w:tcBorders>
            <w:gridSpan w:val="3"/>
            <w:shd w:val="clear" w:color="auto" w:fill="CBECD5"/>
          </w:tcPr>
          <w:p>
            <w:pPr>
              <w:jc w:val="right"/>
              <w:ind w:right="8"/>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14,205 </w:t>
            </w:r>
            <w:r>
              <w:rPr>
                <w:rFonts w:ascii="Arial" w:cs="Arial" w:eastAsia="Arial" w:hAnsi="Arial"/>
                <w:sz w:val="21"/>
                <w:szCs w:val="21"/>
                <w:color w:val="auto"/>
                <w:vertAlign w:val="superscript"/>
              </w:rPr>
              <w:t>​​</w:t>
            </w:r>
          </w:p>
        </w:tc>
        <w:tc>
          <w:tcPr>
            <w:tcW w:w="5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28,410</w:t>
            </w:r>
          </w:p>
        </w:tc>
        <w:tc>
          <w:tcPr>
            <w:tcW w:w="40" w:type="dxa"/>
            <w:vAlign w:val="bottom"/>
            <w:tcBorders>
              <w:bottom w:val="single" w:sz="8" w:color="CBECD5"/>
            </w:tcBorders>
            <w:shd w:val="clear" w:color="auto" w:fill="CBECD5"/>
          </w:tcPr>
          <w:p>
            <w:pPr>
              <w:spacing w:after="0"/>
              <w:rPr>
                <w:sz w:val="17"/>
                <w:szCs w:val="17"/>
                <w:color w:val="auto"/>
              </w:rPr>
            </w:pPr>
          </w:p>
        </w:tc>
        <w:tc>
          <w:tcPr>
            <w:tcW w:w="1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576,439</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148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8"/>
                <w:szCs w:val="8"/>
                <w:color w:val="auto"/>
              </w:rPr>
            </w:pP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6"/>
              </w:rPr>
              <w:t>8/30/2022</w:t>
            </w:r>
          </w:p>
        </w:tc>
        <w:tc>
          <w:tcPr>
            <w:tcW w:w="1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126,000</w:t>
            </w: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7"/>
              </w:rPr>
              <w:t>393,750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787,500</w:t>
            </w:r>
          </w:p>
        </w:tc>
        <w:tc>
          <w:tcPr>
            <w:tcW w:w="140" w:type="dxa"/>
            <w:vAlign w:val="bottom"/>
            <w:gridSpan w:val="2"/>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7"/>
        </w:trPr>
        <w:tc>
          <w:tcPr>
            <w:tcW w:w="1480" w:type="dxa"/>
            <w:vAlign w:val="bottom"/>
          </w:tcPr>
          <w:p>
            <w:pPr>
              <w:ind w:left="20"/>
              <w:spacing w:after="0" w:line="67" w:lineRule="exact"/>
              <w:rPr>
                <w:sz w:val="20"/>
                <w:szCs w:val="20"/>
                <w:color w:val="auto"/>
              </w:rPr>
            </w:pPr>
            <w:r>
              <w:rPr>
                <w:rFonts w:ascii="Arial" w:cs="Arial" w:eastAsia="Arial" w:hAnsi="Arial"/>
                <w:sz w:val="7"/>
                <w:szCs w:val="7"/>
                <w:color w:val="auto"/>
              </w:rPr>
              <w:t>Ken E. Arnold</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800" w:type="dxa"/>
            <w:vAlign w:val="bottom"/>
            <w:gridSpan w:val="4"/>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ind w:right="45"/>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440" w:type="dxa"/>
            <w:vAlign w:val="bottom"/>
            <w:gridSpan w:val="2"/>
          </w:tcPr>
          <w:p>
            <w:pPr>
              <w:jc w:val="right"/>
              <w:ind w:right="8"/>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60" w:type="dxa"/>
            <w:vAlign w:val="bottom"/>
            <w:gridSpan w:val="3"/>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tcPr>
          <w:p>
            <w:pPr>
              <w:jc w:val="right"/>
              <w:spacing w:after="0"/>
              <w:rPr>
                <w:sz w:val="20"/>
                <w:szCs w:val="20"/>
                <w:color w:val="auto"/>
              </w:rPr>
            </w:pPr>
            <w:r>
              <w:rPr>
                <w:rFonts w:ascii="Arial" w:cs="Arial" w:eastAsia="Arial" w:hAnsi="Arial"/>
                <w:sz w:val="13"/>
                <w:szCs w:val="13"/>
                <w:color w:val="auto"/>
              </w:rPr>
              <w:t>10,796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450,301</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800" w:type="dxa"/>
            <w:vAlign w:val="bottom"/>
            <w:gridSpan w:val="4"/>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00" w:type="dxa"/>
            <w:vAlign w:val="bottom"/>
          </w:tcPr>
          <w:p>
            <w:pPr>
              <w:jc w:val="right"/>
              <w:spacing w:after="0"/>
              <w:rPr>
                <w:sz w:val="20"/>
                <w:szCs w:val="20"/>
                <w:color w:val="auto"/>
              </w:rPr>
            </w:pPr>
            <w:r>
              <w:rPr>
                <w:rFonts w:ascii="Arial" w:cs="Arial" w:eastAsia="Arial" w:hAnsi="Arial"/>
                <w:sz w:val="13"/>
                <w:szCs w:val="13"/>
                <w:color w:val="auto"/>
              </w:rPr>
              <w:t>3,643</w:t>
            </w:r>
          </w:p>
        </w:tc>
        <w:tc>
          <w:tcPr>
            <w:tcW w:w="620" w:type="dxa"/>
            <w:vAlign w:val="bottom"/>
            <w:gridSpan w:val="3"/>
          </w:tcPr>
          <w:p>
            <w:pPr>
              <w:jc w:val="right"/>
              <w:ind w:right="8"/>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10,795 </w:t>
            </w:r>
            <w:r>
              <w:rPr>
                <w:rFonts w:ascii="Arial" w:cs="Arial" w:eastAsia="Arial" w:hAnsi="Arial"/>
                <w:sz w:val="21"/>
                <w:szCs w:val="21"/>
                <w:color w:val="auto"/>
                <w:vertAlign w:val="superscript"/>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21,590</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438,061</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1480" w:type="dxa"/>
            <w:vAlign w:val="bottom"/>
            <w:shd w:val="clear" w:color="auto" w:fill="CBECD5"/>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shd w:val="clear" w:color="auto" w:fill="CBECD5"/>
          </w:tcPr>
          <w:p>
            <w:pPr>
              <w:spacing w:after="0"/>
              <w:rPr>
                <w:sz w:val="8"/>
                <w:szCs w:val="8"/>
                <w:color w:val="auto"/>
              </w:rPr>
            </w:pPr>
          </w:p>
        </w:tc>
        <w:tc>
          <w:tcPr>
            <w:tcW w:w="12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6"/>
              </w:rPr>
              <w:t>8/30/2022</w:t>
            </w:r>
          </w:p>
        </w:tc>
        <w:tc>
          <w:tcPr>
            <w:tcW w:w="100" w:type="dxa"/>
            <w:vAlign w:val="bottom"/>
            <w:gridSpan w:val="2"/>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132,000</w:t>
            </w:r>
          </w:p>
        </w:tc>
        <w:tc>
          <w:tcPr>
            <w:tcW w:w="14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7"/>
              </w:rPr>
              <w:t>412,500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825,000</w:t>
            </w:r>
          </w:p>
        </w:tc>
        <w:tc>
          <w:tcPr>
            <w:tcW w:w="140" w:type="dxa"/>
            <w:vAlign w:val="bottom"/>
            <w:gridSpan w:val="2"/>
            <w:shd w:val="clear" w:color="auto" w:fill="CBECD5"/>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BECD5"/>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shd w:val="clear" w:color="auto" w:fill="CBECD5"/>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480" w:type="dxa"/>
            <w:vAlign w:val="bottom"/>
            <w:shd w:val="clear" w:color="auto" w:fill="CBECD5"/>
          </w:tcPr>
          <w:p>
            <w:pPr>
              <w:ind w:left="20"/>
              <w:spacing w:after="0" w:line="67" w:lineRule="exact"/>
              <w:rPr>
                <w:sz w:val="20"/>
                <w:szCs w:val="20"/>
                <w:color w:val="auto"/>
              </w:rPr>
            </w:pPr>
            <w:r>
              <w:rPr>
                <w:rFonts w:ascii="Arial" w:cs="Arial" w:eastAsia="Arial" w:hAnsi="Arial"/>
                <w:sz w:val="7"/>
                <w:szCs w:val="7"/>
                <w:color w:val="auto"/>
              </w:rPr>
              <w:t>Michael R. McCoy</w:t>
            </w:r>
          </w:p>
        </w:tc>
        <w:tc>
          <w:tcPr>
            <w:tcW w:w="42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60" w:type="dxa"/>
            <w:vAlign w:val="bottom"/>
            <w:shd w:val="clear" w:color="auto" w:fill="CBECD5"/>
          </w:tcPr>
          <w:p>
            <w:pPr>
              <w:spacing w:after="0"/>
              <w:rPr>
                <w:sz w:val="5"/>
                <w:szCs w:val="5"/>
                <w:color w:val="auto"/>
              </w:rPr>
            </w:pPr>
          </w:p>
        </w:tc>
        <w:tc>
          <w:tcPr>
            <w:tcW w:w="4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4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60" w:type="dxa"/>
            <w:vAlign w:val="bottom"/>
            <w:vMerge w:val="continue"/>
            <w:shd w:val="clear" w:color="auto" w:fill="CBECD5"/>
          </w:tcPr>
          <w:p>
            <w:pPr>
              <w:spacing w:after="0"/>
              <w:rPr>
                <w:sz w:val="5"/>
                <w:szCs w:val="5"/>
                <w:color w:val="auto"/>
              </w:rPr>
            </w:pPr>
          </w:p>
        </w:tc>
        <w:tc>
          <w:tcPr>
            <w:tcW w:w="60" w:type="dxa"/>
            <w:vAlign w:val="bottom"/>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00" w:type="dxa"/>
            <w:vAlign w:val="bottom"/>
            <w:vMerge w:val="continue"/>
            <w:shd w:val="clear" w:color="auto" w:fill="CBECD5"/>
          </w:tcPr>
          <w:p>
            <w:pPr>
              <w:spacing w:after="0"/>
              <w:rPr>
                <w:sz w:val="5"/>
                <w:szCs w:val="5"/>
                <w:color w:val="auto"/>
              </w:rPr>
            </w:pPr>
          </w:p>
        </w:tc>
        <w:tc>
          <w:tcPr>
            <w:tcW w:w="18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40" w:type="dxa"/>
            <w:vAlign w:val="bottom"/>
            <w:shd w:val="clear" w:color="auto" w:fill="CBECD5"/>
          </w:tcPr>
          <w:p>
            <w:pPr>
              <w:spacing w:after="0"/>
              <w:rPr>
                <w:sz w:val="5"/>
                <w:szCs w:val="5"/>
                <w:color w:val="auto"/>
              </w:rPr>
            </w:pPr>
          </w:p>
        </w:tc>
        <w:tc>
          <w:tcPr>
            <w:tcW w:w="560" w:type="dxa"/>
            <w:vAlign w:val="bottom"/>
            <w:gridSpan w:val="2"/>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6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2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BECD5"/>
          </w:tcPr>
          <w:p>
            <w:pPr>
              <w:spacing w:after="0"/>
              <w:rPr>
                <w:sz w:val="16"/>
                <w:szCs w:val="16"/>
                <w:color w:val="auto"/>
              </w:rPr>
            </w:pPr>
          </w:p>
        </w:tc>
        <w:tc>
          <w:tcPr>
            <w:tcW w:w="800" w:type="dxa"/>
            <w:vAlign w:val="bottom"/>
            <w:gridSpan w:val="4"/>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 8/30/2022 </w:t>
            </w:r>
            <w:r>
              <w:rPr>
                <w:rFonts w:ascii="Arial" w:cs="Arial" w:eastAsia="Arial" w:hAnsi="Arial"/>
                <w:sz w:val="21"/>
                <w:szCs w:val="21"/>
                <w:color w:val="auto"/>
                <w:vertAlign w:val="superscript"/>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gridSpan w:val="3"/>
            <w:shd w:val="clear" w:color="auto" w:fill="CBECD5"/>
          </w:tcPr>
          <w:p>
            <w:pPr>
              <w:jc w:val="right"/>
              <w:ind w:righ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gridSpan w:val="2"/>
            <w:shd w:val="clear" w:color="auto" w:fill="CBECD5"/>
          </w:tcPr>
          <w:p>
            <w:pPr>
              <w:jc w:val="right"/>
              <w:ind w:right="45"/>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440" w:type="dxa"/>
            <w:vAlign w:val="bottom"/>
            <w:gridSpan w:val="2"/>
            <w:shd w:val="clear" w:color="auto" w:fill="CBECD5"/>
          </w:tcPr>
          <w:p>
            <w:pPr>
              <w:jc w:val="right"/>
              <w:ind w:right="8"/>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60" w:type="dxa"/>
            <w:vAlign w:val="bottom"/>
            <w:gridSpan w:val="3"/>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11,932</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2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497,684</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148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BECD5"/>
            </w:tcBorders>
            <w:shd w:val="clear" w:color="auto" w:fill="CBECD5"/>
          </w:tcPr>
          <w:p>
            <w:pPr>
              <w:spacing w:after="0"/>
              <w:rPr>
                <w:sz w:val="18"/>
                <w:szCs w:val="18"/>
                <w:color w:val="auto"/>
              </w:rPr>
            </w:pPr>
          </w:p>
        </w:tc>
        <w:tc>
          <w:tcPr>
            <w:tcW w:w="800" w:type="dxa"/>
            <w:vAlign w:val="bottom"/>
            <w:tcBorders>
              <w:bottom w:val="single" w:sz="8" w:color="CBECD5"/>
            </w:tcBorders>
            <w:gridSpan w:val="4"/>
            <w:shd w:val="clear" w:color="auto" w:fill="CBECD5"/>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8/30/2022 </w:t>
            </w:r>
            <w:r>
              <w:rPr>
                <w:rFonts w:ascii="Arial" w:cs="Arial" w:eastAsia="Arial" w:hAnsi="Arial"/>
                <w:sz w:val="23"/>
                <w:szCs w:val="23"/>
                <w:color w:val="auto"/>
                <w:vertAlign w:val="superscript"/>
              </w:rPr>
              <w:t>​​</w:t>
            </w:r>
          </w:p>
        </w:tc>
        <w:tc>
          <w:tcPr>
            <w:tcW w:w="78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tcBorders>
              <w:bottom w:val="single" w:sz="8" w:color="CBECD5"/>
            </w:tcBorders>
            <w:gridSpan w:val="3"/>
            <w:shd w:val="clear" w:color="auto" w:fill="CBECD5"/>
          </w:tcPr>
          <w:p>
            <w:pPr>
              <w:jc w:val="right"/>
              <w:ind w:righ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4,027</w:t>
            </w:r>
          </w:p>
        </w:tc>
        <w:tc>
          <w:tcPr>
            <w:tcW w:w="620" w:type="dxa"/>
            <w:vAlign w:val="bottom"/>
            <w:tcBorders>
              <w:bottom w:val="single" w:sz="8" w:color="CBECD5"/>
            </w:tcBorders>
            <w:gridSpan w:val="3"/>
            <w:shd w:val="clear" w:color="auto" w:fill="CBECD5"/>
          </w:tcPr>
          <w:p>
            <w:pPr>
              <w:jc w:val="right"/>
              <w:ind w:right="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11,932 </w:t>
            </w:r>
            <w:r>
              <w:rPr>
                <w:rFonts w:ascii="Arial" w:cs="Arial" w:eastAsia="Arial" w:hAnsi="Arial"/>
                <w:sz w:val="23"/>
                <w:szCs w:val="23"/>
                <w:color w:val="auto"/>
                <w:vertAlign w:val="superscript"/>
              </w:rPr>
              <w:t>​​</w:t>
            </w:r>
          </w:p>
        </w:tc>
        <w:tc>
          <w:tcPr>
            <w:tcW w:w="5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23,864</w:t>
            </w:r>
          </w:p>
        </w:tc>
        <w:tc>
          <w:tcPr>
            <w:tcW w:w="40" w:type="dxa"/>
            <w:vAlign w:val="bottom"/>
            <w:tcBorders>
              <w:bottom w:val="single" w:sz="8" w:color="CBECD5"/>
            </w:tcBorders>
            <w:shd w:val="clear" w:color="auto" w:fill="CBECD5"/>
          </w:tcPr>
          <w:p>
            <w:pPr>
              <w:spacing w:after="0"/>
              <w:rPr>
                <w:sz w:val="18"/>
                <w:szCs w:val="18"/>
                <w:color w:val="auto"/>
              </w:rPr>
            </w:pPr>
          </w:p>
        </w:tc>
        <w:tc>
          <w:tcPr>
            <w:tcW w:w="1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2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484,201</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148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280"/>
              <w:spacing w:after="0"/>
              <w:rPr>
                <w:sz w:val="20"/>
                <w:szCs w:val="20"/>
                <w:color w:val="auto"/>
              </w:rPr>
            </w:pPr>
            <w:r>
              <w:rPr>
                <w:rFonts w:ascii="Arial" w:cs="Arial" w:eastAsia="Arial" w:hAnsi="Arial"/>
                <w:sz w:val="8"/>
                <w:szCs w:val="8"/>
                <w:color w:val="auto"/>
                <w:w w:val="81"/>
              </w:rPr>
              <w:t>(3)</w:t>
            </w: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8"/>
                <w:szCs w:val="8"/>
                <w:color w:val="auto"/>
              </w:rPr>
            </w:pPr>
          </w:p>
        </w:tc>
        <w:tc>
          <w:tcPr>
            <w:tcW w:w="1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62,400</w:t>
            </w: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7"/>
              </w:rPr>
              <w:t>195,000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390,000</w:t>
            </w:r>
          </w:p>
        </w:tc>
        <w:tc>
          <w:tcPr>
            <w:tcW w:w="140" w:type="dxa"/>
            <w:vAlign w:val="bottom"/>
            <w:gridSpan w:val="2"/>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1480" w:type="dxa"/>
            <w:vAlign w:val="bottom"/>
          </w:tcPr>
          <w:p>
            <w:pPr>
              <w:ind w:left="20"/>
              <w:spacing w:after="0" w:line="94" w:lineRule="exact"/>
              <w:rPr>
                <w:sz w:val="20"/>
                <w:szCs w:val="20"/>
                <w:color w:val="auto"/>
              </w:rPr>
            </w:pPr>
            <w:r>
              <w:rPr>
                <w:rFonts w:ascii="Arial" w:cs="Arial" w:eastAsia="Arial" w:hAnsi="Arial"/>
                <w:sz w:val="10"/>
                <w:szCs w:val="10"/>
                <w:color w:val="auto"/>
              </w:rPr>
              <w:t>Rebeca Obregon-Jimenez</w:t>
            </w:r>
          </w:p>
        </w:tc>
        <w:tc>
          <w:tcPr>
            <w:tcW w:w="420" w:type="dxa"/>
            <w:vAlign w:val="bottom"/>
          </w:tcPr>
          <w:p>
            <w:pPr>
              <w:spacing w:after="0"/>
              <w:rPr>
                <w:sz w:val="8"/>
                <w:szCs w:val="8"/>
                <w:color w:val="auto"/>
              </w:rPr>
            </w:pPr>
          </w:p>
        </w:tc>
        <w:tc>
          <w:tcPr>
            <w:tcW w:w="700" w:type="dxa"/>
            <w:vAlign w:val="bottom"/>
            <w:gridSpan w:val="2"/>
          </w:tcPr>
          <w:p>
            <w:pPr>
              <w:jc w:val="right"/>
              <w:spacing w:after="0" w:line="94" w:lineRule="exact"/>
              <w:rPr>
                <w:sz w:val="20"/>
                <w:szCs w:val="20"/>
                <w:color w:val="auto"/>
              </w:rPr>
            </w:pPr>
            <w:r>
              <w:rPr>
                <w:rFonts w:ascii="Arial" w:cs="Arial" w:eastAsia="Arial" w:hAnsi="Arial"/>
                <w:sz w:val="10"/>
                <w:szCs w:val="10"/>
                <w:color w:val="auto"/>
              </w:rPr>
              <w:t>12/30/2022</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7"/>
                <w:szCs w:val="17"/>
                <w:color w:val="auto"/>
              </w:rPr>
            </w:pPr>
          </w:p>
        </w:tc>
        <w:tc>
          <w:tcPr>
            <w:tcW w:w="800" w:type="dxa"/>
            <w:vAlign w:val="bottom"/>
            <w:gridSpan w:val="4"/>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12/30/2022 </w:t>
            </w:r>
            <w:r>
              <w:rPr>
                <w:rFonts w:ascii="Arial" w:cs="Arial" w:eastAsia="Arial" w:hAnsi="Arial"/>
                <w:sz w:val="23"/>
                <w:szCs w:val="23"/>
                <w:color w:val="auto"/>
                <w:vertAlign w:val="superscript"/>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80" w:type="dxa"/>
            <w:vAlign w:val="bottom"/>
            <w:gridSpan w:val="2"/>
          </w:tcPr>
          <w:p>
            <w:pPr>
              <w:jc w:val="right"/>
              <w:ind w:right="45"/>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440" w:type="dxa"/>
            <w:vAlign w:val="bottom"/>
            <w:gridSpan w:val="2"/>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tcPr>
          <w:p>
            <w:pPr>
              <w:jc w:val="right"/>
              <w:spacing w:after="0"/>
              <w:rPr>
                <w:sz w:val="20"/>
                <w:szCs w:val="20"/>
                <w:color w:val="auto"/>
              </w:rPr>
            </w:pPr>
            <w:r>
              <w:rPr>
                <w:rFonts w:ascii="Arial" w:cs="Arial" w:eastAsia="Arial" w:hAnsi="Arial"/>
                <w:sz w:val="13"/>
                <w:szCs w:val="13"/>
                <w:color w:val="auto"/>
              </w:rPr>
              <w:t>13,224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524,332</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7"/>
                <w:szCs w:val="17"/>
                <w:color w:val="auto"/>
              </w:rPr>
            </w:pPr>
          </w:p>
        </w:tc>
        <w:tc>
          <w:tcPr>
            <w:tcW w:w="800" w:type="dxa"/>
            <w:vAlign w:val="bottom"/>
            <w:gridSpan w:val="4"/>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12/30/2022 </w:t>
            </w:r>
            <w:r>
              <w:rPr>
                <w:rFonts w:ascii="Arial" w:cs="Arial" w:eastAsia="Arial" w:hAnsi="Arial"/>
                <w:sz w:val="23"/>
                <w:szCs w:val="23"/>
                <w:color w:val="auto"/>
                <w:vertAlign w:val="superscript"/>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80" w:type="dxa"/>
            <w:vAlign w:val="bottom"/>
            <w:gridSpan w:val="2"/>
          </w:tcPr>
          <w:p>
            <w:pPr>
              <w:jc w:val="right"/>
              <w:ind w:right="45"/>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440" w:type="dxa"/>
            <w:vAlign w:val="bottom"/>
            <w:gridSpan w:val="2"/>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2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5"/>
        </w:trPr>
        <w:tc>
          <w:tcPr>
            <w:tcW w:w="1480" w:type="dxa"/>
            <w:vAlign w:val="bottom"/>
            <w:shd w:val="clear" w:color="auto" w:fill="CBECD5"/>
          </w:tcPr>
          <w:p>
            <w:pPr>
              <w:ind w:left="20"/>
              <w:spacing w:after="0" w:line="95" w:lineRule="exact"/>
              <w:rPr>
                <w:sz w:val="20"/>
                <w:szCs w:val="20"/>
                <w:color w:val="auto"/>
              </w:rPr>
            </w:pPr>
            <w:r>
              <w:rPr>
                <w:rFonts w:ascii="Arial" w:cs="Arial" w:eastAsia="Arial" w:hAnsi="Arial"/>
                <w:sz w:val="10"/>
                <w:szCs w:val="10"/>
                <w:color w:val="auto"/>
              </w:rPr>
              <w:t>​</w:t>
            </w:r>
          </w:p>
        </w:tc>
        <w:tc>
          <w:tcPr>
            <w:tcW w:w="420" w:type="dxa"/>
            <w:vAlign w:val="bottom"/>
            <w:shd w:val="clear" w:color="auto" w:fill="CBECD5"/>
          </w:tcPr>
          <w:p>
            <w:pPr>
              <w:spacing w:after="0"/>
              <w:rPr>
                <w:sz w:val="8"/>
                <w:szCs w:val="8"/>
                <w:color w:val="auto"/>
              </w:rPr>
            </w:pPr>
          </w:p>
        </w:tc>
        <w:tc>
          <w:tcPr>
            <w:tcW w:w="12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6"/>
              </w:rPr>
              <w:t>8/30/2022</w:t>
            </w:r>
          </w:p>
        </w:tc>
        <w:tc>
          <w:tcPr>
            <w:tcW w:w="100" w:type="dxa"/>
            <w:vAlign w:val="bottom"/>
            <w:gridSpan w:val="2"/>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140,400</w:t>
            </w:r>
          </w:p>
        </w:tc>
        <w:tc>
          <w:tcPr>
            <w:tcW w:w="14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7"/>
              </w:rPr>
              <w:t>438,750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877,500</w:t>
            </w:r>
          </w:p>
        </w:tc>
        <w:tc>
          <w:tcPr>
            <w:tcW w:w="140" w:type="dxa"/>
            <w:vAlign w:val="bottom"/>
            <w:gridSpan w:val="2"/>
            <w:shd w:val="clear" w:color="auto" w:fill="CBECD5"/>
          </w:tcPr>
          <w:p>
            <w:pPr>
              <w:jc w:val="right"/>
              <w:ind w:right="40"/>
              <w:spacing w:after="0" w:line="95" w:lineRule="exact"/>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BECD5"/>
          </w:tcPr>
          <w:p>
            <w:pPr>
              <w:jc w:val="right"/>
              <w:ind w:right="45"/>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ind w:right="8"/>
              <w:spacing w:after="0" w:line="95" w:lineRule="exact"/>
              <w:rPr>
                <w:sz w:val="20"/>
                <w:szCs w:val="20"/>
                <w:color w:val="auto"/>
              </w:rPr>
            </w:pPr>
            <w:r>
              <w:rPr>
                <w:rFonts w:ascii="Arial" w:cs="Arial" w:eastAsia="Arial" w:hAnsi="Arial"/>
                <w:sz w:val="10"/>
                <w:szCs w:val="10"/>
                <w:color w:val="auto"/>
              </w:rPr>
              <w:t>​​</w:t>
            </w:r>
          </w:p>
        </w:tc>
        <w:tc>
          <w:tcPr>
            <w:tcW w:w="560" w:type="dxa"/>
            <w:vAlign w:val="bottom"/>
            <w:gridSpan w:val="2"/>
            <w:vMerge w:val="restart"/>
            <w:shd w:val="clear" w:color="auto" w:fill="CBECD5"/>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shd w:val="clear" w:color="auto" w:fill="CBECD5"/>
          </w:tcPr>
          <w:p>
            <w:pPr>
              <w:ind w:left="20"/>
              <w:spacing w:after="0" w:line="81" w:lineRule="exact"/>
              <w:rPr>
                <w:sz w:val="20"/>
                <w:szCs w:val="20"/>
                <w:color w:val="auto"/>
              </w:rPr>
            </w:pPr>
            <w:r>
              <w:rPr>
                <w:rFonts w:ascii="Arial" w:cs="Arial" w:eastAsia="Arial" w:hAnsi="Arial"/>
                <w:sz w:val="9"/>
                <w:szCs w:val="9"/>
                <w:color w:val="auto"/>
              </w:rPr>
              <w:t>Thomas Liguori</w:t>
            </w:r>
          </w:p>
        </w:tc>
        <w:tc>
          <w:tcPr>
            <w:tcW w:w="420" w:type="dxa"/>
            <w:vAlign w:val="bottom"/>
            <w:shd w:val="clear" w:color="auto" w:fill="CBECD5"/>
          </w:tcPr>
          <w:p>
            <w:pPr>
              <w:spacing w:after="0"/>
              <w:rPr>
                <w:sz w:val="7"/>
                <w:szCs w:val="7"/>
                <w:color w:val="auto"/>
              </w:rPr>
            </w:pPr>
          </w:p>
        </w:tc>
        <w:tc>
          <w:tcPr>
            <w:tcW w:w="120" w:type="dxa"/>
            <w:vAlign w:val="bottom"/>
            <w:shd w:val="clear" w:color="auto" w:fill="CBECD5"/>
          </w:tcPr>
          <w:p>
            <w:pPr>
              <w:spacing w:after="0"/>
              <w:rPr>
                <w:sz w:val="7"/>
                <w:szCs w:val="7"/>
                <w:color w:val="auto"/>
              </w:rPr>
            </w:pPr>
          </w:p>
        </w:tc>
        <w:tc>
          <w:tcPr>
            <w:tcW w:w="580" w:type="dxa"/>
            <w:vAlign w:val="bottom"/>
            <w:vMerge w:val="continue"/>
            <w:shd w:val="clear" w:color="auto" w:fill="CBECD5"/>
          </w:tcPr>
          <w:p>
            <w:pPr>
              <w:spacing w:after="0"/>
              <w:rPr>
                <w:sz w:val="7"/>
                <w:szCs w:val="7"/>
                <w:color w:val="auto"/>
              </w:rPr>
            </w:pPr>
          </w:p>
        </w:tc>
        <w:tc>
          <w:tcPr>
            <w:tcW w:w="60" w:type="dxa"/>
            <w:vAlign w:val="bottom"/>
            <w:shd w:val="clear" w:color="auto" w:fill="CBECD5"/>
          </w:tcPr>
          <w:p>
            <w:pPr>
              <w:spacing w:after="0"/>
              <w:rPr>
                <w:sz w:val="7"/>
                <w:szCs w:val="7"/>
                <w:color w:val="auto"/>
              </w:rPr>
            </w:pPr>
          </w:p>
        </w:tc>
        <w:tc>
          <w:tcPr>
            <w:tcW w:w="40" w:type="dxa"/>
            <w:vAlign w:val="bottom"/>
            <w:shd w:val="clear" w:color="auto" w:fill="CBECD5"/>
          </w:tcPr>
          <w:p>
            <w:pPr>
              <w:spacing w:after="0"/>
              <w:rPr>
                <w:sz w:val="7"/>
                <w:szCs w:val="7"/>
                <w:color w:val="auto"/>
              </w:rPr>
            </w:pPr>
          </w:p>
        </w:tc>
        <w:tc>
          <w:tcPr>
            <w:tcW w:w="640" w:type="dxa"/>
            <w:vAlign w:val="bottom"/>
            <w:vMerge w:val="continue"/>
            <w:shd w:val="clear" w:color="auto" w:fill="CBECD5"/>
          </w:tcPr>
          <w:p>
            <w:pPr>
              <w:spacing w:after="0"/>
              <w:rPr>
                <w:sz w:val="7"/>
                <w:szCs w:val="7"/>
                <w:color w:val="auto"/>
              </w:rPr>
            </w:pPr>
          </w:p>
        </w:tc>
        <w:tc>
          <w:tcPr>
            <w:tcW w:w="140" w:type="dxa"/>
            <w:vAlign w:val="bottom"/>
            <w:shd w:val="clear" w:color="auto" w:fill="CBECD5"/>
          </w:tcPr>
          <w:p>
            <w:pPr>
              <w:spacing w:after="0"/>
              <w:rPr>
                <w:sz w:val="7"/>
                <w:szCs w:val="7"/>
                <w:color w:val="auto"/>
              </w:rPr>
            </w:pPr>
          </w:p>
        </w:tc>
        <w:tc>
          <w:tcPr>
            <w:tcW w:w="520" w:type="dxa"/>
            <w:vAlign w:val="bottom"/>
            <w:vMerge w:val="continue"/>
            <w:shd w:val="clear" w:color="auto" w:fill="CBECD5"/>
          </w:tcPr>
          <w:p>
            <w:pPr>
              <w:spacing w:after="0"/>
              <w:rPr>
                <w:sz w:val="7"/>
                <w:szCs w:val="7"/>
                <w:color w:val="auto"/>
              </w:rPr>
            </w:pPr>
          </w:p>
        </w:tc>
        <w:tc>
          <w:tcPr>
            <w:tcW w:w="120" w:type="dxa"/>
            <w:vAlign w:val="bottom"/>
            <w:shd w:val="clear" w:color="auto" w:fill="CBECD5"/>
          </w:tcPr>
          <w:p>
            <w:pPr>
              <w:spacing w:after="0"/>
              <w:rPr>
                <w:sz w:val="7"/>
                <w:szCs w:val="7"/>
                <w:color w:val="auto"/>
              </w:rPr>
            </w:pPr>
          </w:p>
        </w:tc>
        <w:tc>
          <w:tcPr>
            <w:tcW w:w="560" w:type="dxa"/>
            <w:vAlign w:val="bottom"/>
            <w:vMerge w:val="continue"/>
            <w:shd w:val="clear" w:color="auto" w:fill="CBECD5"/>
          </w:tcPr>
          <w:p>
            <w:pPr>
              <w:spacing w:after="0"/>
              <w:rPr>
                <w:sz w:val="7"/>
                <w:szCs w:val="7"/>
                <w:color w:val="auto"/>
              </w:rPr>
            </w:pPr>
          </w:p>
        </w:tc>
        <w:tc>
          <w:tcPr>
            <w:tcW w:w="60" w:type="dxa"/>
            <w:vAlign w:val="bottom"/>
            <w:shd w:val="clear" w:color="auto" w:fill="CBECD5"/>
          </w:tcPr>
          <w:p>
            <w:pPr>
              <w:spacing w:after="0"/>
              <w:rPr>
                <w:sz w:val="7"/>
                <w:szCs w:val="7"/>
                <w:color w:val="auto"/>
              </w:rPr>
            </w:pPr>
          </w:p>
        </w:tc>
        <w:tc>
          <w:tcPr>
            <w:tcW w:w="80" w:type="dxa"/>
            <w:vAlign w:val="bottom"/>
            <w:shd w:val="clear" w:color="auto" w:fill="CBECD5"/>
          </w:tcPr>
          <w:p>
            <w:pPr>
              <w:spacing w:after="0"/>
              <w:rPr>
                <w:sz w:val="7"/>
                <w:szCs w:val="7"/>
                <w:color w:val="auto"/>
              </w:rPr>
            </w:pPr>
          </w:p>
        </w:tc>
        <w:tc>
          <w:tcPr>
            <w:tcW w:w="600" w:type="dxa"/>
            <w:vAlign w:val="bottom"/>
            <w:vMerge w:val="continue"/>
            <w:shd w:val="clear" w:color="auto" w:fill="CBECD5"/>
          </w:tcPr>
          <w:p>
            <w:pPr>
              <w:spacing w:after="0"/>
              <w:rPr>
                <w:sz w:val="7"/>
                <w:szCs w:val="7"/>
                <w:color w:val="auto"/>
              </w:rPr>
            </w:pPr>
          </w:p>
        </w:tc>
        <w:tc>
          <w:tcPr>
            <w:tcW w:w="180" w:type="dxa"/>
            <w:vAlign w:val="bottom"/>
            <w:shd w:val="clear" w:color="auto" w:fill="CBECD5"/>
          </w:tcPr>
          <w:p>
            <w:pPr>
              <w:spacing w:after="0"/>
              <w:rPr>
                <w:sz w:val="7"/>
                <w:szCs w:val="7"/>
                <w:color w:val="auto"/>
              </w:rPr>
            </w:pPr>
          </w:p>
        </w:tc>
        <w:tc>
          <w:tcPr>
            <w:tcW w:w="300" w:type="dxa"/>
            <w:vAlign w:val="bottom"/>
            <w:vMerge w:val="continue"/>
            <w:shd w:val="clear" w:color="auto" w:fill="CBECD5"/>
          </w:tcPr>
          <w:p>
            <w:pPr>
              <w:spacing w:after="0"/>
              <w:rPr>
                <w:sz w:val="7"/>
                <w:szCs w:val="7"/>
                <w:color w:val="auto"/>
              </w:rPr>
            </w:pPr>
          </w:p>
        </w:tc>
        <w:tc>
          <w:tcPr>
            <w:tcW w:w="140" w:type="dxa"/>
            <w:vAlign w:val="bottom"/>
            <w:shd w:val="clear" w:color="auto" w:fill="CBECD5"/>
          </w:tcPr>
          <w:p>
            <w:pPr>
              <w:spacing w:after="0"/>
              <w:rPr>
                <w:sz w:val="7"/>
                <w:szCs w:val="7"/>
                <w:color w:val="auto"/>
              </w:rPr>
            </w:pPr>
          </w:p>
        </w:tc>
        <w:tc>
          <w:tcPr>
            <w:tcW w:w="560" w:type="dxa"/>
            <w:vAlign w:val="bottom"/>
            <w:gridSpan w:val="2"/>
            <w:vMerge w:val="continue"/>
            <w:shd w:val="clear" w:color="auto" w:fill="CBECD5"/>
          </w:tcPr>
          <w:p>
            <w:pPr>
              <w:spacing w:after="0"/>
              <w:rPr>
                <w:sz w:val="7"/>
                <w:szCs w:val="7"/>
                <w:color w:val="auto"/>
              </w:rPr>
            </w:pPr>
          </w:p>
        </w:tc>
        <w:tc>
          <w:tcPr>
            <w:tcW w:w="100" w:type="dxa"/>
            <w:vAlign w:val="bottom"/>
            <w:shd w:val="clear" w:color="auto" w:fill="CBECD5"/>
          </w:tcPr>
          <w:p>
            <w:pPr>
              <w:spacing w:after="0"/>
              <w:rPr>
                <w:sz w:val="7"/>
                <w:szCs w:val="7"/>
                <w:color w:val="auto"/>
              </w:rPr>
            </w:pPr>
          </w:p>
        </w:tc>
        <w:tc>
          <w:tcPr>
            <w:tcW w:w="640" w:type="dxa"/>
            <w:vAlign w:val="bottom"/>
            <w:vMerge w:val="continue"/>
            <w:shd w:val="clear" w:color="auto" w:fill="CBECD5"/>
          </w:tcPr>
          <w:p>
            <w:pPr>
              <w:spacing w:after="0"/>
              <w:rPr>
                <w:sz w:val="7"/>
                <w:szCs w:val="7"/>
                <w:color w:val="auto"/>
              </w:rPr>
            </w:pPr>
          </w:p>
        </w:tc>
        <w:tc>
          <w:tcPr>
            <w:tcW w:w="120" w:type="dxa"/>
            <w:vAlign w:val="bottom"/>
            <w:shd w:val="clear" w:color="auto" w:fill="CBECD5"/>
          </w:tcPr>
          <w:p>
            <w:pPr>
              <w:spacing w:after="0"/>
              <w:rPr>
                <w:sz w:val="7"/>
                <w:szCs w:val="7"/>
                <w:color w:val="auto"/>
              </w:rPr>
            </w:pPr>
          </w:p>
        </w:tc>
        <w:tc>
          <w:tcPr>
            <w:tcW w:w="660" w:type="dxa"/>
            <w:vAlign w:val="bottom"/>
            <w:vMerge w:val="continue"/>
            <w:shd w:val="clear" w:color="auto" w:fill="CBECD5"/>
          </w:tcPr>
          <w:p>
            <w:pPr>
              <w:spacing w:after="0"/>
              <w:rPr>
                <w:sz w:val="7"/>
                <w:szCs w:val="7"/>
                <w:color w:val="auto"/>
              </w:rPr>
            </w:pPr>
          </w:p>
        </w:tc>
        <w:tc>
          <w:tcPr>
            <w:tcW w:w="100" w:type="dxa"/>
            <w:vAlign w:val="bottom"/>
            <w:shd w:val="clear" w:color="auto" w:fill="CBECD5"/>
          </w:tcPr>
          <w:p>
            <w:pPr>
              <w:spacing w:after="0"/>
              <w:rPr>
                <w:sz w:val="7"/>
                <w:szCs w:val="7"/>
                <w:color w:val="auto"/>
              </w:rPr>
            </w:pPr>
          </w:p>
        </w:tc>
        <w:tc>
          <w:tcPr>
            <w:tcW w:w="720" w:type="dxa"/>
            <w:vAlign w:val="bottom"/>
            <w:vMerge w:val="continue"/>
            <w:shd w:val="clear" w:color="auto" w:fill="CBECD5"/>
          </w:tcPr>
          <w:p>
            <w:pPr>
              <w:spacing w:after="0"/>
              <w:rPr>
                <w:sz w:val="7"/>
                <w:szCs w:val="7"/>
                <w:color w:val="auto"/>
              </w:rPr>
            </w:pPr>
          </w:p>
        </w:tc>
        <w:tc>
          <w:tcPr>
            <w:tcW w:w="100" w:type="dxa"/>
            <w:vAlign w:val="bottom"/>
            <w:shd w:val="clear" w:color="auto" w:fill="CBECD5"/>
          </w:tcPr>
          <w:p>
            <w:pPr>
              <w:spacing w:after="0"/>
              <w:rPr>
                <w:sz w:val="7"/>
                <w:szCs w:val="7"/>
                <w:color w:val="auto"/>
              </w:rPr>
            </w:pPr>
          </w:p>
        </w:tc>
        <w:tc>
          <w:tcPr>
            <w:tcW w:w="680" w:type="dxa"/>
            <w:vAlign w:val="bottom"/>
            <w:vMerge w:val="continue"/>
            <w:shd w:val="clear" w:color="auto" w:fill="CBECD5"/>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BECD5"/>
          </w:tcPr>
          <w:p>
            <w:pPr>
              <w:spacing w:after="0"/>
              <w:rPr>
                <w:sz w:val="17"/>
                <w:szCs w:val="17"/>
                <w:color w:val="auto"/>
              </w:rPr>
            </w:pPr>
          </w:p>
        </w:tc>
        <w:tc>
          <w:tcPr>
            <w:tcW w:w="800" w:type="dxa"/>
            <w:vAlign w:val="bottom"/>
            <w:gridSpan w:val="4"/>
            <w:shd w:val="clear" w:color="auto" w:fill="CBECD5"/>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8/30/2022 </w:t>
            </w:r>
            <w:r>
              <w:rPr>
                <w:rFonts w:ascii="Arial" w:cs="Arial" w:eastAsia="Arial" w:hAnsi="Arial"/>
                <w:sz w:val="23"/>
                <w:szCs w:val="23"/>
                <w:color w:val="auto"/>
                <w:vertAlign w:val="superscript"/>
              </w:rPr>
              <w:t>​​</w:t>
            </w:r>
          </w:p>
        </w:tc>
        <w:tc>
          <w:tcPr>
            <w:tcW w:w="780" w:type="dxa"/>
            <w:vAlign w:val="bottom"/>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gridSpan w:val="3"/>
            <w:shd w:val="clear" w:color="auto" w:fill="CBECD5"/>
          </w:tcPr>
          <w:p>
            <w:pPr>
              <w:jc w:val="right"/>
              <w:ind w:righ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80" w:type="dxa"/>
            <w:vAlign w:val="bottom"/>
            <w:gridSpan w:val="2"/>
            <w:shd w:val="clear" w:color="auto" w:fill="CBECD5"/>
          </w:tcPr>
          <w:p>
            <w:pPr>
              <w:jc w:val="right"/>
              <w:ind w:right="45"/>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440" w:type="dxa"/>
            <w:vAlign w:val="bottom"/>
            <w:gridSpan w:val="2"/>
            <w:shd w:val="clear" w:color="auto" w:fill="CBECD5"/>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60" w:type="dxa"/>
            <w:vAlign w:val="bottom"/>
            <w:gridSpan w:val="3"/>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20" w:type="dxa"/>
            <w:vAlign w:val="bottom"/>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148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53C072"/>
            </w:tcBorders>
            <w:shd w:val="clear" w:color="auto" w:fill="CBECD5"/>
          </w:tcPr>
          <w:p>
            <w:pPr>
              <w:spacing w:after="0"/>
              <w:rPr>
                <w:sz w:val="22"/>
                <w:szCs w:val="22"/>
                <w:color w:val="auto"/>
              </w:rPr>
            </w:pPr>
          </w:p>
        </w:tc>
        <w:tc>
          <w:tcPr>
            <w:tcW w:w="800" w:type="dxa"/>
            <w:vAlign w:val="bottom"/>
            <w:tcBorders>
              <w:bottom w:val="single" w:sz="8" w:color="53C072"/>
            </w:tcBorders>
            <w:gridSpan w:val="4"/>
            <w:shd w:val="clear" w:color="auto" w:fill="CBECD5"/>
          </w:tcPr>
          <w:p>
            <w:pPr>
              <w:ind w:left="40"/>
              <w:spacing w:after="0" w:line="25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8/30/2022 </w:t>
            </w:r>
            <w:r>
              <w:rPr>
                <w:rFonts w:ascii="Arial" w:cs="Arial" w:eastAsia="Arial" w:hAnsi="Arial"/>
                <w:sz w:val="25"/>
                <w:szCs w:val="25"/>
                <w:color w:val="auto"/>
                <w:vertAlign w:val="superscript"/>
              </w:rPr>
              <w:t>​​</w:t>
            </w:r>
          </w:p>
        </w:tc>
        <w:tc>
          <w:tcPr>
            <w:tcW w:w="780" w:type="dxa"/>
            <w:vAlign w:val="bottom"/>
            <w:tcBorders>
              <w:bottom w:val="single" w:sz="8" w:color="53C072"/>
            </w:tcBorders>
            <w:gridSpan w:val="2"/>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640" w:type="dxa"/>
            <w:vAlign w:val="bottom"/>
            <w:tcBorders>
              <w:bottom w:val="single" w:sz="8" w:color="53C072"/>
            </w:tcBorders>
            <w:gridSpan w:val="2"/>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00" w:type="dxa"/>
            <w:vAlign w:val="bottom"/>
            <w:tcBorders>
              <w:bottom w:val="single" w:sz="8" w:color="53C072"/>
            </w:tcBorders>
            <w:gridSpan w:val="3"/>
            <w:shd w:val="clear" w:color="auto" w:fill="CBECD5"/>
          </w:tcPr>
          <w:p>
            <w:pPr>
              <w:jc w:val="right"/>
              <w:ind w:right="40"/>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53C072"/>
            </w:tcBorders>
            <w:gridSpan w:val="2"/>
            <w:shd w:val="clear" w:color="auto" w:fill="CBECD5"/>
          </w:tcPr>
          <w:p>
            <w:pPr>
              <w:jc w:val="right"/>
              <w:ind w:right="45"/>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440" w:type="dxa"/>
            <w:vAlign w:val="bottom"/>
            <w:tcBorders>
              <w:bottom w:val="single" w:sz="8" w:color="53C072"/>
            </w:tcBorders>
            <w:gridSpan w:val="2"/>
            <w:shd w:val="clear" w:color="auto" w:fill="CBECD5"/>
          </w:tcPr>
          <w:p>
            <w:pPr>
              <w:jc w:val="right"/>
              <w:ind w:right="8"/>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660" w:type="dxa"/>
            <w:vAlign w:val="bottom"/>
            <w:tcBorders>
              <w:bottom w:val="single" w:sz="8" w:color="53C072"/>
            </w:tcBorders>
            <w:gridSpan w:val="3"/>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53C072"/>
            </w:tcBorders>
            <w:gridSpan w:val="2"/>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53C072"/>
            </w:tcBorders>
            <w:gridSpan w:val="2"/>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820" w:type="dxa"/>
            <w:vAlign w:val="bottom"/>
            <w:tcBorders>
              <w:bottom w:val="single" w:sz="8" w:color="53C072"/>
            </w:tcBorders>
            <w:gridSpan w:val="2"/>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6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-2588260</wp:posOffset>
            </wp:positionV>
            <wp:extent cx="254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-2588260</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 w:lineRule="exact"/>
        <w:rPr>
          <w:sz w:val="20"/>
          <w:szCs w:val="20"/>
          <w:color w:val="auto"/>
        </w:rPr>
      </w:pPr>
    </w:p>
    <w:p>
      <w:pPr>
        <w:ind w:left="1280" w:right="40" w:hanging="713"/>
        <w:spacing w:after="0" w:line="278" w:lineRule="auto"/>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all the NEOs except Mr. Jacobson, the threshold column assumes payout of 32% of the target amount and the maximum column is 200% of the target amount. Mr. Jacobson’s target amount includes his incentive award granted prior to his promotion and his incentive award granted upon his promotion to CFO, both prorated, and his payout at threshold is 34% of the target amount. Achievement below the threshold would yield a payout of $0.</w:t>
      </w:r>
    </w:p>
    <w:p>
      <w:pPr>
        <w:spacing w:after="0" w:line="106" w:lineRule="exact"/>
        <w:rPr>
          <w:rFonts w:ascii="Arial" w:cs="Arial" w:eastAsia="Arial" w:hAnsi="Arial"/>
          <w:sz w:val="17"/>
          <w:szCs w:val="17"/>
          <w:color w:val="auto"/>
        </w:rPr>
      </w:pPr>
    </w:p>
    <w:p>
      <w:pPr>
        <w:ind w:left="1280" w:hanging="713"/>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vesting schedules for the RSU and PSU grants made in fiscal 2023 are as follows:</w:t>
      </w:r>
    </w:p>
    <w:p>
      <w:pPr>
        <w:spacing w:after="0" w:line="157" w:lineRule="exact"/>
        <w:rPr>
          <w:rFonts w:ascii="Arial" w:cs="Arial" w:eastAsia="Arial" w:hAnsi="Arial"/>
          <w:sz w:val="18"/>
          <w:szCs w:val="18"/>
          <w:color w:val="auto"/>
        </w:rPr>
      </w:pPr>
    </w:p>
    <w:p>
      <w:pPr>
        <w:ind w:left="1280" w:right="280" w:hanging="713"/>
        <w:spacing w:after="0" w:line="275"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target non-equity incentive award for Ms. Obregon-Jimenez is prorated for the period in fiscal 2023 during which she was employed by the Company.</w:t>
      </w:r>
    </w:p>
    <w:p>
      <w:pPr>
        <w:sectPr>
          <w:pgSz w:w="11900" w:h="16838" w:orient="portrait"/>
          <w:cols w:equalWidth="0" w:num="1">
            <w:col w:w="10260"/>
          </w:cols>
          <w:pgMar w:left="580" w:top="90" w:right="1059" w:bottom="1440" w:gutter="0" w:footer="0" w:header="0"/>
        </w:sectPr>
      </w:pPr>
    </w:p>
    <w:p>
      <w:pPr>
        <w:spacing w:after="0" w:line="40" w:lineRule="exact"/>
        <w:rPr>
          <w:sz w:val="20"/>
          <w:szCs w:val="20"/>
          <w:color w:val="auto"/>
        </w:rPr>
      </w:pPr>
    </w:p>
    <w:p>
      <w:pPr>
        <w:ind w:left="600" w:hanging="105"/>
        <w:spacing w:after="0"/>
        <w:tabs>
          <w:tab w:leader="none" w:pos="600" w:val="left"/>
        </w:tabs>
        <w:numPr>
          <w:ilvl w:val="0"/>
          <w:numId w:val="74"/>
        </w:numPr>
        <w:rPr>
          <w:rFonts w:ascii="Arial" w:cs="Arial" w:eastAsia="Arial" w:hAnsi="Arial"/>
          <w:sz w:val="29"/>
          <w:szCs w:val="29"/>
          <w:b w:val="1"/>
          <w:bCs w:val="1"/>
          <w:color w:val="FFFFFF"/>
          <w:vertAlign w:val="subscript"/>
        </w:rPr>
      </w:pPr>
      <w:r>
        <w:rPr>
          <w:rFonts w:ascii="Arial" w:cs="Arial" w:eastAsia="Arial" w:hAnsi="Arial"/>
          <w:sz w:val="14"/>
          <w:szCs w:val="14"/>
          <w:b w:val="1"/>
          <w:bCs w:val="1"/>
          <w:color w:val="FFFFFF"/>
        </w:rPr>
        <w:t>Type of Awards Made in Fiscal 2023</w:t>
      </w:r>
    </w:p>
    <w:p>
      <w:pPr>
        <w:spacing w:after="0" w:line="27" w:lineRule="exact"/>
        <w:rPr>
          <w:rFonts w:ascii="Arial" w:cs="Arial" w:eastAsia="Arial" w:hAnsi="Arial"/>
          <w:sz w:val="29"/>
          <w:szCs w:val="29"/>
          <w:b w:val="1"/>
          <w:bCs w:val="1"/>
          <w:color w:val="FFFFFF"/>
          <w:vertAlign w:val="subscript"/>
        </w:rPr>
      </w:pPr>
    </w:p>
    <w:p>
      <w:pPr>
        <w:ind w:left="600" w:hanging="105"/>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Restricted Stock Units (RSUs)</w:t>
      </w:r>
    </w:p>
    <w:p>
      <w:pPr>
        <w:spacing w:after="0" w:line="335" w:lineRule="exact"/>
        <w:rPr>
          <w:rFonts w:ascii="Arial" w:cs="Arial" w:eastAsia="Arial" w:hAnsi="Arial"/>
          <w:sz w:val="18"/>
          <w:szCs w:val="18"/>
          <w:color w:val="auto"/>
        </w:rPr>
      </w:pPr>
    </w:p>
    <w:p>
      <w:pPr>
        <w:ind w:left="600" w:hanging="105"/>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Performance Share Units (PSUs)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8"/>
        </w:trPr>
        <w:tc>
          <w:tcPr>
            <w:tcW w:w="5280" w:type="dxa"/>
            <w:vAlign w:val="bottom"/>
          </w:tcPr>
          <w:p>
            <w:pPr>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Vesting Schedule</w:t>
            </w:r>
          </w:p>
        </w:tc>
        <w:tc>
          <w:tcPr>
            <w:tcW w:w="840" w:type="dxa"/>
            <w:vAlign w:val="bottom"/>
          </w:tcPr>
          <w:p>
            <w:pPr>
              <w:ind w:left="780"/>
              <w:spacing w:after="0"/>
              <w:rPr>
                <w:sz w:val="20"/>
                <w:szCs w:val="20"/>
                <w:color w:val="auto"/>
              </w:rPr>
            </w:pPr>
            <w:r>
              <w:rPr>
                <w:rFonts w:ascii="Arial" w:cs="Arial" w:eastAsia="Arial" w:hAnsi="Arial"/>
                <w:sz w:val="14"/>
                <w:szCs w:val="14"/>
                <w:b w:val="1"/>
                <w:bCs w:val="1"/>
                <w:color w:val="FFFFFF"/>
              </w:rPr>
              <w:t>​</w:t>
            </w:r>
          </w:p>
        </w:tc>
      </w:tr>
      <w:tr>
        <w:trPr>
          <w:trHeight w:val="256"/>
        </w:trPr>
        <w:tc>
          <w:tcPr>
            <w:tcW w:w="5280" w:type="dxa"/>
            <w:vAlign w:val="bottom"/>
          </w:tcPr>
          <w:p>
            <w:pPr>
              <w:spacing w:after="0"/>
              <w:rPr>
                <w:sz w:val="20"/>
                <w:szCs w:val="20"/>
                <w:color w:val="auto"/>
              </w:rPr>
            </w:pPr>
            <w:r>
              <w:rPr>
                <w:rFonts w:ascii="Arial" w:cs="Arial" w:eastAsia="Arial" w:hAnsi="Arial"/>
                <w:sz w:val="18"/>
                <w:szCs w:val="18"/>
                <w:color w:val="auto"/>
              </w:rPr>
              <w:t>​ ​ 25% each on the first business day in January of 2023</w:t>
            </w:r>
          </w:p>
        </w:tc>
        <w:tc>
          <w:tcPr>
            <w:tcW w:w="8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tcPr>
          <w:p>
            <w:pPr>
              <w:ind w:left="220"/>
              <w:spacing w:after="0"/>
              <w:rPr>
                <w:sz w:val="20"/>
                <w:szCs w:val="20"/>
                <w:color w:val="auto"/>
              </w:rPr>
            </w:pPr>
            <w:r>
              <w:rPr>
                <w:rFonts w:ascii="Arial" w:cs="Arial" w:eastAsia="Arial" w:hAnsi="Arial"/>
                <w:sz w:val="18"/>
                <w:szCs w:val="18"/>
                <w:color w:val="auto"/>
              </w:rPr>
              <w:t>through 2026.</w:t>
            </w:r>
          </w:p>
        </w:tc>
        <w:tc>
          <w:tcPr>
            <w:tcW w:w="8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-471170</wp:posOffset>
            </wp:positionV>
            <wp:extent cx="6180455"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8" w:lineRule="exact"/>
        <w:rPr>
          <w:sz w:val="20"/>
          <w:szCs w:val="20"/>
          <w:color w:val="auto"/>
        </w:rPr>
      </w:pPr>
    </w:p>
    <w:p>
      <w:pPr>
        <w:ind w:left="220" w:right="80" w:hanging="215"/>
        <w:spacing w:after="0" w:line="269" w:lineRule="auto"/>
        <w:rPr>
          <w:sz w:val="20"/>
          <w:szCs w:val="20"/>
          <w:color w:val="auto"/>
        </w:rPr>
      </w:pPr>
      <w:r>
        <w:rPr>
          <w:rFonts w:ascii="Arial" w:cs="Arial" w:eastAsia="Arial" w:hAnsi="Arial"/>
          <w:sz w:val="18"/>
          <w:szCs w:val="18"/>
          <w:color w:val="auto"/>
        </w:rPr>
        <w:t>​ ​ Vests, to the extent earned under all three tranches if at all, at the end of ​ fiscal 2025, June 28, 2025. The one-fiscal-year performance period for each tranche over the three-year period is measured on a discrete basis as further explained in the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-580390</wp:posOffset>
            </wp:positionV>
            <wp:extent cx="6180455" cy="6172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80455" cy="61722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340" w:space="720"/>
            <w:col w:w="6200"/>
          </w:cols>
          <w:pgMar w:left="580" w:top="90" w:right="1059" w:bottom="1440" w:gutter="0" w:footer="0" w:header="0"/>
          <w:type w:val="continuous"/>
        </w:sectPr>
      </w:pPr>
    </w:p>
    <w:p>
      <w:pPr>
        <w:jc w:val="both"/>
        <w:ind w:left="500" w:right="20"/>
        <w:spacing w:after="0" w:line="263" w:lineRule="auto"/>
        <w:rPr>
          <w:sz w:val="20"/>
          <w:szCs w:val="20"/>
          <w:color w:val="auto"/>
        </w:rPr>
      </w:pPr>
      <w:r>
        <w:rPr>
          <w:rFonts w:ascii="Arial" w:cs="Arial" w:eastAsia="Arial" w:hAnsi="Arial"/>
          <w:sz w:val="18"/>
          <w:szCs w:val="18"/>
          <w:color w:val="auto"/>
        </w:rPr>
        <w:t>For additional description of the terms and awards of RSUs and PSUs made in fiscal 2023, see the description of long-term incentives in the CD&amp;A and Note 12 to the Company’s Consolidated Financial Statements included in its Form 10-K for the fiscal year ended July 1, 2023.</w:t>
      </w:r>
    </w:p>
    <w:p>
      <w:pPr>
        <w:spacing w:after="0" w:line="200" w:lineRule="exact"/>
        <w:rPr>
          <w:sz w:val="20"/>
          <w:szCs w:val="20"/>
          <w:color w:val="auto"/>
        </w:rPr>
      </w:pPr>
    </w:p>
    <w:p>
      <w:pPr>
        <w:spacing w:after="0" w:line="24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4"/>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3C072"/>
        </w:rPr>
        <w:t>OUTSTANDING EQUITY AWARDS AT FISCAL YEAR-END</w:t>
      </w:r>
    </w:p>
    <w:p>
      <w:pPr>
        <w:spacing w:after="0" w:line="172"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July 1, 2023. This table includes unexercised and unearned option grants, as well as unvested RSUs. The PSUs in the table below include the unvested PSUs earned under the first tranche based on the achievement of performance goals for fiscal 2023 and assumes achievement of performance goals at target for the remaining two tranches.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July 1, 2023, which was $50.45. For additional information about the option grants and stock awards, see the description of long-term incentives in the CD&amp;A and Note 12 to the Company’s Consolidated Financial Statements included in its Form 10-K for the fiscal year ended July 1, 2023.</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00" w:type="dxa"/>
            <w:vAlign w:val="bottom"/>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5"/>
                <w:szCs w:val="15"/>
                <w:color w:val="auto"/>
              </w:rPr>
            </w:pPr>
          </w:p>
        </w:tc>
        <w:tc>
          <w:tcPr>
            <w:tcW w:w="830" w:type="dxa"/>
            <w:vAlign w:val="bottom"/>
            <w:shd w:val="clear" w:color="auto" w:fill="53C072"/>
          </w:tcPr>
          <w:p>
            <w:pPr>
              <w:spacing w:after="0"/>
              <w:rPr>
                <w:sz w:val="15"/>
                <w:szCs w:val="15"/>
                <w:color w:val="auto"/>
              </w:rPr>
            </w:pPr>
          </w:p>
        </w:tc>
        <w:tc>
          <w:tcPr>
            <w:tcW w:w="90" w:type="dxa"/>
            <w:vAlign w:val="bottom"/>
            <w:shd w:val="clear" w:color="auto" w:fill="53C072"/>
          </w:tcPr>
          <w:p>
            <w:pPr>
              <w:ind w:left="1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82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8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1400" w:type="dxa"/>
            <w:vAlign w:val="bottom"/>
            <w:gridSpan w:val="4"/>
            <w:shd w:val="clear" w:color="auto" w:fill="53C072"/>
          </w:tcPr>
          <w:p>
            <w:pPr>
              <w:jc w:val="right"/>
              <w:spacing w:after="0"/>
              <w:rPr>
                <w:sz w:val="20"/>
                <w:szCs w:val="20"/>
                <w:color w:val="auto"/>
              </w:rPr>
            </w:pPr>
            <w:r>
              <w:rPr>
                <w:rFonts w:ascii="Arial" w:cs="Arial" w:eastAsia="Arial" w:hAnsi="Arial"/>
                <w:sz w:val="13"/>
                <w:szCs w:val="13"/>
                <w:b w:val="1"/>
                <w:bCs w:val="1"/>
                <w:color w:val="FEFEFE"/>
              </w:rPr>
              <w:t>Option Awards ​​</w:t>
            </w:r>
          </w:p>
        </w:tc>
        <w:tc>
          <w:tcPr>
            <w:tcW w:w="6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80" w:type="dxa"/>
            <w:vAlign w:val="bottom"/>
            <w:shd w:val="clear" w:color="auto" w:fill="53C072"/>
          </w:tcPr>
          <w:p>
            <w:pPr>
              <w:spacing w:after="0"/>
              <w:rPr>
                <w:sz w:val="15"/>
                <w:szCs w:val="15"/>
                <w:color w:val="auto"/>
              </w:rPr>
            </w:pPr>
          </w:p>
        </w:tc>
        <w:tc>
          <w:tcPr>
            <w:tcW w:w="80" w:type="dxa"/>
            <w:vAlign w:val="bottom"/>
            <w:shd w:val="clear" w:color="auto" w:fill="53C072"/>
          </w:tcPr>
          <w:p>
            <w:pPr>
              <w:spacing w:after="0"/>
              <w:rPr>
                <w:sz w:val="15"/>
                <w:szCs w:val="15"/>
                <w:color w:val="auto"/>
              </w:rPr>
            </w:pPr>
          </w:p>
        </w:tc>
        <w:tc>
          <w:tcPr>
            <w:tcW w:w="66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2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 Awards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5"/>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EFEFE"/>
              </w:rPr>
              <w:t>Equity</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EFEFE"/>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30" w:type="dxa"/>
            <w:vAlign w:val="bottom"/>
            <w:shd w:val="clear" w:color="auto" w:fill="53C072"/>
          </w:tcPr>
          <w:p>
            <w:pPr>
              <w:spacing w:after="0"/>
              <w:rPr>
                <w:sz w:val="14"/>
                <w:szCs w:val="14"/>
                <w:color w:val="auto"/>
              </w:rPr>
            </w:pPr>
          </w:p>
        </w:tc>
        <w:tc>
          <w:tcPr>
            <w:tcW w:w="90" w:type="dxa"/>
            <w:vAlign w:val="bottom"/>
            <w:shd w:val="clear" w:color="auto" w:fill="53C072"/>
          </w:tcPr>
          <w:p>
            <w:pPr>
              <w:spacing w:after="0"/>
              <w:rPr>
                <w:sz w:val="14"/>
                <w:szCs w:val="14"/>
                <w:color w:val="auto"/>
              </w:rPr>
            </w:pPr>
          </w:p>
        </w:tc>
        <w:tc>
          <w:tcPr>
            <w:tcW w:w="6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8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8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5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Incentive</w:t>
            </w:r>
          </w:p>
        </w:tc>
        <w:tc>
          <w:tcPr>
            <w:tcW w:w="100" w:type="dxa"/>
            <w:vAlign w:val="bottom"/>
            <w:shd w:val="clear" w:color="auto" w:fill="53C072"/>
          </w:tcPr>
          <w:p>
            <w:pPr>
              <w:spacing w:after="0"/>
              <w:rPr>
                <w:sz w:val="14"/>
                <w:szCs w:val="14"/>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Plan</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780" w:type="dxa"/>
            <w:vAlign w:val="bottom"/>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3C072"/>
          </w:tcPr>
          <w:p>
            <w:pPr>
              <w:spacing w:after="0"/>
              <w:rPr>
                <w:sz w:val="12"/>
                <w:szCs w:val="12"/>
                <w:color w:val="auto"/>
              </w:rPr>
            </w:pP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Market</w:t>
            </w: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780" w:type="dxa"/>
            <w:vAlign w:val="bottom"/>
            <w:gridSpan w:val="2"/>
            <w:vMerge w:val="continue"/>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60" w:type="dxa"/>
            <w:vAlign w:val="bottom"/>
            <w:vMerge w:val="continue"/>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Unearned</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30" w:type="dxa"/>
            <w:vAlign w:val="bottom"/>
            <w:shd w:val="clear" w:color="auto" w:fill="53C072"/>
          </w:tcPr>
          <w:p>
            <w:pPr>
              <w:spacing w:after="0"/>
              <w:rPr>
                <w:sz w:val="14"/>
                <w:szCs w:val="14"/>
                <w:color w:val="auto"/>
              </w:rPr>
            </w:pPr>
          </w:p>
        </w:tc>
        <w:tc>
          <w:tcPr>
            <w:tcW w:w="90" w:type="dxa"/>
            <w:vAlign w:val="bottom"/>
            <w:shd w:val="clear" w:color="auto" w:fill="53C072"/>
          </w:tcPr>
          <w:p>
            <w:pPr>
              <w:spacing w:after="0"/>
              <w:rPr>
                <w:sz w:val="14"/>
                <w:szCs w:val="14"/>
                <w:color w:val="auto"/>
              </w:rPr>
            </w:pPr>
          </w:p>
        </w:tc>
        <w:tc>
          <w:tcPr>
            <w:tcW w:w="6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82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3C072"/>
          </w:tcPr>
          <w:p>
            <w:pPr>
              <w:spacing w:after="0"/>
              <w:rPr>
                <w:sz w:val="14"/>
                <w:szCs w:val="14"/>
                <w:color w:val="auto"/>
              </w:rPr>
            </w:pPr>
          </w:p>
        </w:tc>
        <w:tc>
          <w:tcPr>
            <w:tcW w:w="8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40" w:type="dxa"/>
            <w:vAlign w:val="bottom"/>
            <w:shd w:val="clear" w:color="auto" w:fill="53C072"/>
          </w:tcPr>
          <w:p>
            <w:pPr>
              <w:spacing w:after="0"/>
              <w:rPr>
                <w:sz w:val="14"/>
                <w:szCs w:val="14"/>
                <w:color w:val="auto"/>
              </w:rPr>
            </w:pPr>
          </w:p>
        </w:tc>
        <w:tc>
          <w:tcPr>
            <w:tcW w:w="5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w w:val="99"/>
              </w:rPr>
              <w:t>Shares or</w:t>
            </w:r>
          </w:p>
        </w:tc>
        <w:tc>
          <w:tcPr>
            <w:tcW w:w="8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Value of</w:t>
            </w:r>
          </w:p>
        </w:tc>
        <w:tc>
          <w:tcPr>
            <w:tcW w:w="180" w:type="dxa"/>
            <w:vAlign w:val="bottom"/>
            <w:shd w:val="clear" w:color="auto" w:fill="53C072"/>
          </w:tcPr>
          <w:p>
            <w:pPr>
              <w:spacing w:after="0"/>
              <w:rPr>
                <w:sz w:val="14"/>
                <w:szCs w:val="14"/>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Shares,</w:t>
            </w:r>
          </w:p>
        </w:tc>
        <w:tc>
          <w:tcPr>
            <w:tcW w:w="100" w:type="dxa"/>
            <w:vAlign w:val="bottom"/>
            <w:shd w:val="clear" w:color="auto" w:fill="53C072"/>
          </w:tcPr>
          <w:p>
            <w:pPr>
              <w:spacing w:after="0"/>
              <w:rPr>
                <w:sz w:val="14"/>
                <w:szCs w:val="14"/>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vMerge w:val="continue"/>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74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Shares or</w:t>
            </w: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or</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80" w:type="dxa"/>
            <w:vAlign w:val="bottom"/>
            <w:shd w:val="clear" w:color="auto" w:fill="53C072"/>
          </w:tcPr>
          <w:p>
            <w:pPr>
              <w:spacing w:after="0"/>
              <w:rPr>
                <w:sz w:val="12"/>
                <w:szCs w:val="12"/>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Other</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830" w:type="dxa"/>
            <w:vAlign w:val="bottom"/>
            <w:shd w:val="clear" w:color="auto" w:fill="53C072"/>
          </w:tcPr>
          <w:p>
            <w:pPr>
              <w:spacing w:after="0"/>
              <w:rPr>
                <w:sz w:val="13"/>
                <w:szCs w:val="13"/>
                <w:color w:val="auto"/>
              </w:rPr>
            </w:pPr>
          </w:p>
        </w:tc>
        <w:tc>
          <w:tcPr>
            <w:tcW w:w="9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40" w:type="dxa"/>
            <w:vAlign w:val="bottom"/>
            <w:shd w:val="clear" w:color="auto" w:fill="53C072"/>
          </w:tcPr>
          <w:p>
            <w:pPr>
              <w:spacing w:after="0"/>
              <w:rPr>
                <w:sz w:val="13"/>
                <w:szCs w:val="13"/>
                <w:color w:val="auto"/>
              </w:rPr>
            </w:pPr>
          </w:p>
        </w:tc>
        <w:tc>
          <w:tcPr>
            <w:tcW w:w="52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8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80" w:type="dxa"/>
            <w:vAlign w:val="bottom"/>
            <w:shd w:val="clear" w:color="auto" w:fill="53C072"/>
          </w:tcPr>
          <w:p>
            <w:pPr>
              <w:spacing w:after="0"/>
              <w:rPr>
                <w:sz w:val="13"/>
                <w:szCs w:val="13"/>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Rights</w:t>
            </w:r>
          </w:p>
        </w:tc>
        <w:tc>
          <w:tcPr>
            <w:tcW w:w="100" w:type="dxa"/>
            <w:vAlign w:val="bottom"/>
            <w:shd w:val="clear" w:color="auto" w:fill="53C072"/>
          </w:tcPr>
          <w:p>
            <w:pPr>
              <w:spacing w:after="0"/>
              <w:rPr>
                <w:sz w:val="13"/>
                <w:szCs w:val="13"/>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Units 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830" w:type="dxa"/>
            <w:vAlign w:val="bottom"/>
            <w:shd w:val="clear" w:color="auto" w:fill="53C072"/>
          </w:tcPr>
          <w:p>
            <w:pPr>
              <w:spacing w:after="0"/>
              <w:rPr>
                <w:sz w:val="13"/>
                <w:szCs w:val="13"/>
                <w:color w:val="auto"/>
              </w:rPr>
            </w:pPr>
          </w:p>
        </w:tc>
        <w:tc>
          <w:tcPr>
            <w:tcW w:w="9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9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40" w:type="dxa"/>
            <w:vAlign w:val="bottom"/>
            <w:shd w:val="clear" w:color="auto" w:fill="53C072"/>
          </w:tcPr>
          <w:p>
            <w:pPr>
              <w:spacing w:after="0"/>
              <w:rPr>
                <w:sz w:val="13"/>
                <w:szCs w:val="13"/>
                <w:color w:val="auto"/>
              </w:rPr>
            </w:pPr>
          </w:p>
        </w:tc>
        <w:tc>
          <w:tcPr>
            <w:tcW w:w="520" w:type="dxa"/>
            <w:vAlign w:val="bottom"/>
            <w:vMerge w:val="continue"/>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3C072"/>
          </w:tcPr>
          <w:p>
            <w:pPr>
              <w:spacing w:after="0"/>
              <w:rPr>
                <w:sz w:val="13"/>
                <w:szCs w:val="13"/>
                <w:color w:val="auto"/>
              </w:rPr>
            </w:pPr>
          </w:p>
        </w:tc>
        <w:tc>
          <w:tcPr>
            <w:tcW w:w="6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00" w:type="dxa"/>
            <w:vAlign w:val="bottom"/>
            <w:shd w:val="clear" w:color="auto" w:fill="53C072"/>
          </w:tcPr>
          <w:p>
            <w:pPr>
              <w:spacing w:after="0"/>
              <w:rPr>
                <w:sz w:val="13"/>
                <w:szCs w:val="13"/>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Have Not</w:t>
            </w:r>
          </w:p>
        </w:tc>
        <w:tc>
          <w:tcPr>
            <w:tcW w:w="8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100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That Have Not</w:t>
            </w:r>
          </w:p>
        </w:tc>
        <w:tc>
          <w:tcPr>
            <w:tcW w:w="100" w:type="dxa"/>
            <w:vAlign w:val="bottom"/>
            <w:shd w:val="clear" w:color="auto" w:fill="53C072"/>
          </w:tcPr>
          <w:p>
            <w:pPr>
              <w:spacing w:after="0"/>
              <w:rPr>
                <w:sz w:val="13"/>
                <w:szCs w:val="13"/>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Other Rights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30" w:type="dxa"/>
            <w:vAlign w:val="bottom"/>
            <w:shd w:val="clear" w:color="auto" w:fill="53C072"/>
          </w:tcPr>
          <w:p>
            <w:pPr>
              <w:spacing w:after="0"/>
              <w:rPr>
                <w:sz w:val="12"/>
                <w:szCs w:val="12"/>
                <w:color w:val="auto"/>
              </w:rPr>
            </w:pPr>
          </w:p>
        </w:tc>
        <w:tc>
          <w:tcPr>
            <w:tcW w:w="9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66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Exercise</w:t>
            </w:r>
          </w:p>
        </w:tc>
        <w:tc>
          <w:tcPr>
            <w:tcW w:w="120" w:type="dxa"/>
            <w:vAlign w:val="bottom"/>
            <w:shd w:val="clear" w:color="auto" w:fill="53C072"/>
          </w:tcPr>
          <w:p>
            <w:pPr>
              <w:spacing w:after="0"/>
              <w:rPr>
                <w:sz w:val="12"/>
                <w:szCs w:val="12"/>
                <w:color w:val="auto"/>
              </w:rPr>
            </w:pPr>
          </w:p>
        </w:tc>
        <w:tc>
          <w:tcPr>
            <w:tcW w:w="660" w:type="dxa"/>
            <w:vAlign w:val="bottom"/>
            <w:vMerge w:val="continue"/>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40" w:type="dxa"/>
            <w:vAlign w:val="bottom"/>
            <w:vMerge w:val="continue"/>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80" w:type="dxa"/>
            <w:vAlign w:val="bottom"/>
            <w:shd w:val="clear" w:color="auto" w:fill="53C072"/>
          </w:tcPr>
          <w:p>
            <w:pPr>
              <w:spacing w:after="0"/>
              <w:rPr>
                <w:sz w:val="12"/>
                <w:szCs w:val="12"/>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Have Not</w:t>
            </w: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040" w:type="dxa"/>
            <w:vAlign w:val="bottom"/>
            <w:gridSpan w:val="2"/>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That 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830" w:type="dxa"/>
            <w:vAlign w:val="bottom"/>
            <w:shd w:val="clear" w:color="auto" w:fill="53C072"/>
          </w:tcPr>
          <w:p>
            <w:pPr>
              <w:spacing w:after="0"/>
              <w:rPr>
                <w:sz w:val="13"/>
                <w:szCs w:val="13"/>
                <w:color w:val="auto"/>
              </w:rPr>
            </w:pPr>
          </w:p>
        </w:tc>
        <w:tc>
          <w:tcPr>
            <w:tcW w:w="90" w:type="dxa"/>
            <w:vAlign w:val="bottom"/>
            <w:shd w:val="clear" w:color="auto" w:fill="53C072"/>
          </w:tcPr>
          <w:p>
            <w:pPr>
              <w:spacing w:after="0"/>
              <w:rPr>
                <w:sz w:val="13"/>
                <w:szCs w:val="13"/>
                <w:color w:val="auto"/>
              </w:rPr>
            </w:pPr>
          </w:p>
        </w:tc>
        <w:tc>
          <w:tcPr>
            <w:tcW w:w="6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3C072"/>
          </w:tcPr>
          <w:p>
            <w:pPr>
              <w:spacing w:after="0"/>
              <w:rPr>
                <w:sz w:val="13"/>
                <w:szCs w:val="13"/>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53C072"/>
          </w:tcPr>
          <w:p>
            <w:pPr>
              <w:spacing w:after="0"/>
              <w:rPr>
                <w:sz w:val="13"/>
                <w:szCs w:val="13"/>
                <w:color w:val="auto"/>
              </w:rPr>
            </w:pPr>
          </w:p>
        </w:tc>
        <w:tc>
          <w:tcPr>
            <w:tcW w:w="5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Price</w:t>
            </w:r>
          </w:p>
        </w:tc>
        <w:tc>
          <w:tcPr>
            <w:tcW w:w="78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Expiration</w:t>
            </w:r>
          </w:p>
        </w:tc>
        <w:tc>
          <w:tcPr>
            <w:tcW w:w="10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Award</w:t>
            </w:r>
          </w:p>
        </w:tc>
        <w:tc>
          <w:tcPr>
            <w:tcW w:w="100" w:type="dxa"/>
            <w:vAlign w:val="bottom"/>
            <w:shd w:val="clear" w:color="auto" w:fill="53C072"/>
          </w:tcPr>
          <w:p>
            <w:pPr>
              <w:spacing w:after="0"/>
              <w:rPr>
                <w:sz w:val="13"/>
                <w:szCs w:val="13"/>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(RSUs)</w:t>
            </w:r>
          </w:p>
        </w:tc>
        <w:tc>
          <w:tcPr>
            <w:tcW w:w="8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80" w:type="dxa"/>
            <w:vAlign w:val="bottom"/>
            <w:shd w:val="clear" w:color="auto" w:fill="53C072"/>
          </w:tcPr>
          <w:p>
            <w:pPr>
              <w:spacing w:after="0"/>
              <w:rPr>
                <w:sz w:val="13"/>
                <w:szCs w:val="13"/>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(PSUs)</w:t>
            </w:r>
          </w:p>
        </w:tc>
        <w:tc>
          <w:tcPr>
            <w:tcW w:w="100" w:type="dxa"/>
            <w:vAlign w:val="bottom"/>
            <w:shd w:val="clear" w:color="auto" w:fill="53C072"/>
          </w:tcPr>
          <w:p>
            <w:pPr>
              <w:spacing w:after="0"/>
              <w:rPr>
                <w:sz w:val="13"/>
                <w:szCs w:val="13"/>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Vested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Name​</w:t>
            </w:r>
          </w:p>
        </w:tc>
        <w:tc>
          <w:tcPr>
            <w:tcW w:w="950" w:type="dxa"/>
            <w:vAlign w:val="bottom"/>
            <w:gridSpan w:val="2"/>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(a)</w:t>
            </w:r>
          </w:p>
        </w:tc>
        <w:tc>
          <w:tcPr>
            <w:tcW w:w="90" w:type="dxa"/>
            <w:vAlign w:val="bottom"/>
            <w:vMerge w:val="restart"/>
            <w:shd w:val="clear" w:color="auto" w:fill="53C072"/>
          </w:tcPr>
          <w:p>
            <w:pPr>
              <w:ind w:left="1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Grant</w:t>
            </w:r>
          </w:p>
        </w:tc>
        <w:tc>
          <w:tcPr>
            <w:tcW w:w="10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Exercisable</w:t>
            </w:r>
          </w:p>
        </w:tc>
        <w:tc>
          <w:tcPr>
            <w:tcW w:w="100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Unexercisable</w:t>
            </w:r>
          </w:p>
        </w:tc>
        <w:tc>
          <w:tcPr>
            <w:tcW w:w="140" w:type="dxa"/>
            <w:vAlign w:val="bottom"/>
            <w:shd w:val="clear" w:color="auto" w:fill="53C072"/>
          </w:tcPr>
          <w:p>
            <w:pPr>
              <w:spacing w:after="0"/>
              <w:rPr>
                <w:sz w:val="12"/>
                <w:szCs w:val="12"/>
                <w:color w:val="auto"/>
              </w:rPr>
            </w:pPr>
          </w:p>
        </w:tc>
        <w:tc>
          <w:tcPr>
            <w:tcW w:w="5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2"/>
                <w:szCs w:val="12"/>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Date</w:t>
            </w:r>
          </w:p>
        </w:tc>
        <w:tc>
          <w:tcPr>
            <w:tcW w:w="1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Grant</w:t>
            </w:r>
          </w:p>
        </w:tc>
        <w:tc>
          <w:tcPr>
            <w:tcW w:w="100" w:type="dxa"/>
            <w:vAlign w:val="bottom"/>
            <w:shd w:val="clear" w:color="auto" w:fill="53C072"/>
          </w:tcPr>
          <w:p>
            <w:pPr>
              <w:spacing w:after="0"/>
              <w:rPr>
                <w:sz w:val="12"/>
                <w:szCs w:val="12"/>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53C072"/>
          </w:tcPr>
          <w:p>
            <w:pPr>
              <w:spacing w:after="0"/>
              <w:rPr>
                <w:sz w:val="12"/>
                <w:szCs w:val="12"/>
                <w:color w:val="auto"/>
              </w:rPr>
            </w:pP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53C072"/>
          </w:tcPr>
          <w:p>
            <w:pPr>
              <w:spacing w:after="0"/>
              <w:rPr>
                <w:sz w:val="12"/>
                <w:szCs w:val="12"/>
                <w:color w:val="auto"/>
              </w:rPr>
            </w:pPr>
          </w:p>
        </w:tc>
        <w:tc>
          <w:tcPr>
            <w:tcW w:w="9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EFEFE"/>
              </w:rPr>
              <w:t>($)</w:t>
            </w:r>
          </w:p>
        </w:tc>
        <w:tc>
          <w:tcPr>
            <w:tcW w:w="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56"/>
        </w:trPr>
        <w:tc>
          <w:tcPr>
            <w:tcW w:w="400" w:type="dxa"/>
            <w:vAlign w:val="bottom"/>
            <w:tcBorders>
              <w:bottom w:val="single" w:sz="8" w:color="53C072"/>
            </w:tcBorders>
            <w:vMerge w:val="continue"/>
            <w:shd w:val="clear" w:color="auto" w:fill="53C072"/>
          </w:tcPr>
          <w:p>
            <w:pPr>
              <w:spacing w:after="0"/>
              <w:rPr>
                <w:sz w:val="13"/>
                <w:szCs w:val="13"/>
                <w:color w:val="auto"/>
              </w:rPr>
            </w:pPr>
          </w:p>
        </w:tc>
        <w:tc>
          <w:tcPr>
            <w:tcW w:w="950" w:type="dxa"/>
            <w:vAlign w:val="bottom"/>
            <w:tcBorders>
              <w:bottom w:val="single" w:sz="8" w:color="53C072"/>
            </w:tcBorders>
            <w:gridSpan w:val="2"/>
            <w:vMerge w:val="continue"/>
            <w:shd w:val="clear" w:color="auto" w:fill="53C072"/>
          </w:tcPr>
          <w:p>
            <w:pPr>
              <w:spacing w:after="0"/>
              <w:rPr>
                <w:sz w:val="13"/>
                <w:szCs w:val="13"/>
                <w:color w:val="auto"/>
              </w:rPr>
            </w:pPr>
          </w:p>
        </w:tc>
        <w:tc>
          <w:tcPr>
            <w:tcW w:w="90" w:type="dxa"/>
            <w:vAlign w:val="bottom"/>
            <w:tcBorders>
              <w:bottom w:val="single" w:sz="8" w:color="53C072"/>
            </w:tcBorders>
            <w:vMerge w:val="continue"/>
            <w:shd w:val="clear" w:color="auto" w:fill="53C072"/>
          </w:tcPr>
          <w:p>
            <w:pPr>
              <w:spacing w:after="0"/>
              <w:rPr>
                <w:sz w:val="13"/>
                <w:szCs w:val="13"/>
                <w:color w:val="auto"/>
              </w:rPr>
            </w:pPr>
          </w:p>
        </w:tc>
        <w:tc>
          <w:tcPr>
            <w:tcW w:w="7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Date ​​</w:t>
            </w:r>
          </w:p>
        </w:tc>
        <w:tc>
          <w:tcPr>
            <w:tcW w:w="94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(b) ​​</w:t>
            </w:r>
          </w:p>
        </w:tc>
        <w:tc>
          <w:tcPr>
            <w:tcW w:w="10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(c) ​​</w:t>
            </w:r>
          </w:p>
        </w:tc>
        <w:tc>
          <w:tcPr>
            <w:tcW w:w="64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 ​​</w:t>
            </w:r>
          </w:p>
        </w:tc>
        <w:tc>
          <w:tcPr>
            <w:tcW w:w="66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(f)</w:t>
            </w:r>
          </w:p>
        </w:tc>
        <w:tc>
          <w:tcPr>
            <w:tcW w:w="100" w:type="dxa"/>
            <w:vAlign w:val="bottom"/>
            <w:tcBorders>
              <w:bottom w:val="single" w:sz="8" w:color="53C072"/>
            </w:tcBorders>
            <w:vMerge w:val="continue"/>
            <w:shd w:val="clear" w:color="auto" w:fill="53C072"/>
          </w:tcPr>
          <w:p>
            <w:pPr>
              <w:spacing w:after="0"/>
              <w:rPr>
                <w:sz w:val="13"/>
                <w:szCs w:val="13"/>
                <w:color w:val="auto"/>
              </w:rPr>
            </w:pPr>
          </w:p>
        </w:tc>
        <w:tc>
          <w:tcPr>
            <w:tcW w:w="74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Date ​​</w:t>
            </w:r>
          </w:p>
        </w:tc>
        <w:tc>
          <w:tcPr>
            <w:tcW w:w="68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(g)</w:t>
            </w:r>
          </w:p>
        </w:tc>
        <w:tc>
          <w:tcPr>
            <w:tcW w:w="80" w:type="dxa"/>
            <w:vAlign w:val="bottom"/>
            <w:tcBorders>
              <w:bottom w:val="single" w:sz="8" w:color="53C072"/>
            </w:tcBorders>
            <w:vMerge w:val="continue"/>
            <w:shd w:val="clear" w:color="auto" w:fill="53C072"/>
          </w:tcPr>
          <w:p>
            <w:pPr>
              <w:spacing w:after="0"/>
              <w:rPr>
                <w:sz w:val="13"/>
                <w:szCs w:val="13"/>
                <w:color w:val="auto"/>
              </w:rPr>
            </w:pPr>
          </w:p>
        </w:tc>
        <w:tc>
          <w:tcPr>
            <w:tcW w:w="840" w:type="dxa"/>
            <w:vAlign w:val="bottom"/>
            <w:tcBorders>
              <w:bottom w:val="single" w:sz="8" w:color="53C072"/>
            </w:tcBorders>
            <w:gridSpan w:val="2"/>
            <w:shd w:val="clear" w:color="auto" w:fill="53C072"/>
          </w:tcPr>
          <w:p>
            <w:pPr>
              <w:jc w:val="right"/>
              <w:ind w:right="34"/>
              <w:spacing w:after="0"/>
              <w:rPr>
                <w:sz w:val="20"/>
                <w:szCs w:val="20"/>
                <w:color w:val="auto"/>
              </w:rPr>
            </w:pPr>
            <w:r>
              <w:rPr>
                <w:rFonts w:ascii="Arial" w:cs="Arial" w:eastAsia="Arial" w:hAnsi="Arial"/>
                <w:sz w:val="13"/>
                <w:szCs w:val="13"/>
                <w:b w:val="1"/>
                <w:bCs w:val="1"/>
                <w:color w:val="FEFEFE"/>
              </w:rPr>
              <w:t>(h) ​​</w:t>
            </w:r>
          </w:p>
        </w:tc>
        <w:tc>
          <w:tcPr>
            <w:tcW w:w="9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(i) ​​</w:t>
            </w:r>
          </w:p>
        </w:tc>
        <w:tc>
          <w:tcPr>
            <w:tcW w:w="9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(j)</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30" w:type="dxa"/>
            <w:vAlign w:val="bottom"/>
          </w:tcPr>
          <w:p>
            <w:pPr>
              <w:spacing w:after="0"/>
              <w:rPr>
                <w:sz w:val="9"/>
                <w:szCs w:val="9"/>
                <w:color w:val="auto"/>
              </w:rPr>
            </w:pPr>
          </w:p>
        </w:tc>
        <w:tc>
          <w:tcPr>
            <w:tcW w:w="90" w:type="dxa"/>
            <w:vAlign w:val="bottom"/>
          </w:tcPr>
          <w:p>
            <w:pPr>
              <w:ind w:left="1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8/07/2014</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19,532</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8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40.88</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8/06/2024</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1350" w:type="dxa"/>
            <w:vAlign w:val="bottom"/>
            <w:gridSpan w:val="3"/>
          </w:tcPr>
          <w:p>
            <w:pPr>
              <w:ind w:left="20"/>
              <w:spacing w:after="0" w:line="30" w:lineRule="exact"/>
              <w:rPr>
                <w:sz w:val="20"/>
                <w:szCs w:val="20"/>
                <w:color w:val="auto"/>
              </w:rPr>
            </w:pPr>
            <w:r>
              <w:rPr>
                <w:rFonts w:ascii="Arial" w:cs="Arial" w:eastAsia="Arial" w:hAnsi="Arial"/>
                <w:sz w:val="3"/>
                <w:szCs w:val="3"/>
                <w:color w:val="auto"/>
              </w:rPr>
              <w:t>Philip R. Gallagher</w:t>
            </w:r>
          </w:p>
        </w:tc>
        <w:tc>
          <w:tcPr>
            <w:tcW w:w="9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8/10/2017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25,068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520" w:type="dxa"/>
            <w:vAlign w:val="bottom"/>
          </w:tcPr>
          <w:p>
            <w:pPr>
              <w:jc w:val="right"/>
              <w:spacing w:after="0"/>
              <w:rPr>
                <w:sz w:val="20"/>
                <w:szCs w:val="20"/>
                <w:color w:val="auto"/>
              </w:rPr>
            </w:pPr>
            <w:r>
              <w:rPr>
                <w:rFonts w:ascii="Arial" w:cs="Arial" w:eastAsia="Arial" w:hAnsi="Arial"/>
                <w:sz w:val="13"/>
                <w:szCs w:val="13"/>
                <w:color w:val="auto"/>
              </w:rPr>
              <w:t>36.80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8/09/2027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4"/>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8/28/2018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23,920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52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8/27/2028</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4"/>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8/14/2019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23,925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7,975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8/13/2029</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11/17/2020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14,891</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751,251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11/17/2020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95,524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95,524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29.38</w:t>
            </w:r>
          </w:p>
        </w:tc>
        <w:tc>
          <w:tcPr>
            <w:tcW w:w="78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11/16/2030</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31,550</w:t>
            </w:r>
          </w:p>
        </w:tc>
        <w:tc>
          <w:tcPr>
            <w:tcW w:w="920" w:type="dxa"/>
            <w:vAlign w:val="bottom"/>
            <w:gridSpan w:val="3"/>
          </w:tcPr>
          <w:p>
            <w:pPr>
              <w:ind w:left="2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1,591,698 </w:t>
            </w:r>
            <w:r>
              <w:rPr>
                <w:rFonts w:ascii="Arial" w:cs="Arial" w:eastAsia="Arial" w:hAnsi="Arial"/>
                <w:sz w:val="18"/>
                <w:szCs w:val="18"/>
                <w:color w:val="auto"/>
                <w:vertAlign w:val="superscript"/>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48,563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145,689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8/30/2022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55,398</w:t>
            </w:r>
          </w:p>
        </w:tc>
        <w:tc>
          <w:tcPr>
            <w:tcW w:w="920" w:type="dxa"/>
            <w:vAlign w:val="bottom"/>
            <w:gridSpan w:val="3"/>
          </w:tcPr>
          <w:p>
            <w:pPr>
              <w:ind w:left="2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2,794,829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84,837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4,280,027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0" w:type="dxa"/>
            <w:vAlign w:val="bottom"/>
          </w:tcPr>
          <w:p>
            <w:pPr>
              <w:spacing w:after="0"/>
              <w:rPr>
                <w:sz w:val="2"/>
                <w:szCs w:val="2"/>
                <w:color w:val="auto"/>
              </w:rPr>
            </w:pPr>
          </w:p>
        </w:tc>
        <w:tc>
          <w:tcPr>
            <w:tcW w:w="9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8"/>
        </w:trPr>
        <w:tc>
          <w:tcPr>
            <w:tcW w:w="400" w:type="dxa"/>
            <w:vAlign w:val="bottom"/>
            <w:shd w:val="clear" w:color="auto" w:fill="CBECD5"/>
          </w:tcPr>
          <w:p>
            <w:pPr>
              <w:ind w:left="20"/>
              <w:spacing w:after="0" w:line="108" w:lineRule="exact"/>
              <w:rPr>
                <w:sz w:val="20"/>
                <w:szCs w:val="20"/>
                <w:color w:val="auto"/>
              </w:rPr>
            </w:pPr>
            <w:r>
              <w:rPr>
                <w:rFonts w:ascii="Arial" w:cs="Arial" w:eastAsia="Arial" w:hAnsi="Arial"/>
                <w:sz w:val="12"/>
                <w:szCs w:val="12"/>
                <w:color w:val="auto"/>
              </w:rPr>
              <w:t>​</w:t>
            </w:r>
          </w:p>
        </w:tc>
        <w:tc>
          <w:tcPr>
            <w:tcW w:w="120" w:type="dxa"/>
            <w:vAlign w:val="bottom"/>
            <w:shd w:val="clear" w:color="auto" w:fill="CBECD5"/>
          </w:tcPr>
          <w:p>
            <w:pPr>
              <w:spacing w:after="0"/>
              <w:rPr>
                <w:sz w:val="9"/>
                <w:szCs w:val="9"/>
                <w:color w:val="auto"/>
              </w:rPr>
            </w:pPr>
          </w:p>
        </w:tc>
        <w:tc>
          <w:tcPr>
            <w:tcW w:w="830" w:type="dxa"/>
            <w:vAlign w:val="bottom"/>
            <w:shd w:val="clear" w:color="auto" w:fill="CBECD5"/>
          </w:tcPr>
          <w:p>
            <w:pPr>
              <w:spacing w:after="0"/>
              <w:rPr>
                <w:sz w:val="9"/>
                <w:szCs w:val="9"/>
                <w:color w:val="auto"/>
              </w:rPr>
            </w:pPr>
          </w:p>
        </w:tc>
        <w:tc>
          <w:tcPr>
            <w:tcW w:w="90" w:type="dxa"/>
            <w:vAlign w:val="bottom"/>
            <w:shd w:val="clear" w:color="auto" w:fill="CBECD5"/>
          </w:tcPr>
          <w:p>
            <w:pPr>
              <w:ind w:left="1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8/19/2020</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3,639</w:t>
            </w:r>
          </w:p>
        </w:tc>
        <w:tc>
          <w:tcPr>
            <w:tcW w:w="80" w:type="dxa"/>
            <w:vAlign w:val="bottom"/>
            <w:shd w:val="clear" w:color="auto" w:fill="CBECD5"/>
          </w:tcPr>
          <w:p>
            <w:pPr>
              <w:ind w:left="20"/>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183,588</w:t>
            </w:r>
          </w:p>
        </w:tc>
        <w:tc>
          <w:tcPr>
            <w:tcW w:w="180" w:type="dxa"/>
            <w:vAlign w:val="bottom"/>
            <w:shd w:val="clear" w:color="auto" w:fill="CBECD5"/>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50" w:type="dxa"/>
            <w:vAlign w:val="bottom"/>
            <w:gridSpan w:val="3"/>
            <w:shd w:val="clear" w:color="auto" w:fill="CBECD5"/>
          </w:tcPr>
          <w:p>
            <w:pPr>
              <w:ind w:left="20"/>
              <w:spacing w:after="0" w:line="30" w:lineRule="exact"/>
              <w:rPr>
                <w:sz w:val="20"/>
                <w:szCs w:val="20"/>
                <w:color w:val="auto"/>
              </w:rPr>
            </w:pPr>
            <w:r>
              <w:rPr>
                <w:rFonts w:ascii="Arial" w:cs="Arial" w:eastAsia="Arial" w:hAnsi="Arial"/>
                <w:sz w:val="3"/>
                <w:szCs w:val="3"/>
                <w:color w:val="auto"/>
              </w:rPr>
              <w:t>Kenneth Jacobson</w:t>
            </w:r>
          </w:p>
        </w:tc>
        <w:tc>
          <w:tcPr>
            <w:tcW w:w="90" w:type="dxa"/>
            <w:vAlign w:val="bottom"/>
            <w:shd w:val="clear" w:color="auto" w:fill="CBECD5"/>
          </w:tcPr>
          <w:p>
            <w:pPr>
              <w:spacing w:after="0"/>
              <w:rPr>
                <w:sz w:val="2"/>
                <w:szCs w:val="2"/>
                <w:color w:val="auto"/>
              </w:rPr>
            </w:pPr>
          </w:p>
        </w:tc>
        <w:tc>
          <w:tcPr>
            <w:tcW w:w="62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820" w:type="dxa"/>
            <w:vAlign w:val="bottom"/>
            <w:vMerge w:val="continue"/>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880" w:type="dxa"/>
            <w:vAlign w:val="bottom"/>
            <w:vMerge w:val="continue"/>
            <w:shd w:val="clear" w:color="auto" w:fill="CBECD5"/>
          </w:tcPr>
          <w:p>
            <w:pPr>
              <w:spacing w:after="0"/>
              <w:rPr>
                <w:sz w:val="2"/>
                <w:szCs w:val="2"/>
                <w:color w:val="auto"/>
              </w:rPr>
            </w:pPr>
          </w:p>
        </w:tc>
        <w:tc>
          <w:tcPr>
            <w:tcW w:w="140" w:type="dxa"/>
            <w:vAlign w:val="bottom"/>
            <w:shd w:val="clear" w:color="auto" w:fill="CBECD5"/>
          </w:tcPr>
          <w:p>
            <w:pPr>
              <w:spacing w:after="0"/>
              <w:rPr>
                <w:sz w:val="2"/>
                <w:szCs w:val="2"/>
                <w:color w:val="auto"/>
              </w:rPr>
            </w:pPr>
          </w:p>
        </w:tc>
        <w:tc>
          <w:tcPr>
            <w:tcW w:w="520" w:type="dxa"/>
            <w:vAlign w:val="bottom"/>
            <w:vMerge w:val="continue"/>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66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64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680" w:type="dxa"/>
            <w:vAlign w:val="bottom"/>
            <w:vMerge w:val="continue"/>
            <w:shd w:val="clear" w:color="auto" w:fill="CBECD5"/>
          </w:tcPr>
          <w:p>
            <w:pPr>
              <w:spacing w:after="0"/>
              <w:rPr>
                <w:sz w:val="2"/>
                <w:szCs w:val="2"/>
                <w:color w:val="auto"/>
              </w:rPr>
            </w:pPr>
          </w:p>
        </w:tc>
        <w:tc>
          <w:tcPr>
            <w:tcW w:w="80" w:type="dxa"/>
            <w:vAlign w:val="bottom"/>
            <w:shd w:val="clear" w:color="auto" w:fill="CBECD5"/>
          </w:tcPr>
          <w:p>
            <w:pPr>
              <w:spacing w:after="0"/>
              <w:rPr>
                <w:sz w:val="2"/>
                <w:szCs w:val="2"/>
                <w:color w:val="auto"/>
              </w:rPr>
            </w:pPr>
          </w:p>
        </w:tc>
        <w:tc>
          <w:tcPr>
            <w:tcW w:w="660" w:type="dxa"/>
            <w:vAlign w:val="bottom"/>
            <w:vMerge w:val="continue"/>
            <w:shd w:val="clear" w:color="auto" w:fill="CBECD5"/>
          </w:tcPr>
          <w:p>
            <w:pPr>
              <w:spacing w:after="0"/>
              <w:rPr>
                <w:sz w:val="2"/>
                <w:szCs w:val="2"/>
                <w:color w:val="auto"/>
              </w:rPr>
            </w:pPr>
          </w:p>
        </w:tc>
        <w:tc>
          <w:tcPr>
            <w:tcW w:w="180" w:type="dxa"/>
            <w:vAlign w:val="bottom"/>
            <w:shd w:val="clear" w:color="auto" w:fill="CBECD5"/>
          </w:tcPr>
          <w:p>
            <w:pPr>
              <w:spacing w:after="0"/>
              <w:rPr>
                <w:sz w:val="2"/>
                <w:szCs w:val="2"/>
                <w:color w:val="auto"/>
              </w:rPr>
            </w:pPr>
          </w:p>
        </w:tc>
        <w:tc>
          <w:tcPr>
            <w:tcW w:w="82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940" w:type="dxa"/>
            <w:vAlign w:val="bottom"/>
            <w:vMerge w:val="continue"/>
            <w:shd w:val="clear" w:color="auto" w:fill="CBECD5"/>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4"/>
                <w:szCs w:val="14"/>
                <w:color w:val="auto"/>
              </w:rPr>
            </w:pPr>
          </w:p>
        </w:tc>
        <w:tc>
          <w:tcPr>
            <w:tcW w:w="830" w:type="dxa"/>
            <w:vAlign w:val="bottom"/>
            <w:shd w:val="clear" w:color="auto" w:fill="CBECD5"/>
          </w:tcPr>
          <w:p>
            <w:pPr>
              <w:spacing w:after="0"/>
              <w:rPr>
                <w:sz w:val="14"/>
                <w:szCs w:val="14"/>
                <w:color w:val="auto"/>
              </w:rPr>
            </w:pPr>
          </w:p>
        </w:tc>
        <w:tc>
          <w:tcPr>
            <w:tcW w:w="90" w:type="dxa"/>
            <w:vAlign w:val="bottom"/>
            <w:shd w:val="clear" w:color="auto" w:fill="CBECD5"/>
          </w:tcPr>
          <w:p>
            <w:pPr>
              <w:ind w:left="1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10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6,058</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305,626</w:t>
            </w:r>
          </w:p>
        </w:tc>
        <w:tc>
          <w:tcPr>
            <w:tcW w:w="180" w:type="dxa"/>
            <w:vAlign w:val="bottom"/>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40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spacing w:after="0"/>
              <w:rPr>
                <w:sz w:val="14"/>
                <w:szCs w:val="14"/>
                <w:color w:val="auto"/>
              </w:rPr>
            </w:pPr>
          </w:p>
        </w:tc>
        <w:tc>
          <w:tcPr>
            <w:tcW w:w="830" w:type="dxa"/>
            <w:vAlign w:val="bottom"/>
            <w:tcBorders>
              <w:bottom w:val="single" w:sz="8" w:color="CBECD5"/>
            </w:tcBorders>
            <w:shd w:val="clear" w:color="auto" w:fill="CBECD5"/>
          </w:tcPr>
          <w:p>
            <w:pPr>
              <w:spacing w:after="0"/>
              <w:rPr>
                <w:sz w:val="14"/>
                <w:szCs w:val="14"/>
                <w:color w:val="auto"/>
              </w:rPr>
            </w:pPr>
          </w:p>
        </w:tc>
        <w:tc>
          <w:tcPr>
            <w:tcW w:w="90" w:type="dxa"/>
            <w:vAlign w:val="bottom"/>
            <w:tcBorders>
              <w:bottom w:val="single" w:sz="8" w:color="CBECD5"/>
            </w:tcBorders>
            <w:shd w:val="clear" w:color="auto" w:fill="CBECD5"/>
          </w:tcPr>
          <w:p>
            <w:pPr>
              <w:ind w:left="1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BECD5"/>
            </w:tcBorders>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tcBorders>
              <w:bottom w:val="single" w:sz="8" w:color="CBECD5"/>
            </w:tcBorders>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1020" w:type="dxa"/>
            <w:vAlign w:val="bottom"/>
            <w:tcBorders>
              <w:bottom w:val="single" w:sz="8" w:color="CBECD5"/>
            </w:tcBorders>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640" w:type="dxa"/>
            <w:vAlign w:val="bottom"/>
            <w:tcBorders>
              <w:bottom w:val="single" w:sz="8" w:color="CBECD5"/>
            </w:tcBorders>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6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BECD5"/>
            </w:tcBorders>
            <w:gridSpan w:val="3"/>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8/30/2022 </w:t>
            </w:r>
            <w:r>
              <w:rPr>
                <w:rFonts w:ascii="Arial" w:cs="Arial" w:eastAsia="Arial" w:hAnsi="Arial"/>
                <w:sz w:val="18"/>
                <w:szCs w:val="18"/>
                <w:color w:val="auto"/>
                <w:vertAlign w:val="superscript"/>
              </w:rPr>
              <w:t>​​</w:t>
            </w:r>
          </w:p>
        </w:tc>
        <w:tc>
          <w:tcPr>
            <w:tcW w:w="6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10,653</w:t>
            </w:r>
          </w:p>
        </w:tc>
        <w:tc>
          <w:tcPr>
            <w:tcW w:w="8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537,444</w:t>
            </w:r>
          </w:p>
        </w:tc>
        <w:tc>
          <w:tcPr>
            <w:tcW w:w="180" w:type="dxa"/>
            <w:vAlign w:val="bottom"/>
            <w:tcBorders>
              <w:bottom w:val="single" w:sz="8" w:color="CBECD5"/>
            </w:tcBorders>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16,315</w:t>
            </w:r>
          </w:p>
        </w:tc>
        <w:tc>
          <w:tcPr>
            <w:tcW w:w="1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823,092</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30" w:type="dxa"/>
            <w:vAlign w:val="bottom"/>
          </w:tcPr>
          <w:p>
            <w:pPr>
              <w:spacing w:after="0"/>
              <w:rPr>
                <w:sz w:val="9"/>
                <w:szCs w:val="9"/>
                <w:color w:val="auto"/>
              </w:rPr>
            </w:pPr>
          </w:p>
        </w:tc>
        <w:tc>
          <w:tcPr>
            <w:tcW w:w="90" w:type="dxa"/>
            <w:vAlign w:val="bottom"/>
          </w:tcPr>
          <w:p>
            <w:pPr>
              <w:ind w:left="1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2/18/2019</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7,908</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8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44.12</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2/17/2029</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1350" w:type="dxa"/>
            <w:vAlign w:val="bottom"/>
            <w:gridSpan w:val="3"/>
          </w:tcPr>
          <w:p>
            <w:pPr>
              <w:ind w:left="20"/>
              <w:spacing w:after="0" w:line="30" w:lineRule="exact"/>
              <w:rPr>
                <w:sz w:val="20"/>
                <w:szCs w:val="20"/>
                <w:color w:val="auto"/>
              </w:rPr>
            </w:pPr>
            <w:r>
              <w:rPr>
                <w:rFonts w:ascii="Arial" w:cs="Arial" w:eastAsia="Arial" w:hAnsi="Arial"/>
                <w:sz w:val="3"/>
                <w:szCs w:val="3"/>
                <w:color w:val="auto"/>
              </w:rPr>
              <w:t>Ken E. Arnold</w:t>
            </w:r>
          </w:p>
        </w:tc>
        <w:tc>
          <w:tcPr>
            <w:tcW w:w="9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8/14/2019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9,303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3,101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8/13/2029</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11/16/2020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2,617</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132,028</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11/16/2020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16,802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16,802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29.85</w:t>
            </w:r>
          </w:p>
        </w:tc>
        <w:tc>
          <w:tcPr>
            <w:tcW w:w="78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11/15/2030</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5,048</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254,672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8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 </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10" w:type="dxa"/>
            <w:vAlign w:val="bottom"/>
            <w:gridSpan w:val="3"/>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7,770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23,310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8/30/2022 </w:t>
            </w:r>
            <w:r>
              <w:rPr>
                <w:rFonts w:ascii="Arial" w:cs="Arial" w:eastAsia="Arial" w:hAnsi="Arial"/>
                <w:sz w:val="18"/>
                <w:szCs w:val="18"/>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8,097</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408,494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12,398 </w:t>
            </w:r>
            <w:r>
              <w:rPr>
                <w:rFonts w:ascii="Arial" w:cs="Arial" w:eastAsia="Arial" w:hAnsi="Arial"/>
                <w:sz w:val="18"/>
                <w:szCs w:val="18"/>
                <w:color w:val="auto"/>
                <w:vertAlign w:val="superscript"/>
              </w:rPr>
              <w:t>​​</w:t>
            </w:r>
          </w:p>
        </w:tc>
        <w:tc>
          <w:tcPr>
            <w:tcW w:w="980" w:type="dxa"/>
            <w:vAlign w:val="bottom"/>
            <w:gridSpan w:val="2"/>
          </w:tcPr>
          <w:p>
            <w:pPr>
              <w:jc w:val="right"/>
              <w:spacing w:after="0" w:line="162" w:lineRule="exact"/>
              <w:rPr>
                <w:sz w:val="20"/>
                <w:szCs w:val="20"/>
                <w:color w:val="auto"/>
              </w:rPr>
            </w:pPr>
            <w:r>
              <w:rPr>
                <w:rFonts w:ascii="Arial" w:cs="Arial" w:eastAsia="Arial" w:hAnsi="Arial"/>
                <w:sz w:val="10"/>
                <w:szCs w:val="10"/>
                <w:color w:val="auto"/>
              </w:rPr>
              <w:t xml:space="preserve">625,479 </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0" w:type="dxa"/>
            <w:vAlign w:val="bottom"/>
          </w:tcPr>
          <w:p>
            <w:pPr>
              <w:spacing w:after="0"/>
              <w:rPr>
                <w:sz w:val="2"/>
                <w:szCs w:val="2"/>
                <w:color w:val="auto"/>
              </w:rPr>
            </w:pPr>
          </w:p>
        </w:tc>
        <w:tc>
          <w:tcPr>
            <w:tcW w:w="9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8"/>
        </w:trPr>
        <w:tc>
          <w:tcPr>
            <w:tcW w:w="400" w:type="dxa"/>
            <w:vAlign w:val="bottom"/>
            <w:shd w:val="clear" w:color="auto" w:fill="CBECD5"/>
          </w:tcPr>
          <w:p>
            <w:pPr>
              <w:ind w:left="20"/>
              <w:spacing w:after="0" w:line="108" w:lineRule="exact"/>
              <w:rPr>
                <w:sz w:val="20"/>
                <w:szCs w:val="20"/>
                <w:color w:val="auto"/>
              </w:rPr>
            </w:pPr>
            <w:r>
              <w:rPr>
                <w:rFonts w:ascii="Arial" w:cs="Arial" w:eastAsia="Arial" w:hAnsi="Arial"/>
                <w:sz w:val="12"/>
                <w:szCs w:val="12"/>
                <w:color w:val="auto"/>
              </w:rPr>
              <w:t>​</w:t>
            </w:r>
          </w:p>
        </w:tc>
        <w:tc>
          <w:tcPr>
            <w:tcW w:w="120" w:type="dxa"/>
            <w:vAlign w:val="bottom"/>
            <w:shd w:val="clear" w:color="auto" w:fill="CBECD5"/>
          </w:tcPr>
          <w:p>
            <w:pPr>
              <w:spacing w:after="0"/>
              <w:rPr>
                <w:sz w:val="9"/>
                <w:szCs w:val="9"/>
                <w:color w:val="auto"/>
              </w:rPr>
            </w:pPr>
          </w:p>
        </w:tc>
        <w:tc>
          <w:tcPr>
            <w:tcW w:w="830" w:type="dxa"/>
            <w:vAlign w:val="bottom"/>
            <w:shd w:val="clear" w:color="auto" w:fill="CBECD5"/>
          </w:tcPr>
          <w:p>
            <w:pPr>
              <w:spacing w:after="0"/>
              <w:rPr>
                <w:sz w:val="9"/>
                <w:szCs w:val="9"/>
                <w:color w:val="auto"/>
              </w:rPr>
            </w:pPr>
          </w:p>
        </w:tc>
        <w:tc>
          <w:tcPr>
            <w:tcW w:w="90" w:type="dxa"/>
            <w:vAlign w:val="bottom"/>
            <w:shd w:val="clear" w:color="auto" w:fill="CBECD5"/>
          </w:tcPr>
          <w:p>
            <w:pPr>
              <w:ind w:left="1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4/01/2020</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1,014</w:t>
            </w:r>
          </w:p>
        </w:tc>
        <w:tc>
          <w:tcPr>
            <w:tcW w:w="80" w:type="dxa"/>
            <w:vAlign w:val="bottom"/>
            <w:shd w:val="clear" w:color="auto" w:fill="CBECD5"/>
          </w:tcPr>
          <w:p>
            <w:pPr>
              <w:ind w:left="20"/>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51,156</w:t>
            </w:r>
          </w:p>
        </w:tc>
        <w:tc>
          <w:tcPr>
            <w:tcW w:w="180" w:type="dxa"/>
            <w:vAlign w:val="bottom"/>
            <w:shd w:val="clear" w:color="auto" w:fill="CBECD5"/>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BECD5"/>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50" w:type="dxa"/>
            <w:vAlign w:val="bottom"/>
            <w:gridSpan w:val="3"/>
            <w:shd w:val="clear" w:color="auto" w:fill="CBECD5"/>
          </w:tcPr>
          <w:p>
            <w:pPr>
              <w:ind w:left="20"/>
              <w:spacing w:after="0" w:line="30" w:lineRule="exact"/>
              <w:rPr>
                <w:sz w:val="20"/>
                <w:szCs w:val="20"/>
                <w:color w:val="auto"/>
              </w:rPr>
            </w:pPr>
            <w:r>
              <w:rPr>
                <w:rFonts w:ascii="Arial" w:cs="Arial" w:eastAsia="Arial" w:hAnsi="Arial"/>
                <w:sz w:val="3"/>
                <w:szCs w:val="3"/>
                <w:color w:val="auto"/>
              </w:rPr>
              <w:t>Michael R. McCoy</w:t>
            </w:r>
          </w:p>
        </w:tc>
        <w:tc>
          <w:tcPr>
            <w:tcW w:w="90" w:type="dxa"/>
            <w:vAlign w:val="bottom"/>
            <w:shd w:val="clear" w:color="auto" w:fill="CBECD5"/>
          </w:tcPr>
          <w:p>
            <w:pPr>
              <w:spacing w:after="0"/>
              <w:rPr>
                <w:sz w:val="2"/>
                <w:szCs w:val="2"/>
                <w:color w:val="auto"/>
              </w:rPr>
            </w:pPr>
          </w:p>
        </w:tc>
        <w:tc>
          <w:tcPr>
            <w:tcW w:w="62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820" w:type="dxa"/>
            <w:vAlign w:val="bottom"/>
            <w:vMerge w:val="continue"/>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880" w:type="dxa"/>
            <w:vAlign w:val="bottom"/>
            <w:vMerge w:val="continue"/>
            <w:shd w:val="clear" w:color="auto" w:fill="CBECD5"/>
          </w:tcPr>
          <w:p>
            <w:pPr>
              <w:spacing w:after="0"/>
              <w:rPr>
                <w:sz w:val="2"/>
                <w:szCs w:val="2"/>
                <w:color w:val="auto"/>
              </w:rPr>
            </w:pPr>
          </w:p>
        </w:tc>
        <w:tc>
          <w:tcPr>
            <w:tcW w:w="140" w:type="dxa"/>
            <w:vAlign w:val="bottom"/>
            <w:shd w:val="clear" w:color="auto" w:fill="CBECD5"/>
          </w:tcPr>
          <w:p>
            <w:pPr>
              <w:spacing w:after="0"/>
              <w:rPr>
                <w:sz w:val="2"/>
                <w:szCs w:val="2"/>
                <w:color w:val="auto"/>
              </w:rPr>
            </w:pPr>
          </w:p>
        </w:tc>
        <w:tc>
          <w:tcPr>
            <w:tcW w:w="520" w:type="dxa"/>
            <w:vAlign w:val="bottom"/>
            <w:vMerge w:val="continue"/>
            <w:shd w:val="clear" w:color="auto" w:fill="CBECD5"/>
          </w:tcPr>
          <w:p>
            <w:pPr>
              <w:spacing w:after="0"/>
              <w:rPr>
                <w:sz w:val="2"/>
                <w:szCs w:val="2"/>
                <w:color w:val="auto"/>
              </w:rPr>
            </w:pPr>
          </w:p>
        </w:tc>
        <w:tc>
          <w:tcPr>
            <w:tcW w:w="120" w:type="dxa"/>
            <w:vAlign w:val="bottom"/>
            <w:shd w:val="clear" w:color="auto" w:fill="CBECD5"/>
          </w:tcPr>
          <w:p>
            <w:pPr>
              <w:spacing w:after="0"/>
              <w:rPr>
                <w:sz w:val="2"/>
                <w:szCs w:val="2"/>
                <w:color w:val="auto"/>
              </w:rPr>
            </w:pPr>
          </w:p>
        </w:tc>
        <w:tc>
          <w:tcPr>
            <w:tcW w:w="66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64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680" w:type="dxa"/>
            <w:vAlign w:val="bottom"/>
            <w:vMerge w:val="continue"/>
            <w:shd w:val="clear" w:color="auto" w:fill="CBECD5"/>
          </w:tcPr>
          <w:p>
            <w:pPr>
              <w:spacing w:after="0"/>
              <w:rPr>
                <w:sz w:val="2"/>
                <w:szCs w:val="2"/>
                <w:color w:val="auto"/>
              </w:rPr>
            </w:pPr>
          </w:p>
        </w:tc>
        <w:tc>
          <w:tcPr>
            <w:tcW w:w="80" w:type="dxa"/>
            <w:vAlign w:val="bottom"/>
            <w:shd w:val="clear" w:color="auto" w:fill="CBECD5"/>
          </w:tcPr>
          <w:p>
            <w:pPr>
              <w:spacing w:after="0"/>
              <w:rPr>
                <w:sz w:val="2"/>
                <w:szCs w:val="2"/>
                <w:color w:val="auto"/>
              </w:rPr>
            </w:pPr>
          </w:p>
        </w:tc>
        <w:tc>
          <w:tcPr>
            <w:tcW w:w="660" w:type="dxa"/>
            <w:vAlign w:val="bottom"/>
            <w:vMerge w:val="continue"/>
            <w:shd w:val="clear" w:color="auto" w:fill="CBECD5"/>
          </w:tcPr>
          <w:p>
            <w:pPr>
              <w:spacing w:after="0"/>
              <w:rPr>
                <w:sz w:val="2"/>
                <w:szCs w:val="2"/>
                <w:color w:val="auto"/>
              </w:rPr>
            </w:pPr>
          </w:p>
        </w:tc>
        <w:tc>
          <w:tcPr>
            <w:tcW w:w="180" w:type="dxa"/>
            <w:vAlign w:val="bottom"/>
            <w:shd w:val="clear" w:color="auto" w:fill="CBECD5"/>
          </w:tcPr>
          <w:p>
            <w:pPr>
              <w:spacing w:after="0"/>
              <w:rPr>
                <w:sz w:val="2"/>
                <w:szCs w:val="2"/>
                <w:color w:val="auto"/>
              </w:rPr>
            </w:pPr>
          </w:p>
        </w:tc>
        <w:tc>
          <w:tcPr>
            <w:tcW w:w="820" w:type="dxa"/>
            <w:vAlign w:val="bottom"/>
            <w:vMerge w:val="continue"/>
            <w:shd w:val="clear" w:color="auto" w:fill="CBECD5"/>
          </w:tcPr>
          <w:p>
            <w:pPr>
              <w:spacing w:after="0"/>
              <w:rPr>
                <w:sz w:val="2"/>
                <w:szCs w:val="2"/>
                <w:color w:val="auto"/>
              </w:rPr>
            </w:pPr>
          </w:p>
        </w:tc>
        <w:tc>
          <w:tcPr>
            <w:tcW w:w="100" w:type="dxa"/>
            <w:vAlign w:val="bottom"/>
            <w:shd w:val="clear" w:color="auto" w:fill="CBECD5"/>
          </w:tcPr>
          <w:p>
            <w:pPr>
              <w:spacing w:after="0"/>
              <w:rPr>
                <w:sz w:val="2"/>
                <w:szCs w:val="2"/>
                <w:color w:val="auto"/>
              </w:rPr>
            </w:pPr>
          </w:p>
        </w:tc>
        <w:tc>
          <w:tcPr>
            <w:tcW w:w="940" w:type="dxa"/>
            <w:vAlign w:val="bottom"/>
            <w:vMerge w:val="continue"/>
            <w:shd w:val="clear" w:color="auto" w:fill="CBECD5"/>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4"/>
                <w:szCs w:val="14"/>
                <w:color w:val="auto"/>
              </w:rPr>
            </w:pPr>
          </w:p>
        </w:tc>
        <w:tc>
          <w:tcPr>
            <w:tcW w:w="830" w:type="dxa"/>
            <w:vAlign w:val="bottom"/>
            <w:shd w:val="clear" w:color="auto" w:fill="CBECD5"/>
          </w:tcPr>
          <w:p>
            <w:pPr>
              <w:spacing w:after="0"/>
              <w:rPr>
                <w:sz w:val="14"/>
                <w:szCs w:val="14"/>
                <w:color w:val="auto"/>
              </w:rPr>
            </w:pPr>
          </w:p>
        </w:tc>
        <w:tc>
          <w:tcPr>
            <w:tcW w:w="90" w:type="dxa"/>
            <w:vAlign w:val="bottom"/>
            <w:shd w:val="clear" w:color="auto" w:fill="CBECD5"/>
          </w:tcPr>
          <w:p>
            <w:pPr>
              <w:ind w:left="1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10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11/16/2020 </w:t>
            </w:r>
            <w:r>
              <w:rPr>
                <w:rFonts w:ascii="Arial" w:cs="Arial" w:eastAsia="Arial" w:hAnsi="Arial"/>
                <w:sz w:val="18"/>
                <w:szCs w:val="18"/>
                <w:color w:val="auto"/>
                <w:vertAlign w:val="superscript"/>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2,827</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142,622</w:t>
            </w:r>
          </w:p>
        </w:tc>
        <w:tc>
          <w:tcPr>
            <w:tcW w:w="180" w:type="dxa"/>
            <w:vAlign w:val="bottom"/>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4"/>
                <w:szCs w:val="14"/>
                <w:color w:val="auto"/>
              </w:rPr>
            </w:pPr>
          </w:p>
        </w:tc>
        <w:tc>
          <w:tcPr>
            <w:tcW w:w="830" w:type="dxa"/>
            <w:vAlign w:val="bottom"/>
            <w:shd w:val="clear" w:color="auto" w:fill="CBECD5"/>
          </w:tcPr>
          <w:p>
            <w:pPr>
              <w:spacing w:after="0"/>
              <w:rPr>
                <w:sz w:val="14"/>
                <w:szCs w:val="14"/>
                <w:color w:val="auto"/>
              </w:rPr>
            </w:pPr>
          </w:p>
        </w:tc>
        <w:tc>
          <w:tcPr>
            <w:tcW w:w="810" w:type="dxa"/>
            <w:vAlign w:val="bottom"/>
            <w:gridSpan w:val="3"/>
            <w:shd w:val="clear" w:color="auto" w:fill="CBECD5"/>
          </w:tcPr>
          <w:p>
            <w:pPr>
              <w:ind w:left="1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11/16/2020 </w:t>
            </w:r>
            <w:r>
              <w:rPr>
                <w:rFonts w:ascii="Arial" w:cs="Arial" w:eastAsia="Arial" w:hAnsi="Arial"/>
                <w:sz w:val="18"/>
                <w:szCs w:val="18"/>
                <w:color w:val="auto"/>
                <w:vertAlign w:val="superscript"/>
              </w:rPr>
              <w:t>​​</w:t>
            </w:r>
          </w:p>
        </w:tc>
        <w:tc>
          <w:tcPr>
            <w:tcW w:w="8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18,146</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18,146</w:t>
            </w:r>
          </w:p>
        </w:tc>
        <w:tc>
          <w:tcPr>
            <w:tcW w:w="1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29.85</w:t>
            </w:r>
          </w:p>
        </w:tc>
        <w:tc>
          <w:tcPr>
            <w:tcW w:w="78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11/15/2030</w:t>
            </w:r>
          </w:p>
        </w:tc>
        <w:tc>
          <w:tcPr>
            <w:tcW w:w="840" w:type="dxa"/>
            <w:vAlign w:val="bottom"/>
            <w:gridSpan w:val="3"/>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8/23/2021 </w:t>
            </w:r>
            <w:r>
              <w:rPr>
                <w:rFonts w:ascii="Arial" w:cs="Arial" w:eastAsia="Arial" w:hAnsi="Arial"/>
                <w:sz w:val="18"/>
                <w:szCs w:val="18"/>
                <w:color w:val="auto"/>
                <w:vertAlign w:val="superscript"/>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5,206</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262,643</w:t>
            </w:r>
          </w:p>
        </w:tc>
        <w:tc>
          <w:tcPr>
            <w:tcW w:w="180" w:type="dxa"/>
            <w:vAlign w:val="bottom"/>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7"/>
                <w:szCs w:val="17"/>
                <w:color w:val="auto"/>
              </w:rPr>
            </w:pPr>
          </w:p>
        </w:tc>
        <w:tc>
          <w:tcPr>
            <w:tcW w:w="830" w:type="dxa"/>
            <w:vAlign w:val="bottom"/>
            <w:shd w:val="clear" w:color="auto" w:fill="CBECD5"/>
          </w:tcPr>
          <w:p>
            <w:pPr>
              <w:spacing w:after="0"/>
              <w:rPr>
                <w:sz w:val="17"/>
                <w:szCs w:val="17"/>
                <w:color w:val="auto"/>
              </w:rPr>
            </w:pPr>
          </w:p>
        </w:tc>
        <w:tc>
          <w:tcPr>
            <w:tcW w:w="810" w:type="dxa"/>
            <w:vAlign w:val="bottom"/>
            <w:gridSpan w:val="3"/>
            <w:shd w:val="clear" w:color="auto" w:fill="CBECD5"/>
          </w:tcPr>
          <w:p>
            <w:pPr>
              <w:ind w:left="1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8/23/2021 </w:t>
            </w:r>
            <w:r>
              <w:rPr>
                <w:rFonts w:ascii="Arial" w:cs="Arial" w:eastAsia="Arial" w:hAnsi="Arial"/>
                <w:sz w:val="21"/>
                <w:szCs w:val="21"/>
                <w:color w:val="auto"/>
                <w:vertAlign w:val="superscript"/>
              </w:rPr>
              <w:t>​​</w:t>
            </w:r>
          </w:p>
        </w:tc>
        <w:tc>
          <w:tcPr>
            <w:tcW w:w="8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8,013</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24,039</w:t>
            </w:r>
          </w:p>
        </w:tc>
        <w:tc>
          <w:tcPr>
            <w:tcW w:w="1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39.62</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8/30/2022 </w:t>
            </w:r>
            <w:r>
              <w:rPr>
                <w:rFonts w:ascii="Arial" w:cs="Arial" w:eastAsia="Arial" w:hAnsi="Arial"/>
                <w:sz w:val="21"/>
                <w:szCs w:val="21"/>
                <w:color w:val="auto"/>
                <w:vertAlign w:val="superscript"/>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8,949</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451,477</w:t>
            </w:r>
          </w:p>
        </w:tc>
        <w:tc>
          <w:tcPr>
            <w:tcW w:w="180" w:type="dxa"/>
            <w:vAlign w:val="bottom"/>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12"/>
                <w:szCs w:val="12"/>
                <w:color w:val="auto"/>
              </w:rPr>
              <w:t xml:space="preserve">13,705 </w:t>
            </w:r>
            <w:r>
              <w:rPr>
                <w:rFonts w:ascii="Arial" w:cs="Arial" w:eastAsia="Arial" w:hAnsi="Arial"/>
                <w:sz w:val="21"/>
                <w:szCs w:val="21"/>
                <w:color w:val="auto"/>
                <w:vertAlign w:val="superscript"/>
              </w:rPr>
              <w:t>​​</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691,417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Rebeca​</w:t>
            </w:r>
          </w:p>
        </w:tc>
        <w:tc>
          <w:tcPr>
            <w:tcW w:w="830" w:type="dxa"/>
            <w:vAlign w:val="bottom"/>
          </w:tcPr>
          <w:p>
            <w:pPr>
              <w:spacing w:after="0"/>
              <w:rPr>
                <w:sz w:val="20"/>
                <w:szCs w:val="20"/>
                <w:color w:val="auto"/>
              </w:rPr>
            </w:pPr>
            <w:r>
              <w:rPr>
                <w:rFonts w:ascii="Arial" w:cs="Arial" w:eastAsia="Arial" w:hAnsi="Arial"/>
                <w:sz w:val="13"/>
                <w:szCs w:val="13"/>
                <w:color w:val="auto"/>
              </w:rPr>
              <w:t>Obregon-</w:t>
            </w:r>
          </w:p>
        </w:tc>
        <w:tc>
          <w:tcPr>
            <w:tcW w:w="810" w:type="dxa"/>
            <w:vAlign w:val="bottom"/>
            <w:gridSpan w:val="3"/>
          </w:tcPr>
          <w:p>
            <w:pPr>
              <w:ind w:left="10"/>
              <w:spacing w:after="0"/>
              <w:rPr>
                <w:sz w:val="20"/>
                <w:szCs w:val="20"/>
                <w:color w:val="auto"/>
              </w:rPr>
            </w:pPr>
            <w:r>
              <w:rPr>
                <w:rFonts w:ascii="Arial" w:cs="Arial" w:eastAsia="Arial" w:hAnsi="Arial"/>
                <w:sz w:val="13"/>
                <w:szCs w:val="13"/>
                <w:color w:val="auto"/>
              </w:rPr>
              <w:t>​​12/30/2022 ​​</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500" w:type="dxa"/>
            <w:vAlign w:val="bottom"/>
            <w:gridSpan w:val="4"/>
          </w:tcPr>
          <w:p>
            <w:pPr>
              <w:jc w:val="right"/>
              <w:spacing w:after="0"/>
              <w:rPr>
                <w:sz w:val="20"/>
                <w:szCs w:val="20"/>
                <w:color w:val="auto"/>
              </w:rPr>
            </w:pPr>
            <w:r>
              <w:rPr>
                <w:rFonts w:ascii="Arial" w:cs="Arial" w:eastAsia="Arial" w:hAnsi="Arial"/>
                <w:sz w:val="13"/>
                <w:szCs w:val="13"/>
                <w:color w:val="auto"/>
              </w:rPr>
              <w:t>— ​​12/30/2022 ​​</w:t>
            </w:r>
          </w:p>
        </w:tc>
        <w:tc>
          <w:tcPr>
            <w:tcW w:w="680" w:type="dxa"/>
            <w:vAlign w:val="bottom"/>
          </w:tcPr>
          <w:p>
            <w:pPr>
              <w:jc w:val="right"/>
              <w:spacing w:after="0"/>
              <w:rPr>
                <w:sz w:val="20"/>
                <w:szCs w:val="20"/>
                <w:color w:val="auto"/>
              </w:rPr>
            </w:pPr>
            <w:r>
              <w:rPr>
                <w:rFonts w:ascii="Arial" w:cs="Arial" w:eastAsia="Arial" w:hAnsi="Arial"/>
                <w:sz w:val="13"/>
                <w:szCs w:val="13"/>
                <w:color w:val="auto"/>
              </w:rPr>
              <w:t>9,918</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500,363</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520" w:type="dxa"/>
            <w:vAlign w:val="bottom"/>
            <w:gridSpan w:val="2"/>
          </w:tcPr>
          <w:p>
            <w:pPr>
              <w:ind w:left="20"/>
              <w:spacing w:after="0"/>
              <w:rPr>
                <w:sz w:val="20"/>
                <w:szCs w:val="20"/>
                <w:color w:val="auto"/>
              </w:rPr>
            </w:pPr>
            <w:r>
              <w:rPr>
                <w:rFonts w:ascii="Arial" w:cs="Arial" w:eastAsia="Arial" w:hAnsi="Arial"/>
                <w:sz w:val="13"/>
                <w:szCs w:val="13"/>
                <w:color w:val="auto"/>
                <w:w w:val="99"/>
              </w:rPr>
              <w:t>Jimenez</w:t>
            </w:r>
          </w:p>
        </w:tc>
        <w:tc>
          <w:tcPr>
            <w:tcW w:w="83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5"/>
        </w:trPr>
        <w:tc>
          <w:tcPr>
            <w:tcW w:w="400" w:type="dxa"/>
            <w:vAlign w:val="bottom"/>
            <w:shd w:val="clear" w:color="auto" w:fill="CBECD5"/>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0"/>
                <w:szCs w:val="10"/>
                <w:color w:val="auto"/>
              </w:rPr>
            </w:pPr>
          </w:p>
        </w:tc>
        <w:tc>
          <w:tcPr>
            <w:tcW w:w="830" w:type="dxa"/>
            <w:vAlign w:val="bottom"/>
            <w:shd w:val="clear" w:color="auto" w:fill="CBECD5"/>
          </w:tcPr>
          <w:p>
            <w:pPr>
              <w:spacing w:after="0"/>
              <w:rPr>
                <w:sz w:val="10"/>
                <w:szCs w:val="10"/>
                <w:color w:val="auto"/>
              </w:rPr>
            </w:pPr>
          </w:p>
        </w:tc>
        <w:tc>
          <w:tcPr>
            <w:tcW w:w="90" w:type="dxa"/>
            <w:vAlign w:val="bottom"/>
            <w:shd w:val="clear" w:color="auto" w:fill="CBECD5"/>
          </w:tcPr>
          <w:p>
            <w:pPr>
              <w:ind w:left="10"/>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1/29/2018</w:t>
            </w:r>
          </w:p>
        </w:tc>
        <w:tc>
          <w:tcPr>
            <w:tcW w:w="10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10,032</w:t>
            </w:r>
          </w:p>
        </w:tc>
        <w:tc>
          <w:tcPr>
            <w:tcW w:w="12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43.47</w:t>
            </w:r>
          </w:p>
        </w:tc>
        <w:tc>
          <w:tcPr>
            <w:tcW w:w="12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spacing w:after="0"/>
              <w:rPr>
                <w:sz w:val="10"/>
                <w:szCs w:val="10"/>
                <w:color w:val="auto"/>
              </w:rPr>
            </w:pPr>
          </w:p>
        </w:tc>
        <w:tc>
          <w:tcPr>
            <w:tcW w:w="10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ind w:left="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BECD5"/>
          </w:tcPr>
          <w:p>
            <w:pPr>
              <w:jc w:val="right"/>
              <w:ind w:right="34"/>
              <w:spacing w:after="0" w:line="115" w:lineRule="exact"/>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115"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350" w:type="dxa"/>
            <w:vAlign w:val="bottom"/>
            <w:gridSpan w:val="3"/>
            <w:shd w:val="clear" w:color="auto" w:fill="CBECD5"/>
          </w:tcPr>
          <w:p>
            <w:pPr>
              <w:ind w:left="20"/>
              <w:spacing w:after="0" w:line="44" w:lineRule="exact"/>
              <w:rPr>
                <w:sz w:val="20"/>
                <w:szCs w:val="20"/>
                <w:color w:val="auto"/>
              </w:rPr>
            </w:pPr>
            <w:r>
              <w:rPr>
                <w:rFonts w:ascii="Arial" w:cs="Arial" w:eastAsia="Arial" w:hAnsi="Arial"/>
                <w:sz w:val="4"/>
                <w:szCs w:val="4"/>
                <w:color w:val="auto"/>
              </w:rPr>
              <w:t>Thomas Liguori</w:t>
            </w:r>
          </w:p>
        </w:tc>
        <w:tc>
          <w:tcPr>
            <w:tcW w:w="90" w:type="dxa"/>
            <w:vAlign w:val="bottom"/>
            <w:shd w:val="clear" w:color="auto" w:fill="CBECD5"/>
          </w:tcPr>
          <w:p>
            <w:pPr>
              <w:spacing w:after="0"/>
              <w:rPr>
                <w:sz w:val="3"/>
                <w:szCs w:val="3"/>
                <w:color w:val="auto"/>
              </w:rPr>
            </w:pPr>
          </w:p>
        </w:tc>
        <w:tc>
          <w:tcPr>
            <w:tcW w:w="620" w:type="dxa"/>
            <w:vAlign w:val="bottom"/>
            <w:vMerge w:val="continue"/>
            <w:shd w:val="clear" w:color="auto" w:fill="CBECD5"/>
          </w:tcPr>
          <w:p>
            <w:pPr>
              <w:spacing w:after="0"/>
              <w:rPr>
                <w:sz w:val="3"/>
                <w:szCs w:val="3"/>
                <w:color w:val="auto"/>
              </w:rPr>
            </w:pPr>
          </w:p>
        </w:tc>
        <w:tc>
          <w:tcPr>
            <w:tcW w:w="100" w:type="dxa"/>
            <w:vAlign w:val="bottom"/>
            <w:shd w:val="clear" w:color="auto" w:fill="CBECD5"/>
          </w:tcPr>
          <w:p>
            <w:pPr>
              <w:spacing w:after="0"/>
              <w:rPr>
                <w:sz w:val="3"/>
                <w:szCs w:val="3"/>
                <w:color w:val="auto"/>
              </w:rPr>
            </w:pPr>
          </w:p>
        </w:tc>
        <w:tc>
          <w:tcPr>
            <w:tcW w:w="820" w:type="dxa"/>
            <w:vAlign w:val="bottom"/>
            <w:vMerge w:val="continue"/>
            <w:shd w:val="clear" w:color="auto" w:fill="CBECD5"/>
          </w:tcPr>
          <w:p>
            <w:pPr>
              <w:spacing w:after="0"/>
              <w:rPr>
                <w:sz w:val="3"/>
                <w:szCs w:val="3"/>
                <w:color w:val="auto"/>
              </w:rPr>
            </w:pPr>
          </w:p>
        </w:tc>
        <w:tc>
          <w:tcPr>
            <w:tcW w:w="120" w:type="dxa"/>
            <w:vAlign w:val="bottom"/>
            <w:shd w:val="clear" w:color="auto" w:fill="CBECD5"/>
          </w:tcPr>
          <w:p>
            <w:pPr>
              <w:spacing w:after="0"/>
              <w:rPr>
                <w:sz w:val="3"/>
                <w:szCs w:val="3"/>
                <w:color w:val="auto"/>
              </w:rPr>
            </w:pPr>
          </w:p>
        </w:tc>
        <w:tc>
          <w:tcPr>
            <w:tcW w:w="880" w:type="dxa"/>
            <w:vAlign w:val="bottom"/>
            <w:vMerge w:val="continue"/>
            <w:shd w:val="clear" w:color="auto" w:fill="CBECD5"/>
          </w:tcPr>
          <w:p>
            <w:pPr>
              <w:spacing w:after="0"/>
              <w:rPr>
                <w:sz w:val="3"/>
                <w:szCs w:val="3"/>
                <w:color w:val="auto"/>
              </w:rPr>
            </w:pPr>
          </w:p>
        </w:tc>
        <w:tc>
          <w:tcPr>
            <w:tcW w:w="140" w:type="dxa"/>
            <w:vAlign w:val="bottom"/>
            <w:shd w:val="clear" w:color="auto" w:fill="CBECD5"/>
          </w:tcPr>
          <w:p>
            <w:pPr>
              <w:spacing w:after="0"/>
              <w:rPr>
                <w:sz w:val="3"/>
                <w:szCs w:val="3"/>
                <w:color w:val="auto"/>
              </w:rPr>
            </w:pPr>
          </w:p>
        </w:tc>
        <w:tc>
          <w:tcPr>
            <w:tcW w:w="520" w:type="dxa"/>
            <w:vAlign w:val="bottom"/>
            <w:vMerge w:val="continue"/>
            <w:shd w:val="clear" w:color="auto" w:fill="CBECD5"/>
          </w:tcPr>
          <w:p>
            <w:pPr>
              <w:spacing w:after="0"/>
              <w:rPr>
                <w:sz w:val="3"/>
                <w:szCs w:val="3"/>
                <w:color w:val="auto"/>
              </w:rPr>
            </w:pPr>
          </w:p>
        </w:tc>
        <w:tc>
          <w:tcPr>
            <w:tcW w:w="780" w:type="dxa"/>
            <w:vAlign w:val="bottom"/>
            <w:gridSpan w:val="2"/>
            <w:shd w:val="clear" w:color="auto" w:fill="CBECD5"/>
          </w:tcPr>
          <w:p>
            <w:pPr>
              <w:jc w:val="right"/>
              <w:spacing w:after="0" w:line="44" w:lineRule="exact"/>
              <w:rPr>
                <w:sz w:val="20"/>
                <w:szCs w:val="20"/>
                <w:color w:val="auto"/>
              </w:rPr>
            </w:pPr>
            <w:r>
              <w:rPr>
                <w:rFonts w:ascii="Arial" w:cs="Arial" w:eastAsia="Arial" w:hAnsi="Arial"/>
                <w:sz w:val="4"/>
                <w:szCs w:val="4"/>
                <w:color w:val="auto"/>
              </w:rPr>
              <w:t>03/31/2028</w:t>
            </w:r>
          </w:p>
        </w:tc>
        <w:tc>
          <w:tcPr>
            <w:tcW w:w="100" w:type="dxa"/>
            <w:vAlign w:val="bottom"/>
            <w:shd w:val="clear" w:color="auto" w:fill="CBECD5"/>
          </w:tcPr>
          <w:p>
            <w:pPr>
              <w:spacing w:after="0"/>
              <w:rPr>
                <w:sz w:val="3"/>
                <w:szCs w:val="3"/>
                <w:color w:val="auto"/>
              </w:rPr>
            </w:pPr>
          </w:p>
        </w:tc>
        <w:tc>
          <w:tcPr>
            <w:tcW w:w="640" w:type="dxa"/>
            <w:vAlign w:val="bottom"/>
            <w:vMerge w:val="continue"/>
            <w:shd w:val="clear" w:color="auto" w:fill="CBECD5"/>
          </w:tcPr>
          <w:p>
            <w:pPr>
              <w:spacing w:after="0"/>
              <w:rPr>
                <w:sz w:val="3"/>
                <w:szCs w:val="3"/>
                <w:color w:val="auto"/>
              </w:rPr>
            </w:pPr>
          </w:p>
        </w:tc>
        <w:tc>
          <w:tcPr>
            <w:tcW w:w="100" w:type="dxa"/>
            <w:vAlign w:val="bottom"/>
            <w:shd w:val="clear" w:color="auto" w:fill="CBECD5"/>
          </w:tcPr>
          <w:p>
            <w:pPr>
              <w:spacing w:after="0"/>
              <w:rPr>
                <w:sz w:val="3"/>
                <w:szCs w:val="3"/>
                <w:color w:val="auto"/>
              </w:rPr>
            </w:pPr>
          </w:p>
        </w:tc>
        <w:tc>
          <w:tcPr>
            <w:tcW w:w="680" w:type="dxa"/>
            <w:vAlign w:val="bottom"/>
            <w:vMerge w:val="continue"/>
            <w:shd w:val="clear" w:color="auto" w:fill="CBECD5"/>
          </w:tcPr>
          <w:p>
            <w:pPr>
              <w:spacing w:after="0"/>
              <w:rPr>
                <w:sz w:val="3"/>
                <w:szCs w:val="3"/>
                <w:color w:val="auto"/>
              </w:rPr>
            </w:pPr>
          </w:p>
        </w:tc>
        <w:tc>
          <w:tcPr>
            <w:tcW w:w="80" w:type="dxa"/>
            <w:vAlign w:val="bottom"/>
            <w:shd w:val="clear" w:color="auto" w:fill="CBECD5"/>
          </w:tcPr>
          <w:p>
            <w:pPr>
              <w:spacing w:after="0"/>
              <w:rPr>
                <w:sz w:val="3"/>
                <w:szCs w:val="3"/>
                <w:color w:val="auto"/>
              </w:rPr>
            </w:pPr>
          </w:p>
        </w:tc>
        <w:tc>
          <w:tcPr>
            <w:tcW w:w="660" w:type="dxa"/>
            <w:vAlign w:val="bottom"/>
            <w:vMerge w:val="continue"/>
            <w:shd w:val="clear" w:color="auto" w:fill="CBECD5"/>
          </w:tcPr>
          <w:p>
            <w:pPr>
              <w:spacing w:after="0"/>
              <w:rPr>
                <w:sz w:val="3"/>
                <w:szCs w:val="3"/>
                <w:color w:val="auto"/>
              </w:rPr>
            </w:pPr>
          </w:p>
        </w:tc>
        <w:tc>
          <w:tcPr>
            <w:tcW w:w="180" w:type="dxa"/>
            <w:vAlign w:val="bottom"/>
            <w:shd w:val="clear" w:color="auto" w:fill="CBECD5"/>
          </w:tcPr>
          <w:p>
            <w:pPr>
              <w:spacing w:after="0"/>
              <w:rPr>
                <w:sz w:val="3"/>
                <w:szCs w:val="3"/>
                <w:color w:val="auto"/>
              </w:rPr>
            </w:pPr>
          </w:p>
        </w:tc>
        <w:tc>
          <w:tcPr>
            <w:tcW w:w="820" w:type="dxa"/>
            <w:vAlign w:val="bottom"/>
            <w:vMerge w:val="continue"/>
            <w:shd w:val="clear" w:color="auto" w:fill="CBECD5"/>
          </w:tcPr>
          <w:p>
            <w:pPr>
              <w:spacing w:after="0"/>
              <w:rPr>
                <w:sz w:val="3"/>
                <w:szCs w:val="3"/>
                <w:color w:val="auto"/>
              </w:rPr>
            </w:pPr>
          </w:p>
        </w:tc>
        <w:tc>
          <w:tcPr>
            <w:tcW w:w="100" w:type="dxa"/>
            <w:vAlign w:val="bottom"/>
            <w:shd w:val="clear" w:color="auto" w:fill="CBECD5"/>
          </w:tcPr>
          <w:p>
            <w:pPr>
              <w:spacing w:after="0"/>
              <w:rPr>
                <w:sz w:val="3"/>
                <w:szCs w:val="3"/>
                <w:color w:val="auto"/>
              </w:rPr>
            </w:pPr>
          </w:p>
        </w:tc>
        <w:tc>
          <w:tcPr>
            <w:tcW w:w="940" w:type="dxa"/>
            <w:vAlign w:val="bottom"/>
            <w:vMerge w:val="continue"/>
            <w:shd w:val="clear" w:color="auto" w:fill="CBECD5"/>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5"/>
                <w:szCs w:val="15"/>
                <w:color w:val="auto"/>
              </w:rPr>
            </w:pPr>
          </w:p>
        </w:tc>
        <w:tc>
          <w:tcPr>
            <w:tcW w:w="830" w:type="dxa"/>
            <w:vAlign w:val="bottom"/>
            <w:shd w:val="clear" w:color="auto" w:fill="CBECD5"/>
          </w:tcPr>
          <w:p>
            <w:pPr>
              <w:spacing w:after="0"/>
              <w:rPr>
                <w:sz w:val="15"/>
                <w:szCs w:val="15"/>
                <w:color w:val="auto"/>
              </w:rPr>
            </w:pPr>
          </w:p>
        </w:tc>
        <w:tc>
          <w:tcPr>
            <w:tcW w:w="810" w:type="dxa"/>
            <w:vAlign w:val="bottom"/>
            <w:gridSpan w:val="3"/>
            <w:shd w:val="clear" w:color="auto" w:fill="CBECD5"/>
          </w:tcPr>
          <w:p>
            <w:pPr>
              <w:ind w:left="1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8/28/2018 </w:t>
            </w:r>
            <w:r>
              <w:rPr>
                <w:rFonts w:ascii="Arial" w:cs="Arial" w:eastAsia="Arial" w:hAnsi="Arial"/>
                <w:sz w:val="20"/>
                <w:szCs w:val="20"/>
                <w:color w:val="auto"/>
                <w:vertAlign w:val="superscript"/>
              </w:rPr>
              <w:t>​​</w:t>
            </w:r>
          </w:p>
        </w:tc>
        <w:tc>
          <w:tcPr>
            <w:tcW w:w="8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22,148</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48.62</w:t>
            </w:r>
          </w:p>
        </w:tc>
        <w:tc>
          <w:tcPr>
            <w:tcW w:w="78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03/31/2028</w:t>
            </w:r>
          </w:p>
        </w:tc>
        <w:tc>
          <w:tcPr>
            <w:tcW w:w="1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BECD5"/>
          </w:tcPr>
          <w:p>
            <w:pPr>
              <w:jc w:val="right"/>
              <w:ind w:right="34"/>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2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5"/>
                <w:szCs w:val="15"/>
                <w:color w:val="auto"/>
              </w:rPr>
            </w:pPr>
          </w:p>
        </w:tc>
        <w:tc>
          <w:tcPr>
            <w:tcW w:w="830" w:type="dxa"/>
            <w:vAlign w:val="bottom"/>
            <w:shd w:val="clear" w:color="auto" w:fill="CBECD5"/>
          </w:tcPr>
          <w:p>
            <w:pPr>
              <w:spacing w:after="0"/>
              <w:rPr>
                <w:sz w:val="15"/>
                <w:szCs w:val="15"/>
                <w:color w:val="auto"/>
              </w:rPr>
            </w:pPr>
          </w:p>
        </w:tc>
        <w:tc>
          <w:tcPr>
            <w:tcW w:w="810" w:type="dxa"/>
            <w:vAlign w:val="bottom"/>
            <w:gridSpan w:val="3"/>
            <w:shd w:val="clear" w:color="auto" w:fill="CBECD5"/>
          </w:tcPr>
          <w:p>
            <w:pPr>
              <w:ind w:left="1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8/14/2019 </w:t>
            </w:r>
            <w:r>
              <w:rPr>
                <w:rFonts w:ascii="Arial" w:cs="Arial" w:eastAsia="Arial" w:hAnsi="Arial"/>
                <w:sz w:val="20"/>
                <w:szCs w:val="20"/>
                <w:color w:val="auto"/>
                <w:vertAlign w:val="superscript"/>
              </w:rPr>
              <w:t>​​</w:t>
            </w:r>
          </w:p>
        </w:tc>
        <w:tc>
          <w:tcPr>
            <w:tcW w:w="94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8,861</w:t>
            </w:r>
          </w:p>
        </w:tc>
        <w:tc>
          <w:tcPr>
            <w:tcW w:w="1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39.72</w:t>
            </w:r>
          </w:p>
        </w:tc>
        <w:tc>
          <w:tcPr>
            <w:tcW w:w="78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03/31/2028</w:t>
            </w:r>
          </w:p>
        </w:tc>
        <w:tc>
          <w:tcPr>
            <w:tcW w:w="1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BECD5"/>
          </w:tcPr>
          <w:p>
            <w:pPr>
              <w:jc w:val="right"/>
              <w:ind w:right="34"/>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2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spacing w:after="0"/>
              <w:rPr>
                <w:sz w:val="15"/>
                <w:szCs w:val="15"/>
                <w:color w:val="auto"/>
              </w:rPr>
            </w:pPr>
          </w:p>
        </w:tc>
        <w:tc>
          <w:tcPr>
            <w:tcW w:w="830" w:type="dxa"/>
            <w:vAlign w:val="bottom"/>
            <w:shd w:val="clear" w:color="auto" w:fill="CBECD5"/>
          </w:tcPr>
          <w:p>
            <w:pPr>
              <w:spacing w:after="0"/>
              <w:rPr>
                <w:sz w:val="15"/>
                <w:szCs w:val="15"/>
                <w:color w:val="auto"/>
              </w:rPr>
            </w:pPr>
          </w:p>
        </w:tc>
        <w:tc>
          <w:tcPr>
            <w:tcW w:w="810" w:type="dxa"/>
            <w:vAlign w:val="bottom"/>
            <w:gridSpan w:val="3"/>
            <w:shd w:val="clear" w:color="auto" w:fill="CBECD5"/>
          </w:tcPr>
          <w:p>
            <w:pPr>
              <w:ind w:left="1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11/16/2020 </w:t>
            </w:r>
            <w:r>
              <w:rPr>
                <w:rFonts w:ascii="Arial" w:cs="Arial" w:eastAsia="Arial" w:hAnsi="Arial"/>
                <w:sz w:val="20"/>
                <w:szCs w:val="20"/>
                <w:color w:val="auto"/>
                <w:vertAlign w:val="superscript"/>
              </w:rPr>
              <w:t>​​</w:t>
            </w:r>
          </w:p>
        </w:tc>
        <w:tc>
          <w:tcPr>
            <w:tcW w:w="94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40,322</w:t>
            </w:r>
          </w:p>
        </w:tc>
        <w:tc>
          <w:tcPr>
            <w:tcW w:w="1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29.85</w:t>
            </w:r>
          </w:p>
        </w:tc>
        <w:tc>
          <w:tcPr>
            <w:tcW w:w="78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03/31/2028</w:t>
            </w:r>
          </w:p>
        </w:tc>
        <w:tc>
          <w:tcPr>
            <w:tcW w:w="840" w:type="dxa"/>
            <w:vAlign w:val="bottom"/>
            <w:gridSpan w:val="3"/>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11/16/2020 </w:t>
            </w:r>
            <w:r>
              <w:rPr>
                <w:rFonts w:ascii="Arial" w:cs="Arial" w:eastAsia="Arial" w:hAnsi="Arial"/>
                <w:sz w:val="20"/>
                <w:szCs w:val="20"/>
                <w:color w:val="auto"/>
                <w:vertAlign w:val="superscript"/>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6,281</w:t>
            </w:r>
          </w:p>
        </w:tc>
        <w:tc>
          <w:tcPr>
            <w:tcW w:w="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316,876</w:t>
            </w:r>
          </w:p>
        </w:tc>
        <w:tc>
          <w:tcPr>
            <w:tcW w:w="180" w:type="dxa"/>
            <w:vAlign w:val="bottom"/>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9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7"/>
        </w:trPr>
        <w:tc>
          <w:tcPr>
            <w:tcW w:w="40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53C072"/>
            </w:tcBorders>
            <w:shd w:val="clear" w:color="auto" w:fill="CBECD5"/>
          </w:tcPr>
          <w:p>
            <w:pPr>
              <w:spacing w:after="0"/>
              <w:rPr>
                <w:sz w:val="21"/>
                <w:szCs w:val="21"/>
                <w:color w:val="auto"/>
              </w:rPr>
            </w:pPr>
          </w:p>
        </w:tc>
        <w:tc>
          <w:tcPr>
            <w:tcW w:w="830" w:type="dxa"/>
            <w:vAlign w:val="bottom"/>
            <w:tcBorders>
              <w:bottom w:val="single" w:sz="8" w:color="53C072"/>
            </w:tcBorders>
            <w:shd w:val="clear" w:color="auto" w:fill="CBECD5"/>
          </w:tcPr>
          <w:p>
            <w:pPr>
              <w:spacing w:after="0"/>
              <w:rPr>
                <w:sz w:val="21"/>
                <w:szCs w:val="21"/>
                <w:color w:val="auto"/>
              </w:rPr>
            </w:pPr>
          </w:p>
        </w:tc>
        <w:tc>
          <w:tcPr>
            <w:tcW w:w="810" w:type="dxa"/>
            <w:vAlign w:val="bottom"/>
            <w:tcBorders>
              <w:bottom w:val="single" w:sz="8" w:color="53C072"/>
            </w:tcBorders>
            <w:gridSpan w:val="3"/>
            <w:shd w:val="clear" w:color="auto" w:fill="CBECD5"/>
          </w:tcPr>
          <w:p>
            <w:pPr>
              <w:ind w:left="10"/>
              <w:spacing w:after="0" w:line="24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8/23/2021 </w:t>
            </w:r>
            <w:r>
              <w:rPr>
                <w:rFonts w:ascii="Arial" w:cs="Arial" w:eastAsia="Arial" w:hAnsi="Arial"/>
                <w:sz w:val="26"/>
                <w:szCs w:val="26"/>
                <w:color w:val="auto"/>
                <w:vertAlign w:val="superscript"/>
              </w:rPr>
              <w:t>​​</w:t>
            </w:r>
          </w:p>
        </w:tc>
        <w:tc>
          <w:tcPr>
            <w:tcW w:w="940" w:type="dxa"/>
            <w:vAlign w:val="bottom"/>
            <w:tcBorders>
              <w:bottom w:val="single" w:sz="8" w:color="53C072"/>
            </w:tcBorders>
            <w:gridSpan w:val="2"/>
            <w:shd w:val="clear" w:color="auto" w:fill="CBECD5"/>
          </w:tcPr>
          <w:p>
            <w:pPr>
              <w:jc w:val="right"/>
              <w:spacing w:after="0" w:line="24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8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46,620</w:t>
            </w:r>
          </w:p>
        </w:tc>
        <w:tc>
          <w:tcPr>
            <w:tcW w:w="14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39.62</w:t>
            </w:r>
          </w:p>
        </w:tc>
        <w:tc>
          <w:tcPr>
            <w:tcW w:w="780" w:type="dxa"/>
            <w:vAlign w:val="bottom"/>
            <w:tcBorders>
              <w:bottom w:val="single" w:sz="8" w:color="53C072"/>
            </w:tcBorders>
            <w:gridSpan w:val="2"/>
            <w:shd w:val="clear" w:color="auto" w:fill="CBECD5"/>
          </w:tcPr>
          <w:p>
            <w:pPr>
              <w:jc w:val="right"/>
              <w:spacing w:after="0" w:line="24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03/31/2028</w:t>
            </w:r>
          </w:p>
        </w:tc>
        <w:tc>
          <w:tcPr>
            <w:tcW w:w="840" w:type="dxa"/>
            <w:vAlign w:val="bottom"/>
            <w:tcBorders>
              <w:bottom w:val="single" w:sz="8" w:color="53C072"/>
            </w:tcBorders>
            <w:gridSpan w:val="3"/>
            <w:shd w:val="clear" w:color="auto" w:fill="CBECD5"/>
          </w:tcPr>
          <w:p>
            <w:pPr>
              <w:jc w:val="right"/>
              <w:spacing w:after="0" w:line="24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8/23/2021 </w:t>
            </w:r>
            <w:r>
              <w:rPr>
                <w:rFonts w:ascii="Arial" w:cs="Arial" w:eastAsia="Arial" w:hAnsi="Arial"/>
                <w:sz w:val="26"/>
                <w:szCs w:val="26"/>
                <w:color w:val="auto"/>
                <w:vertAlign w:val="superscript"/>
              </w:rPr>
              <w:t>​​</w:t>
            </w:r>
          </w:p>
        </w:tc>
        <w:tc>
          <w:tcPr>
            <w:tcW w:w="6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10,096</w:t>
            </w:r>
          </w:p>
        </w:tc>
        <w:tc>
          <w:tcPr>
            <w:tcW w:w="8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509,343</w:t>
            </w:r>
          </w:p>
        </w:tc>
        <w:tc>
          <w:tcPr>
            <w:tcW w:w="180" w:type="dxa"/>
            <w:vAlign w:val="bottom"/>
            <w:tcBorders>
              <w:bottom w:val="single" w:sz="8" w:color="53C072"/>
            </w:tcBorders>
            <w:shd w:val="clear" w:color="auto" w:fill="CBECD5"/>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3C072"/>
            </w:tcBorders>
            <w:gridSpan w:val="2"/>
            <w:shd w:val="clear" w:color="auto" w:fill="CBECD5"/>
          </w:tcPr>
          <w:p>
            <w:pPr>
              <w:jc w:val="right"/>
              <w:spacing w:after="0" w:line="24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94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Vesting schedules:</w:t>
      </w:r>
    </w:p>
    <w:p>
      <w:pPr>
        <w:spacing w:after="0" w:line="127" w:lineRule="exact"/>
        <w:rPr>
          <w:sz w:val="20"/>
          <w:szCs w:val="20"/>
          <w:color w:val="auto"/>
        </w:rPr>
      </w:pPr>
    </w:p>
    <w:p>
      <w:pPr>
        <w:ind w:left="1040" w:right="520" w:hanging="185"/>
        <w:spacing w:after="0" w:line="263" w:lineRule="auto"/>
        <w:tabs>
          <w:tab w:leader="none" w:pos="1040" w:val="left"/>
        </w:tabs>
        <w:numPr>
          <w:ilvl w:val="0"/>
          <w:numId w:val="75"/>
        </w:numPr>
        <w:rPr>
          <w:rFonts w:ascii="Arial" w:cs="Arial" w:eastAsia="Arial" w:hAnsi="Arial"/>
          <w:sz w:val="18"/>
          <w:szCs w:val="18"/>
          <w:color w:val="53C072"/>
        </w:rPr>
      </w:pPr>
      <w:r>
        <w:rPr>
          <w:rFonts w:ascii="Arial" w:cs="Arial" w:eastAsia="Arial" w:hAnsi="Arial"/>
          <w:sz w:val="18"/>
          <w:szCs w:val="18"/>
          <w:color w:val="auto"/>
        </w:rPr>
        <w:t>Stock options vest in 25% annual increments on the first through fourth anniversaries of the grant date. Stock options typically expire the day before the tenth anniversary of the grant date. The stock options for Mr. Liguori expire on the fifth anniversary of his termination date of March 31, 2023.</w:t>
      </w:r>
    </w:p>
    <w:p>
      <w:pPr>
        <w:spacing w:after="0" w:line="75" w:lineRule="exact"/>
        <w:rPr>
          <w:rFonts w:ascii="Arial" w:cs="Arial" w:eastAsia="Arial" w:hAnsi="Arial"/>
          <w:sz w:val="18"/>
          <w:szCs w:val="18"/>
          <w:color w:val="53C072"/>
        </w:rPr>
      </w:pPr>
    </w:p>
    <w:p>
      <w:pPr>
        <w:ind w:left="1040" w:right="1040" w:hanging="185"/>
        <w:spacing w:after="0" w:line="306" w:lineRule="auto"/>
        <w:tabs>
          <w:tab w:leader="none" w:pos="1040" w:val="left"/>
        </w:tabs>
        <w:numPr>
          <w:ilvl w:val="0"/>
          <w:numId w:val="75"/>
        </w:numPr>
        <w:rPr>
          <w:rFonts w:ascii="Arial" w:cs="Arial" w:eastAsia="Arial" w:hAnsi="Arial"/>
          <w:sz w:val="17"/>
          <w:szCs w:val="17"/>
          <w:color w:val="53C072"/>
        </w:rPr>
      </w:pPr>
      <w:r>
        <w:rPr>
          <w:rFonts w:ascii="Arial" w:cs="Arial" w:eastAsia="Arial" w:hAnsi="Arial"/>
          <w:sz w:val="17"/>
          <w:szCs w:val="17"/>
          <w:color w:val="auto"/>
        </w:rPr>
        <w:t>RSUs vest in 25% increments commencing on the first business day in January following the grant date (“commencement date”) and on the 1st, 2nd, and 3rd annual anniversary of the commencement date.</w:t>
      </w:r>
    </w:p>
    <w:p>
      <w:pPr>
        <w:spacing w:after="0" w:line="41" w:lineRule="exact"/>
        <w:rPr>
          <w:rFonts w:ascii="Arial" w:cs="Arial" w:eastAsia="Arial" w:hAnsi="Arial"/>
          <w:sz w:val="17"/>
          <w:szCs w:val="17"/>
          <w:color w:val="53C072"/>
        </w:rPr>
      </w:pPr>
    </w:p>
    <w:p>
      <w:pPr>
        <w:ind w:left="1040" w:right="180" w:hanging="185"/>
        <w:spacing w:after="0" w:line="285" w:lineRule="auto"/>
        <w:tabs>
          <w:tab w:leader="none" w:pos="1040" w:val="left"/>
        </w:tabs>
        <w:numPr>
          <w:ilvl w:val="0"/>
          <w:numId w:val="75"/>
        </w:numPr>
        <w:rPr>
          <w:rFonts w:ascii="Arial" w:cs="Arial" w:eastAsia="Arial" w:hAnsi="Arial"/>
          <w:sz w:val="17"/>
          <w:szCs w:val="17"/>
          <w:color w:val="53C072"/>
        </w:rPr>
      </w:pPr>
      <w:r>
        <w:rPr>
          <w:rFonts w:ascii="Arial" w:cs="Arial" w:eastAsia="Arial" w:hAnsi="Arial"/>
          <w:sz w:val="17"/>
          <w:szCs w:val="17"/>
          <w:color w:val="auto"/>
        </w:rPr>
        <w:t>PSUs vest, if at all, at the end of the performance period for the third tranche. Performance is measured discretely for each tranche’s one-fiscal-year performance period and earned PSUs are banked until the end of the performance period for the third tranche at which time earned PSUs from all three tranches are vested and issued.</w:t>
      </w: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1242695" cy="24003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4"/>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3C072"/>
        </w:rPr>
        <w:t>OPTION EXERCISES AND STOCK VESTED</w:t>
      </w:r>
    </w:p>
    <w:p>
      <w:pPr>
        <w:spacing w:after="0" w:line="172" w:lineRule="exact"/>
        <w:rPr>
          <w:sz w:val="20"/>
          <w:szCs w:val="20"/>
          <w:color w:val="auto"/>
        </w:rPr>
      </w:pPr>
    </w:p>
    <w:p>
      <w:pPr>
        <w:ind w:left="500" w:right="220"/>
        <w:spacing w:after="0" w:line="248" w:lineRule="auto"/>
        <w:rPr>
          <w:sz w:val="20"/>
          <w:szCs w:val="20"/>
          <w:color w:val="auto"/>
        </w:rPr>
      </w:pPr>
      <w:r>
        <w:rPr>
          <w:rFonts w:ascii="Arial" w:cs="Arial" w:eastAsia="Arial" w:hAnsi="Arial"/>
          <w:sz w:val="18"/>
          <w:szCs w:val="18"/>
          <w:color w:val="auto"/>
        </w:rPr>
        <w:t>The following table provides information as to each of the NEOs: (1) stock options exercised during fiscal 2023, including the number of shares acquired upon exercise and the value realized, and (2) the number of shares acquired upon the vesting of stock awards in the form of RSUs, and the value realized, each before payment of any applicable withholding tax.</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52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140" w:type="dxa"/>
            <w:vAlign w:val="bottom"/>
            <w:shd w:val="clear" w:color="auto" w:fill="53C072"/>
          </w:tcPr>
          <w:p>
            <w:pPr>
              <w:spacing w:after="0"/>
              <w:rPr>
                <w:sz w:val="21"/>
                <w:szCs w:val="21"/>
                <w:color w:val="auto"/>
              </w:rPr>
            </w:pPr>
          </w:p>
        </w:tc>
        <w:tc>
          <w:tcPr>
            <w:tcW w:w="660" w:type="dxa"/>
            <w:vAlign w:val="bottom"/>
            <w:shd w:val="clear" w:color="auto" w:fill="53C072"/>
          </w:tcPr>
          <w:p>
            <w:pPr>
              <w:spacing w:after="0"/>
              <w:rPr>
                <w:sz w:val="21"/>
                <w:szCs w:val="21"/>
                <w:color w:val="auto"/>
              </w:rPr>
            </w:pPr>
          </w:p>
        </w:tc>
        <w:tc>
          <w:tcPr>
            <w:tcW w:w="10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Option Awards</w:t>
            </w:r>
          </w:p>
        </w:tc>
        <w:tc>
          <w:tcPr>
            <w:tcW w:w="460" w:type="dxa"/>
            <w:vAlign w:val="bottom"/>
            <w:gridSpan w:val="2"/>
            <w:shd w:val="clear" w:color="auto" w:fill="53C072"/>
          </w:tcPr>
          <w:p>
            <w:pPr>
              <w:jc w:val="right"/>
              <w:ind w:right="116"/>
              <w:spacing w:after="0"/>
              <w:rPr>
                <w:sz w:val="20"/>
                <w:szCs w:val="20"/>
                <w:color w:val="auto"/>
              </w:rPr>
            </w:pPr>
            <w:r>
              <w:rPr>
                <w:rFonts w:ascii="Arial" w:cs="Arial" w:eastAsia="Arial" w:hAnsi="Arial"/>
                <w:sz w:val="14"/>
                <w:szCs w:val="14"/>
                <w:b w:val="1"/>
                <w:bCs w:val="1"/>
                <w:color w:val="FEFEFE"/>
              </w:rPr>
              <w:t>​ ​</w:t>
            </w:r>
          </w:p>
        </w:tc>
        <w:tc>
          <w:tcPr>
            <w:tcW w:w="640" w:type="dxa"/>
            <w:vAlign w:val="bottom"/>
            <w:shd w:val="clear" w:color="auto" w:fill="53C072"/>
          </w:tcPr>
          <w:p>
            <w:pPr>
              <w:spacing w:after="0"/>
              <w:rPr>
                <w:sz w:val="21"/>
                <w:szCs w:val="21"/>
                <w:color w:val="auto"/>
              </w:rPr>
            </w:pPr>
          </w:p>
        </w:tc>
        <w:tc>
          <w:tcPr>
            <w:tcW w:w="1180" w:type="dxa"/>
            <w:vAlign w:val="bottom"/>
            <w:gridSpan w:val="3"/>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Stock Awards</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183"/>
        </w:trPr>
        <w:tc>
          <w:tcPr>
            <w:tcW w:w="5260" w:type="dxa"/>
            <w:vAlign w:val="bottom"/>
            <w:tcBorders>
              <w:top w:val="single" w:sz="8" w:color="53C072"/>
            </w:tcBorders>
            <w:shd w:val="clear" w:color="auto" w:fill="53C072"/>
          </w:tcPr>
          <w:p>
            <w:pPr>
              <w:spacing w:after="0"/>
              <w:rPr>
                <w:sz w:val="15"/>
                <w:szCs w:val="15"/>
                <w:color w:val="auto"/>
              </w:rPr>
            </w:pPr>
          </w:p>
        </w:tc>
        <w:tc>
          <w:tcPr>
            <w:tcW w:w="220" w:type="dxa"/>
            <w:vAlign w:val="bottom"/>
            <w:tcBorders>
              <w:top w:val="single" w:sz="8" w:color="53C072"/>
            </w:tcBorders>
            <w:shd w:val="clear" w:color="auto" w:fill="53C072"/>
          </w:tcPr>
          <w:p>
            <w:pPr>
              <w:spacing w:after="0"/>
              <w:rPr>
                <w:sz w:val="15"/>
                <w:szCs w:val="15"/>
                <w:color w:val="auto"/>
              </w:rPr>
            </w:pPr>
          </w:p>
        </w:tc>
        <w:tc>
          <w:tcPr>
            <w:tcW w:w="100" w:type="dxa"/>
            <w:vAlign w:val="bottom"/>
            <w:tcBorders>
              <w:top w:val="single" w:sz="8" w:color="auto"/>
            </w:tcBorders>
            <w:shd w:val="clear" w:color="auto" w:fill="53C072"/>
          </w:tcPr>
          <w:p>
            <w:pPr>
              <w:spacing w:after="0"/>
              <w:rPr>
                <w:sz w:val="15"/>
                <w:szCs w:val="15"/>
                <w:color w:val="auto"/>
              </w:rPr>
            </w:pPr>
          </w:p>
        </w:tc>
        <w:tc>
          <w:tcPr>
            <w:tcW w:w="800" w:type="dxa"/>
            <w:vAlign w:val="bottom"/>
            <w:tcBorders>
              <w:top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Number of</w:t>
            </w:r>
          </w:p>
        </w:tc>
        <w:tc>
          <w:tcPr>
            <w:tcW w:w="360" w:type="dxa"/>
            <w:vAlign w:val="bottom"/>
            <w:tcBorders>
              <w:top w:val="single" w:sz="8" w:color="auto"/>
            </w:tcBorders>
            <w:shd w:val="clear" w:color="auto" w:fill="53C072"/>
          </w:tcPr>
          <w:p>
            <w:pPr>
              <w:spacing w:after="0"/>
              <w:rPr>
                <w:sz w:val="15"/>
                <w:szCs w:val="15"/>
                <w:color w:val="auto"/>
              </w:rPr>
            </w:pPr>
          </w:p>
        </w:tc>
        <w:tc>
          <w:tcPr>
            <w:tcW w:w="700" w:type="dxa"/>
            <w:vAlign w:val="bottom"/>
            <w:tcBorders>
              <w:top w:val="single" w:sz="8" w:color="auto"/>
            </w:tcBorders>
            <w:shd w:val="clear" w:color="auto" w:fill="53C072"/>
          </w:tcPr>
          <w:p>
            <w:pPr>
              <w:spacing w:after="0"/>
              <w:rPr>
                <w:sz w:val="15"/>
                <w:szCs w:val="15"/>
                <w:color w:val="auto"/>
              </w:rPr>
            </w:pPr>
          </w:p>
        </w:tc>
        <w:tc>
          <w:tcPr>
            <w:tcW w:w="220" w:type="dxa"/>
            <w:vAlign w:val="bottom"/>
            <w:tcBorders>
              <w:top w:val="single" w:sz="8" w:color="53C072"/>
            </w:tcBorders>
            <w:shd w:val="clear" w:color="auto" w:fill="53C072"/>
          </w:tcPr>
          <w:p>
            <w:pPr>
              <w:spacing w:after="0"/>
              <w:rPr>
                <w:sz w:val="15"/>
                <w:szCs w:val="15"/>
                <w:color w:val="auto"/>
              </w:rPr>
            </w:pPr>
          </w:p>
        </w:tc>
        <w:tc>
          <w:tcPr>
            <w:tcW w:w="880" w:type="dxa"/>
            <w:vAlign w:val="bottom"/>
            <w:tcBorders>
              <w:top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Number of</w:t>
            </w:r>
          </w:p>
        </w:tc>
        <w:tc>
          <w:tcPr>
            <w:tcW w:w="360" w:type="dxa"/>
            <w:vAlign w:val="bottom"/>
            <w:tcBorders>
              <w:top w:val="single" w:sz="8" w:color="auto"/>
            </w:tcBorders>
            <w:shd w:val="clear" w:color="auto" w:fill="53C072"/>
          </w:tcPr>
          <w:p>
            <w:pPr>
              <w:spacing w:after="0"/>
              <w:rPr>
                <w:sz w:val="15"/>
                <w:szCs w:val="15"/>
                <w:color w:val="auto"/>
              </w:rPr>
            </w:pPr>
          </w:p>
        </w:tc>
        <w:tc>
          <w:tcPr>
            <w:tcW w:w="720" w:type="dxa"/>
            <w:vAlign w:val="bottom"/>
            <w:tcBorders>
              <w:top w:val="single" w:sz="8" w:color="auto"/>
            </w:tcBorders>
            <w:shd w:val="clear" w:color="auto" w:fill="53C072"/>
          </w:tcPr>
          <w:p>
            <w:pPr>
              <w:spacing w:after="0"/>
              <w:rPr>
                <w:sz w:val="15"/>
                <w:szCs w:val="15"/>
                <w:color w:val="auto"/>
              </w:rPr>
            </w:pPr>
          </w:p>
        </w:tc>
        <w:tc>
          <w:tcPr>
            <w:tcW w:w="100" w:type="dxa"/>
            <w:vAlign w:val="bottom"/>
            <w:tcBorders>
              <w:top w:val="single" w:sz="8" w:color="53C072"/>
            </w:tcBorders>
            <w:shd w:val="clear" w:color="auto" w:fill="53C072"/>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526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36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Value</w:t>
            </w:r>
          </w:p>
        </w:tc>
        <w:tc>
          <w:tcPr>
            <w:tcW w:w="22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360" w:type="dxa"/>
            <w:vAlign w:val="bottom"/>
            <w:shd w:val="clear" w:color="auto" w:fill="53C072"/>
          </w:tcPr>
          <w:p>
            <w:pPr>
              <w:spacing w:after="0"/>
              <w:rPr>
                <w:sz w:val="14"/>
                <w:szCs w:val="14"/>
                <w:color w:val="auto"/>
              </w:rPr>
            </w:pPr>
          </w:p>
        </w:tc>
        <w:tc>
          <w:tcPr>
            <w:tcW w:w="820" w:type="dxa"/>
            <w:vAlign w:val="bottom"/>
            <w:gridSpan w:val="2"/>
            <w:shd w:val="clear" w:color="auto" w:fill="53C072"/>
          </w:tcPr>
          <w:p>
            <w:pPr>
              <w:jc w:val="right"/>
              <w:ind w:right="140"/>
              <w:spacing w:after="0"/>
              <w:rPr>
                <w:sz w:val="20"/>
                <w:szCs w:val="20"/>
                <w:color w:val="auto"/>
              </w:rPr>
            </w:pPr>
            <w:r>
              <w:rPr>
                <w:rFonts w:ascii="Arial" w:cs="Arial" w:eastAsia="Arial" w:hAnsi="Arial"/>
                <w:sz w:val="14"/>
                <w:szCs w:val="14"/>
                <w:b w:val="1"/>
                <w:bCs w:val="1"/>
                <w:color w:val="FEFEFE"/>
              </w:rPr>
              <w:t>Value</w:t>
            </w:r>
          </w:p>
        </w:tc>
        <w:tc>
          <w:tcPr>
            <w:tcW w:w="40" w:type="dxa"/>
            <w:vAlign w:val="bottom"/>
          </w:tcPr>
          <w:p>
            <w:pPr>
              <w:spacing w:after="0"/>
              <w:rPr>
                <w:sz w:val="14"/>
                <w:szCs w:val="14"/>
                <w:color w:val="auto"/>
              </w:rPr>
            </w:pPr>
          </w:p>
        </w:tc>
      </w:tr>
      <w:tr>
        <w:trPr>
          <w:trHeight w:val="162"/>
        </w:trPr>
        <w:tc>
          <w:tcPr>
            <w:tcW w:w="526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900" w:type="dxa"/>
            <w:vAlign w:val="bottom"/>
            <w:gridSpan w:val="3"/>
            <w:shd w:val="clear" w:color="auto" w:fill="53C072"/>
          </w:tcPr>
          <w:p>
            <w:pPr>
              <w:jc w:val="right"/>
              <w:spacing w:after="0"/>
              <w:rPr>
                <w:sz w:val="20"/>
                <w:szCs w:val="20"/>
                <w:color w:val="auto"/>
              </w:rPr>
            </w:pPr>
            <w:r>
              <w:rPr>
                <w:rFonts w:ascii="Arial" w:cs="Arial" w:eastAsia="Arial" w:hAnsi="Arial"/>
                <w:sz w:val="14"/>
                <w:szCs w:val="14"/>
                <w:b w:val="1"/>
                <w:bCs w:val="1"/>
                <w:color w:val="FEFEFE"/>
              </w:rPr>
              <w:t>Acquired on</w:t>
            </w:r>
          </w:p>
        </w:tc>
        <w:tc>
          <w:tcPr>
            <w:tcW w:w="10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Realized on</w:t>
            </w:r>
          </w:p>
        </w:tc>
        <w:tc>
          <w:tcPr>
            <w:tcW w:w="220" w:type="dxa"/>
            <w:vAlign w:val="bottom"/>
            <w:shd w:val="clear" w:color="auto" w:fill="53C072"/>
          </w:tcPr>
          <w:p>
            <w:pPr>
              <w:spacing w:after="0"/>
              <w:rPr>
                <w:sz w:val="14"/>
                <w:szCs w:val="14"/>
                <w:color w:val="auto"/>
              </w:rPr>
            </w:pPr>
          </w:p>
        </w:tc>
        <w:tc>
          <w:tcPr>
            <w:tcW w:w="8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Acquired on</w:t>
            </w:r>
          </w:p>
        </w:tc>
        <w:tc>
          <w:tcPr>
            <w:tcW w:w="1180" w:type="dxa"/>
            <w:vAlign w:val="bottom"/>
            <w:gridSpan w:val="3"/>
            <w:shd w:val="clear" w:color="auto" w:fill="53C072"/>
          </w:tcPr>
          <w:p>
            <w:pPr>
              <w:jc w:val="right"/>
              <w:ind w:right="140"/>
              <w:spacing w:after="0"/>
              <w:rPr>
                <w:sz w:val="20"/>
                <w:szCs w:val="20"/>
                <w:color w:val="auto"/>
              </w:rPr>
            </w:pPr>
            <w:r>
              <w:rPr>
                <w:rFonts w:ascii="Arial" w:cs="Arial" w:eastAsia="Arial" w:hAnsi="Arial"/>
                <w:sz w:val="14"/>
                <w:szCs w:val="14"/>
                <w:b w:val="1"/>
                <w:bCs w:val="1"/>
                <w:color w:val="FEFEFE"/>
              </w:rPr>
              <w:t>Realized on</w:t>
            </w:r>
          </w:p>
        </w:tc>
        <w:tc>
          <w:tcPr>
            <w:tcW w:w="40" w:type="dxa"/>
            <w:vAlign w:val="bottom"/>
          </w:tcPr>
          <w:p>
            <w:pPr>
              <w:spacing w:after="0"/>
              <w:rPr>
                <w:sz w:val="14"/>
                <w:szCs w:val="14"/>
                <w:color w:val="auto"/>
              </w:rPr>
            </w:pPr>
          </w:p>
        </w:tc>
      </w:tr>
      <w:tr>
        <w:trPr>
          <w:trHeight w:val="162"/>
        </w:trPr>
        <w:tc>
          <w:tcPr>
            <w:tcW w:w="526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w:t>
            </w:r>
          </w:p>
        </w:tc>
        <w:tc>
          <w:tcPr>
            <w:tcW w:w="36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w:t>
            </w:r>
          </w:p>
        </w:tc>
        <w:tc>
          <w:tcPr>
            <w:tcW w:w="22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Vesting</w:t>
            </w:r>
          </w:p>
        </w:tc>
        <w:tc>
          <w:tcPr>
            <w:tcW w:w="360" w:type="dxa"/>
            <w:vAlign w:val="bottom"/>
            <w:shd w:val="clear" w:color="auto" w:fill="53C072"/>
          </w:tcPr>
          <w:p>
            <w:pPr>
              <w:spacing w:after="0"/>
              <w:rPr>
                <w:sz w:val="14"/>
                <w:szCs w:val="14"/>
                <w:color w:val="auto"/>
              </w:rPr>
            </w:pPr>
          </w:p>
        </w:tc>
        <w:tc>
          <w:tcPr>
            <w:tcW w:w="820" w:type="dxa"/>
            <w:vAlign w:val="bottom"/>
            <w:gridSpan w:val="2"/>
            <w:shd w:val="clear" w:color="auto" w:fill="53C072"/>
          </w:tcPr>
          <w:p>
            <w:pPr>
              <w:jc w:val="right"/>
              <w:ind w:right="140"/>
              <w:spacing w:after="0"/>
              <w:rPr>
                <w:sz w:val="20"/>
                <w:szCs w:val="20"/>
                <w:color w:val="auto"/>
              </w:rPr>
            </w:pPr>
            <w:r>
              <w:rPr>
                <w:rFonts w:ascii="Arial" w:cs="Arial" w:eastAsia="Arial" w:hAnsi="Arial"/>
                <w:sz w:val="14"/>
                <w:szCs w:val="14"/>
                <w:b w:val="1"/>
                <w:bCs w:val="1"/>
                <w:color w:val="FEFEFE"/>
              </w:rPr>
              <w:t>Vesting</w:t>
            </w:r>
          </w:p>
        </w:tc>
        <w:tc>
          <w:tcPr>
            <w:tcW w:w="40" w:type="dxa"/>
            <w:vAlign w:val="bottom"/>
          </w:tcPr>
          <w:p>
            <w:pPr>
              <w:spacing w:after="0"/>
              <w:rPr>
                <w:sz w:val="14"/>
                <w:szCs w:val="14"/>
                <w:color w:val="auto"/>
              </w:rPr>
            </w:pPr>
          </w:p>
        </w:tc>
      </w:tr>
      <w:tr>
        <w:trPr>
          <w:trHeight w:val="162"/>
        </w:trPr>
        <w:tc>
          <w:tcPr>
            <w:tcW w:w="52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Name</w:t>
            </w:r>
          </w:p>
        </w:tc>
        <w:tc>
          <w:tcPr>
            <w:tcW w:w="2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6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60" w:type="dxa"/>
            <w:vAlign w:val="bottom"/>
            <w:shd w:val="clear" w:color="auto" w:fill="53C072"/>
          </w:tcPr>
          <w:p>
            <w:pPr>
              <w:spacing w:after="0"/>
              <w:rPr>
                <w:sz w:val="14"/>
                <w:szCs w:val="14"/>
                <w:color w:val="auto"/>
              </w:rPr>
            </w:pP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3C072"/>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52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​(a)</w:t>
            </w:r>
          </w:p>
        </w:tc>
        <w:tc>
          <w:tcPr>
            <w:tcW w:w="32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140" w:type="dxa"/>
            <w:vAlign w:val="bottom"/>
            <w:shd w:val="clear" w:color="auto" w:fill="53C072"/>
          </w:tcPr>
          <w:p>
            <w:pPr>
              <w:spacing w:after="0"/>
              <w:rPr>
                <w:sz w:val="16"/>
                <w:szCs w:val="16"/>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(b)</w:t>
            </w:r>
          </w:p>
        </w:tc>
        <w:tc>
          <w:tcPr>
            <w:tcW w:w="360" w:type="dxa"/>
            <w:vAlign w:val="bottom"/>
            <w:shd w:val="clear" w:color="auto" w:fill="53C072"/>
          </w:tcPr>
          <w:p>
            <w:pPr>
              <w:jc w:val="right"/>
              <w:ind w:right="16"/>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w:t>
            </w:r>
          </w:p>
        </w:tc>
        <w:tc>
          <w:tcPr>
            <w:tcW w:w="2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40" w:type="dxa"/>
            <w:vAlign w:val="bottom"/>
            <w:shd w:val="clear" w:color="auto" w:fill="53C072"/>
          </w:tcPr>
          <w:p>
            <w:pPr>
              <w:jc w:val="right"/>
              <w:ind w:right="116"/>
              <w:spacing w:after="0"/>
              <w:rPr>
                <w:sz w:val="20"/>
                <w:szCs w:val="20"/>
                <w:color w:val="auto"/>
              </w:rPr>
            </w:pPr>
            <w:r>
              <w:rPr>
                <w:rFonts w:ascii="Arial" w:cs="Arial" w:eastAsia="Arial" w:hAnsi="Arial"/>
                <w:sz w:val="14"/>
                <w:szCs w:val="14"/>
                <w:b w:val="1"/>
                <w:bCs w:val="1"/>
                <w:color w:val="FEFEFE"/>
              </w:rPr>
              <w:t>​</w:t>
            </w: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w:t>
            </w:r>
          </w:p>
        </w:tc>
        <w:tc>
          <w:tcPr>
            <w:tcW w:w="3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820" w:type="dxa"/>
            <w:vAlign w:val="bottom"/>
            <w:gridSpan w:val="2"/>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(e)</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​Philip R. Gallagher</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32,740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75,747​​ ​</w:t>
            </w:r>
          </w:p>
        </w:tc>
        <w:tc>
          <w:tcPr>
            <w:tcW w:w="88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51,256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​​2,128,662​​</w:t>
            </w:r>
          </w:p>
        </w:tc>
        <w:tc>
          <w:tcPr>
            <w:tcW w:w="40" w:type="dxa"/>
            <w:vAlign w:val="bottom"/>
          </w:tcPr>
          <w:p>
            <w:pPr>
              <w:spacing w:after="0"/>
              <w:rPr>
                <w:sz w:val="22"/>
                <w:szCs w:val="22"/>
                <w:color w:val="auto"/>
              </w:rPr>
            </w:pPr>
          </w:p>
        </w:tc>
      </w:tr>
      <w:tr>
        <w:trPr>
          <w:trHeight w:val="270"/>
        </w:trPr>
        <w:tc>
          <w:tcPr>
            <w:tcW w:w="5260" w:type="dxa"/>
            <w:vAlign w:val="bottom"/>
            <w:shd w:val="clear" w:color="auto" w:fill="CBECD5"/>
          </w:tcPr>
          <w:p>
            <w:pPr>
              <w:ind w:left="40"/>
              <w:spacing w:after="0"/>
              <w:rPr>
                <w:sz w:val="20"/>
                <w:szCs w:val="20"/>
                <w:color w:val="auto"/>
              </w:rPr>
            </w:pPr>
            <w:r>
              <w:rPr>
                <w:rFonts w:ascii="Arial" w:cs="Arial" w:eastAsia="Arial" w:hAnsi="Arial"/>
                <w:sz w:val="18"/>
                <w:szCs w:val="18"/>
                <w:color w:val="auto"/>
              </w:rPr>
              <w:t>​Kenneth Jacobson</w:t>
            </w:r>
          </w:p>
        </w:tc>
        <w:tc>
          <w:tcPr>
            <w:tcW w:w="32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BECD5"/>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BECD5"/>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BECD5"/>
          </w:tcPr>
          <w:p>
            <w:pPr>
              <w:jc w:val="right"/>
              <w:ind w:right="6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12,737</w:t>
            </w:r>
          </w:p>
        </w:tc>
        <w:tc>
          <w:tcPr>
            <w:tcW w:w="3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528,968​​</w:t>
            </w:r>
          </w:p>
        </w:tc>
        <w:tc>
          <w:tcPr>
            <w:tcW w:w="40" w:type="dxa"/>
            <w:vAlign w:val="bottom"/>
          </w:tcPr>
          <w:p>
            <w:pPr>
              <w:spacing w:after="0"/>
              <w:rPr>
                <w:sz w:val="23"/>
                <w:szCs w:val="23"/>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​Ken E. Arnold</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9,232</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383,405​​</w:t>
            </w:r>
          </w:p>
        </w:tc>
        <w:tc>
          <w:tcPr>
            <w:tcW w:w="40" w:type="dxa"/>
            <w:vAlign w:val="bottom"/>
          </w:tcPr>
          <w:p>
            <w:pPr>
              <w:spacing w:after="0"/>
              <w:rPr>
                <w:sz w:val="23"/>
                <w:szCs w:val="23"/>
                <w:color w:val="auto"/>
              </w:rPr>
            </w:pPr>
          </w:p>
        </w:tc>
      </w:tr>
      <w:tr>
        <w:trPr>
          <w:trHeight w:val="270"/>
        </w:trPr>
        <w:tc>
          <w:tcPr>
            <w:tcW w:w="5260" w:type="dxa"/>
            <w:vAlign w:val="bottom"/>
            <w:shd w:val="clear" w:color="auto" w:fill="CBECD5"/>
          </w:tcPr>
          <w:p>
            <w:pPr>
              <w:ind w:left="40"/>
              <w:spacing w:after="0"/>
              <w:rPr>
                <w:sz w:val="20"/>
                <w:szCs w:val="20"/>
                <w:color w:val="auto"/>
              </w:rPr>
            </w:pPr>
            <w:r>
              <w:rPr>
                <w:rFonts w:ascii="Arial" w:cs="Arial" w:eastAsia="Arial" w:hAnsi="Arial"/>
                <w:sz w:val="18"/>
                <w:szCs w:val="18"/>
                <w:color w:val="auto"/>
              </w:rPr>
              <w:t>​Michael R. McCoy</w:t>
            </w:r>
          </w:p>
        </w:tc>
        <w:tc>
          <w:tcPr>
            <w:tcW w:w="32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BECD5"/>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BECD5"/>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BECD5"/>
          </w:tcPr>
          <w:p>
            <w:pPr>
              <w:jc w:val="right"/>
              <w:ind w:right="6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10,812</w:t>
            </w:r>
          </w:p>
        </w:tc>
        <w:tc>
          <w:tcPr>
            <w:tcW w:w="3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449,022​​</w:t>
            </w:r>
          </w:p>
        </w:tc>
        <w:tc>
          <w:tcPr>
            <w:tcW w:w="40" w:type="dxa"/>
            <w:vAlign w:val="bottom"/>
          </w:tcPr>
          <w:p>
            <w:pPr>
              <w:spacing w:after="0"/>
              <w:rPr>
                <w:sz w:val="23"/>
                <w:szCs w:val="23"/>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​Rebeca Obregon-Jimenez</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62"/>
              <w:spacing w:after="0"/>
              <w:rPr>
                <w:sz w:val="20"/>
                <w:szCs w:val="20"/>
                <w:color w:val="auto"/>
              </w:rPr>
            </w:pPr>
            <w:r>
              <w:rPr>
                <w:rFonts w:ascii="Arial" w:cs="Arial" w:eastAsia="Arial" w:hAnsi="Arial"/>
                <w:sz w:val="18"/>
                <w:szCs w:val="18"/>
                <w:color w:val="auto"/>
              </w:rPr>
              <w:t>3,306</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137,298​​</w:t>
            </w:r>
          </w:p>
        </w:tc>
        <w:tc>
          <w:tcPr>
            <w:tcW w:w="40" w:type="dxa"/>
            <w:vAlign w:val="bottom"/>
          </w:tcPr>
          <w:p>
            <w:pPr>
              <w:spacing w:after="0"/>
              <w:rPr>
                <w:sz w:val="23"/>
                <w:szCs w:val="23"/>
                <w:color w:val="auto"/>
              </w:rPr>
            </w:pPr>
          </w:p>
        </w:tc>
      </w:tr>
      <w:tr>
        <w:trPr>
          <w:trHeight w:val="304"/>
        </w:trPr>
        <w:tc>
          <w:tcPr>
            <w:tcW w:w="5260" w:type="dxa"/>
            <w:vAlign w:val="bottom"/>
            <w:tcBorders>
              <w:bottom w:val="single" w:sz="8" w:color="53C072"/>
            </w:tcBorders>
            <w:shd w:val="clear" w:color="auto" w:fill="CBECD5"/>
          </w:tcPr>
          <w:p>
            <w:pPr>
              <w:ind w:left="4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Thomas Liguori</w:t>
            </w:r>
          </w:p>
        </w:tc>
        <w:tc>
          <w:tcPr>
            <w:tcW w:w="320" w:type="dxa"/>
            <w:vAlign w:val="bottom"/>
            <w:tcBorders>
              <w:bottom w:val="single" w:sz="8" w:color="53C072"/>
            </w:tcBorders>
            <w:gridSpan w:val="2"/>
            <w:shd w:val="clear" w:color="auto" w:fill="CBECD5"/>
          </w:tcPr>
          <w:p>
            <w:pPr>
              <w:ind w:left="6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53C072"/>
            </w:tcBorders>
            <w:gridSpan w:val="2"/>
            <w:shd w:val="clear" w:color="auto" w:fill="CBECD5"/>
          </w:tcPr>
          <w:p>
            <w:pPr>
              <w:jc w:val="right"/>
              <w:ind w:right="79"/>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​82,445</w:t>
            </w:r>
          </w:p>
        </w:tc>
        <w:tc>
          <w:tcPr>
            <w:tcW w:w="1280" w:type="dxa"/>
            <w:vAlign w:val="bottom"/>
            <w:tcBorders>
              <w:bottom w:val="single" w:sz="8" w:color="53C072"/>
            </w:tcBorders>
            <w:gridSpan w:val="3"/>
            <w:shd w:val="clear" w:color="auto" w:fill="CBECD5"/>
          </w:tcPr>
          <w:p>
            <w:pPr>
              <w:jc w:val="right"/>
              <w:spacing w:after="0" w:line="297"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​1,050,163</w:t>
            </w:r>
            <w:r>
              <w:rPr>
                <w:rFonts w:ascii="Arial" w:cs="Arial" w:eastAsia="Arial" w:hAnsi="Arial"/>
                <w:sz w:val="34"/>
                <w:szCs w:val="34"/>
                <w:color w:val="auto"/>
                <w:vertAlign w:val="subscript"/>
              </w:rPr>
              <w:t>​​ ​</w:t>
            </w:r>
          </w:p>
        </w:tc>
        <w:tc>
          <w:tcPr>
            <w:tcW w:w="880" w:type="dxa"/>
            <w:vAlign w:val="bottom"/>
            <w:tcBorders>
              <w:bottom w:val="single" w:sz="8" w:color="53C072"/>
            </w:tcBorders>
            <w:gridSpan w:val="2"/>
            <w:shd w:val="clear" w:color="auto" w:fill="CBECD5"/>
          </w:tcPr>
          <w:p>
            <w:pPr>
              <w:jc w:val="right"/>
              <w:ind w:right="62"/>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​13,689</w:t>
            </w:r>
          </w:p>
        </w:tc>
        <w:tc>
          <w:tcPr>
            <w:tcW w:w="360" w:type="dxa"/>
            <w:vAlign w:val="bottom"/>
            <w:tcBorders>
              <w:bottom w:val="single" w:sz="8" w:color="53C072"/>
            </w:tcBorders>
            <w:shd w:val="clear" w:color="auto" w:fill="CBECD5"/>
          </w:tcPr>
          <w:p>
            <w:pPr>
              <w:jc w:val="right"/>
              <w:spacing w:after="0" w:line="297" w:lineRule="exact"/>
              <w:rPr>
                <w:sz w:val="20"/>
                <w:szCs w:val="20"/>
                <w:color w:val="auto"/>
              </w:rPr>
            </w:pPr>
            <w:r>
              <w:rPr>
                <w:rFonts w:ascii="Arial" w:cs="Arial" w:eastAsia="Arial" w:hAnsi="Arial"/>
                <w:sz w:val="18"/>
                <w:szCs w:val="18"/>
                <w:color w:val="auto"/>
              </w:rPr>
              <w:t>​​ ​​</w:t>
            </w:r>
            <w:r>
              <w:rPr>
                <w:rFonts w:ascii="Arial" w:cs="Arial" w:eastAsia="Arial" w:hAnsi="Arial"/>
                <w:sz w:val="34"/>
                <w:szCs w:val="34"/>
                <w:color w:val="auto"/>
                <w:vertAlign w:val="superscript"/>
              </w:rPr>
              <w:t>​</w:t>
            </w:r>
          </w:p>
        </w:tc>
        <w:tc>
          <w:tcPr>
            <w:tcW w:w="820" w:type="dxa"/>
            <w:vAlign w:val="bottom"/>
            <w:tcBorders>
              <w:bottom w:val="single" w:sz="8" w:color="53C072"/>
            </w:tcBorders>
            <w:gridSpan w:val="2"/>
            <w:shd w:val="clear" w:color="auto" w:fill="CBECD5"/>
          </w:tcPr>
          <w:p>
            <w:pPr>
              <w:jc w:val="right"/>
              <w:spacing w:after="0" w:line="297" w:lineRule="exact"/>
              <w:rPr>
                <w:sz w:val="20"/>
                <w:szCs w:val="20"/>
                <w:color w:val="auto"/>
              </w:rPr>
            </w:pPr>
            <w:r>
              <w:rPr>
                <w:rFonts w:ascii="Arial" w:cs="Arial" w:eastAsia="Arial" w:hAnsi="Arial"/>
                <w:sz w:val="18"/>
                <w:szCs w:val="18"/>
                <w:color w:val="auto"/>
              </w:rPr>
              <w:t>568,504</w:t>
            </w:r>
            <w:r>
              <w:rPr>
                <w:rFonts w:ascii="Arial" w:cs="Arial" w:eastAsia="Arial" w:hAnsi="Arial"/>
                <w:sz w:val="34"/>
                <w:szCs w:val="34"/>
                <w:color w:val="auto"/>
                <w:vertAlign w:val="subscript"/>
              </w:rPr>
              <w:t>​​</w:t>
            </w:r>
          </w:p>
        </w:tc>
        <w:tc>
          <w:tcPr>
            <w:tcW w:w="40" w:type="dxa"/>
            <w:vAlign w:val="bottom"/>
          </w:tcPr>
          <w:p>
            <w:pPr>
              <w:spacing w:after="0"/>
              <w:rPr>
                <w:sz w:val="24"/>
                <w:szCs w:val="24"/>
                <w:color w:val="auto"/>
              </w:rPr>
            </w:pPr>
          </w:p>
        </w:tc>
      </w:tr>
    </w:tbl>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value realized on vesting of stock awards are the RSUs that vested on January 3, 2023.</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3C072"/>
        </w:rPr>
        <w:t>PENSION BENEFITS</w:t>
      </w:r>
    </w:p>
    <w:p>
      <w:pPr>
        <w:spacing w:after="0" w:line="158" w:lineRule="exact"/>
        <w:rPr>
          <w:sz w:val="20"/>
          <w:szCs w:val="20"/>
          <w:color w:val="auto"/>
        </w:rPr>
      </w:pPr>
    </w:p>
    <w:p>
      <w:pPr>
        <w:ind w:left="500" w:right="260"/>
        <w:spacing w:after="0" w:line="275"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93" w:lineRule="exact"/>
        <w:rPr>
          <w:sz w:val="20"/>
          <w:szCs w:val="20"/>
          <w:color w:val="auto"/>
        </w:rPr>
      </w:pPr>
    </w:p>
    <w:p>
      <w:pPr>
        <w:ind w:left="500" w:right="40"/>
        <w:spacing w:after="0" w:line="241" w:lineRule="auto"/>
        <w:rPr>
          <w:sz w:val="20"/>
          <w:szCs w:val="20"/>
          <w:color w:val="auto"/>
        </w:rPr>
      </w:pPr>
      <w:r>
        <w:rPr>
          <w:rFonts w:ascii="Arial" w:cs="Arial" w:eastAsia="Arial" w:hAnsi="Arial"/>
          <w:sz w:val="18"/>
          <w:szCs w:val="18"/>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$330,000, which is the 2023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27" w:lineRule="exact"/>
        <w:rPr>
          <w:sz w:val="20"/>
          <w:szCs w:val="20"/>
          <w:color w:val="auto"/>
        </w:rPr>
      </w:pPr>
    </w:p>
    <w:p>
      <w:pPr>
        <w:ind w:left="500" w:right="80"/>
        <w:spacing w:after="0" w:line="248"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19" w:lineRule="exact"/>
        <w:rPr>
          <w:sz w:val="20"/>
          <w:szCs w:val="20"/>
          <w:color w:val="auto"/>
        </w:rPr>
      </w:pPr>
    </w:p>
    <w:p>
      <w:pPr>
        <w:ind w:left="500" w:right="140"/>
        <w:spacing w:after="0" w:line="255" w:lineRule="auto"/>
        <w:rPr>
          <w:sz w:val="20"/>
          <w:szCs w:val="20"/>
          <w:color w:val="auto"/>
        </w:rPr>
      </w:pPr>
      <w:r>
        <w:rPr>
          <w:rFonts w:ascii="Arial" w:cs="Arial" w:eastAsia="Arial" w:hAnsi="Arial"/>
          <w:sz w:val="17"/>
          <w:szCs w:val="17"/>
          <w:color w:val="auto"/>
        </w:rPr>
        <w:t>The SERP provides for: (1) payment of a death benefit to the designated beneficiary of each participating officer who dies while he or she is an employee of the Company in an amount equal to twice the officer’s yearly earnings (including salary and cash incentive compensation);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w:t>
      </w:r>
    </w:p>
    <w:p>
      <w:pPr>
        <w:spacing w:after="0" w:line="3" w:lineRule="exact"/>
        <w:rPr>
          <w:sz w:val="20"/>
          <w:szCs w:val="20"/>
          <w:color w:val="auto"/>
        </w:rPr>
      </w:pPr>
    </w:p>
    <w:p>
      <w:pPr>
        <w:ind w:left="500" w:right="420" w:hanging="5"/>
        <w:spacing w:after="0" w:line="246" w:lineRule="auto"/>
        <w:tabs>
          <w:tab w:leader="none" w:pos="7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above, except that such amount is reduced for each month prior to age 65 that the participant begins to receive the benefit.</w:t>
      </w:r>
    </w:p>
    <w:p>
      <w:pPr>
        <w:spacing w:after="0" w:line="117" w:lineRule="exact"/>
        <w:rPr>
          <w:sz w:val="20"/>
          <w:szCs w:val="20"/>
          <w:color w:val="auto"/>
        </w:rPr>
      </w:pPr>
    </w:p>
    <w:p>
      <w:pPr>
        <w:ind w:left="500" w:right="340"/>
        <w:spacing w:after="0" w:line="248" w:lineRule="auto"/>
        <w:rPr>
          <w:sz w:val="20"/>
          <w:szCs w:val="20"/>
          <w:color w:val="auto"/>
        </w:rPr>
      </w:pPr>
      <w:r>
        <w:rPr>
          <w:rFonts w:ascii="Arial" w:cs="Arial" w:eastAsia="Arial" w:hAnsi="Arial"/>
          <w:sz w:val="18"/>
          <w:szCs w:val="18"/>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ectPr>
          <w:pgSz w:w="11900" w:h="16838" w:orient="portrait"/>
          <w:cols w:equalWidth="0" w:num="1">
            <w:col w:w="10260"/>
          </w:cols>
          <w:pgMar w:left="580" w:top="90" w:right="1059" w:bottom="1440" w:gutter="0" w:footer="0" w:header="0"/>
        </w:sectPr>
      </w:pPr>
    </w:p>
    <w:p>
      <w:pPr>
        <w:spacing w:after="0" w:line="14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4"/>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500" w:right="80"/>
        <w:spacing w:after="0" w:line="267" w:lineRule="auto"/>
        <w:rPr>
          <w:sz w:val="20"/>
          <w:szCs w:val="20"/>
          <w:color w:val="auto"/>
        </w:rPr>
      </w:pPr>
      <w:r>
        <w:rPr>
          <w:rFonts w:ascii="Arial" w:cs="Arial" w:eastAsia="Arial" w:hAnsi="Arial"/>
          <w:sz w:val="17"/>
          <w:szCs w:val="17"/>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As noted under the Summary Compensation Table, Ms. Obregon-Jimenez is not yet eligible to participate in the Company’s qualified or nonqualified retirement plans. The present value of the accumulated benefit was determined using interest rate assumptions consistent with those used in the Company’s financial statements.</w:t>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480" w:type="dxa"/>
            <w:vAlign w:val="bottom"/>
            <w:shd w:val="clear" w:color="auto" w:fill="53C072"/>
          </w:tcPr>
          <w:p>
            <w:pPr>
              <w:spacing w:after="0"/>
              <w:rPr>
                <w:sz w:val="15"/>
                <w:szCs w:val="15"/>
                <w:color w:val="auto"/>
              </w:rPr>
            </w:pPr>
          </w:p>
        </w:tc>
        <w:tc>
          <w:tcPr>
            <w:tcW w:w="2680" w:type="dxa"/>
            <w:vAlign w:val="bottom"/>
            <w:shd w:val="clear" w:color="auto" w:fill="53C072"/>
          </w:tcPr>
          <w:p>
            <w:pPr>
              <w:spacing w:after="0"/>
              <w:rPr>
                <w:sz w:val="15"/>
                <w:szCs w:val="15"/>
                <w:color w:val="auto"/>
              </w:rPr>
            </w:pPr>
          </w:p>
        </w:tc>
        <w:tc>
          <w:tcPr>
            <w:tcW w:w="1100" w:type="dxa"/>
            <w:vAlign w:val="bottom"/>
            <w:shd w:val="clear" w:color="auto" w:fill="53C072"/>
          </w:tcPr>
          <w:p>
            <w:pPr>
              <w:spacing w:after="0"/>
              <w:rPr>
                <w:sz w:val="15"/>
                <w:szCs w:val="15"/>
                <w:color w:val="auto"/>
              </w:rPr>
            </w:pPr>
          </w:p>
        </w:tc>
        <w:tc>
          <w:tcPr>
            <w:tcW w:w="240" w:type="dxa"/>
            <w:vAlign w:val="bottom"/>
            <w:shd w:val="clear" w:color="auto" w:fill="53C072"/>
          </w:tcPr>
          <w:p>
            <w:pPr>
              <w:spacing w:after="0"/>
              <w:rPr>
                <w:sz w:val="15"/>
                <w:szCs w:val="15"/>
                <w:color w:val="auto"/>
              </w:rPr>
            </w:pPr>
          </w:p>
        </w:tc>
        <w:tc>
          <w:tcPr>
            <w:tcW w:w="1020" w:type="dxa"/>
            <w:vAlign w:val="bottom"/>
            <w:shd w:val="clear" w:color="auto" w:fill="53C072"/>
          </w:tcPr>
          <w:p>
            <w:pPr>
              <w:spacing w:after="0"/>
              <w:rPr>
                <w:sz w:val="15"/>
                <w:szCs w:val="15"/>
                <w:color w:val="auto"/>
              </w:rPr>
            </w:pPr>
          </w:p>
        </w:tc>
        <w:tc>
          <w:tcPr>
            <w:tcW w:w="340" w:type="dxa"/>
            <w:vAlign w:val="bottom"/>
            <w:shd w:val="clear" w:color="auto" w:fill="53C072"/>
          </w:tcPr>
          <w:p>
            <w:pPr>
              <w:spacing w:after="0"/>
              <w:rPr>
                <w:sz w:val="15"/>
                <w:szCs w:val="15"/>
                <w:color w:val="auto"/>
              </w:rPr>
            </w:pPr>
          </w:p>
        </w:tc>
        <w:tc>
          <w:tcPr>
            <w:tcW w:w="84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Present</w:t>
            </w:r>
          </w:p>
        </w:tc>
        <w:tc>
          <w:tcPr>
            <w:tcW w:w="240" w:type="dxa"/>
            <w:vAlign w:val="bottom"/>
            <w:shd w:val="clear" w:color="auto" w:fill="53C072"/>
          </w:tcPr>
          <w:p>
            <w:pPr>
              <w:spacing w:after="0"/>
              <w:rPr>
                <w:sz w:val="15"/>
                <w:szCs w:val="15"/>
                <w:color w:val="auto"/>
              </w:rPr>
            </w:pPr>
          </w:p>
        </w:tc>
        <w:tc>
          <w:tcPr>
            <w:tcW w:w="780" w:type="dxa"/>
            <w:vAlign w:val="bottom"/>
            <w:shd w:val="clear" w:color="auto" w:fill="53C072"/>
          </w:tcPr>
          <w:p>
            <w:pPr>
              <w:jc w:val="right"/>
              <w:ind w:right="16"/>
              <w:spacing w:after="0"/>
              <w:rPr>
                <w:sz w:val="20"/>
                <w:szCs w:val="20"/>
                <w:color w:val="auto"/>
              </w:rPr>
            </w:pPr>
            <w:r>
              <w:rPr>
                <w:rFonts w:ascii="Arial" w:cs="Arial" w:eastAsia="Arial" w:hAnsi="Arial"/>
                <w:sz w:val="14"/>
                <w:szCs w:val="14"/>
                <w:b w:val="1"/>
                <w:bCs w:val="1"/>
                <w:color w:val="FEFEFE"/>
                <w:w w:val="99"/>
              </w:rPr>
              <w:t>Payments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53C072"/>
          </w:tcPr>
          <w:p>
            <w:pPr>
              <w:spacing w:after="0"/>
              <w:rPr>
                <w:sz w:val="14"/>
                <w:szCs w:val="14"/>
                <w:color w:val="auto"/>
              </w:rPr>
            </w:pPr>
          </w:p>
        </w:tc>
        <w:tc>
          <w:tcPr>
            <w:tcW w:w="2680" w:type="dxa"/>
            <w:vAlign w:val="bottom"/>
            <w:shd w:val="clear" w:color="auto" w:fill="53C072"/>
          </w:tcPr>
          <w:p>
            <w:pPr>
              <w:spacing w:after="0"/>
              <w:rPr>
                <w:sz w:val="14"/>
                <w:szCs w:val="14"/>
                <w:color w:val="auto"/>
              </w:rPr>
            </w:pPr>
          </w:p>
        </w:tc>
        <w:tc>
          <w:tcPr>
            <w:tcW w:w="1100" w:type="dxa"/>
            <w:vAlign w:val="bottom"/>
            <w:shd w:val="clear" w:color="auto" w:fill="53C072"/>
          </w:tcPr>
          <w:p>
            <w:pPr>
              <w:spacing w:after="0"/>
              <w:rPr>
                <w:sz w:val="14"/>
                <w:szCs w:val="14"/>
                <w:color w:val="auto"/>
              </w:rPr>
            </w:pPr>
          </w:p>
        </w:tc>
        <w:tc>
          <w:tcPr>
            <w:tcW w:w="240" w:type="dxa"/>
            <w:vAlign w:val="bottom"/>
            <w:shd w:val="clear" w:color="auto" w:fill="53C072"/>
          </w:tcPr>
          <w:p>
            <w:pPr>
              <w:spacing w:after="0"/>
              <w:rPr>
                <w:sz w:val="14"/>
                <w:szCs w:val="14"/>
                <w:color w:val="auto"/>
              </w:rPr>
            </w:pPr>
          </w:p>
        </w:tc>
        <w:tc>
          <w:tcPr>
            <w:tcW w:w="1020" w:type="dxa"/>
            <w:vAlign w:val="bottom"/>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Number of</w:t>
            </w:r>
          </w:p>
        </w:tc>
        <w:tc>
          <w:tcPr>
            <w:tcW w:w="34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Value of</w:t>
            </w:r>
          </w:p>
        </w:tc>
        <w:tc>
          <w:tcPr>
            <w:tcW w:w="240" w:type="dxa"/>
            <w:vAlign w:val="bottom"/>
            <w:shd w:val="clear" w:color="auto" w:fill="53C072"/>
          </w:tcPr>
          <w:p>
            <w:pPr>
              <w:spacing w:after="0"/>
              <w:rPr>
                <w:sz w:val="14"/>
                <w:szCs w:val="14"/>
                <w:color w:val="auto"/>
              </w:rPr>
            </w:pPr>
          </w:p>
        </w:tc>
        <w:tc>
          <w:tcPr>
            <w:tcW w:w="780" w:type="dxa"/>
            <w:vAlign w:val="bottom"/>
            <w:shd w:val="clear" w:color="auto" w:fill="53C072"/>
          </w:tcPr>
          <w:p>
            <w:pPr>
              <w:jc w:val="right"/>
              <w:ind w:right="16"/>
              <w:spacing w:after="0"/>
              <w:rPr>
                <w:sz w:val="20"/>
                <w:szCs w:val="20"/>
                <w:color w:val="auto"/>
              </w:rPr>
            </w:pPr>
            <w:r>
              <w:rPr>
                <w:rFonts w:ascii="Arial" w:cs="Arial" w:eastAsia="Arial" w:hAnsi="Arial"/>
                <w:sz w:val="14"/>
                <w:szCs w:val="14"/>
                <w:b w:val="1"/>
                <w:bCs w:val="1"/>
                <w:color w:val="FEFEFE"/>
              </w:rPr>
              <w:t>During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53C072"/>
          </w:tcPr>
          <w:p>
            <w:pPr>
              <w:spacing w:after="0"/>
              <w:rPr>
                <w:sz w:val="14"/>
                <w:szCs w:val="14"/>
                <w:color w:val="auto"/>
              </w:rPr>
            </w:pPr>
          </w:p>
        </w:tc>
        <w:tc>
          <w:tcPr>
            <w:tcW w:w="2680" w:type="dxa"/>
            <w:vAlign w:val="bottom"/>
            <w:shd w:val="clear" w:color="auto" w:fill="53C072"/>
          </w:tcPr>
          <w:p>
            <w:pPr>
              <w:spacing w:after="0"/>
              <w:rPr>
                <w:sz w:val="14"/>
                <w:szCs w:val="14"/>
                <w:color w:val="auto"/>
              </w:rPr>
            </w:pPr>
          </w:p>
        </w:tc>
        <w:tc>
          <w:tcPr>
            <w:tcW w:w="1100" w:type="dxa"/>
            <w:vAlign w:val="bottom"/>
            <w:shd w:val="clear" w:color="auto" w:fill="53C072"/>
          </w:tcPr>
          <w:p>
            <w:pPr>
              <w:spacing w:after="0"/>
              <w:rPr>
                <w:sz w:val="14"/>
                <w:szCs w:val="14"/>
                <w:color w:val="auto"/>
              </w:rPr>
            </w:pPr>
          </w:p>
        </w:tc>
        <w:tc>
          <w:tcPr>
            <w:tcW w:w="1260" w:type="dxa"/>
            <w:vAlign w:val="bottom"/>
            <w:gridSpan w:val="2"/>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Years Credited</w:t>
            </w:r>
          </w:p>
        </w:tc>
        <w:tc>
          <w:tcPr>
            <w:tcW w:w="1180" w:type="dxa"/>
            <w:vAlign w:val="bottom"/>
            <w:gridSpan w:val="2"/>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Accumulated</w:t>
            </w:r>
          </w:p>
        </w:tc>
        <w:tc>
          <w:tcPr>
            <w:tcW w:w="1020" w:type="dxa"/>
            <w:vAlign w:val="bottom"/>
            <w:gridSpan w:val="2"/>
            <w:shd w:val="clear" w:color="auto" w:fill="53C072"/>
          </w:tcPr>
          <w:p>
            <w:pPr>
              <w:jc w:val="right"/>
              <w:ind w:right="16"/>
              <w:spacing w:after="0"/>
              <w:rPr>
                <w:sz w:val="20"/>
                <w:szCs w:val="20"/>
                <w:color w:val="auto"/>
              </w:rPr>
            </w:pPr>
            <w:r>
              <w:rPr>
                <w:rFonts w:ascii="Arial" w:cs="Arial" w:eastAsia="Arial" w:hAnsi="Arial"/>
                <w:sz w:val="14"/>
                <w:szCs w:val="14"/>
                <w:b w:val="1"/>
                <w:bCs w:val="1"/>
                <w:color w:val="FEFEFE"/>
              </w:rPr>
              <w:t>Last Fiscal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Name</w:t>
            </w:r>
          </w:p>
        </w:tc>
        <w:tc>
          <w:tcPr>
            <w:tcW w:w="2680" w:type="dxa"/>
            <w:vAlign w:val="bottom"/>
            <w:shd w:val="clear" w:color="auto" w:fill="53C072"/>
          </w:tcPr>
          <w:p>
            <w:pPr>
              <w:spacing w:after="0"/>
              <w:rPr>
                <w:sz w:val="14"/>
                <w:szCs w:val="14"/>
                <w:color w:val="auto"/>
              </w:rPr>
            </w:pPr>
          </w:p>
        </w:tc>
        <w:tc>
          <w:tcPr>
            <w:tcW w:w="110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Plan Name</w:t>
            </w:r>
          </w:p>
        </w:tc>
        <w:tc>
          <w:tcPr>
            <w:tcW w:w="240" w:type="dxa"/>
            <w:vAlign w:val="bottom"/>
            <w:shd w:val="clear" w:color="auto" w:fill="53C072"/>
          </w:tcPr>
          <w:p>
            <w:pPr>
              <w:spacing w:after="0"/>
              <w:rPr>
                <w:sz w:val="14"/>
                <w:szCs w:val="14"/>
                <w:color w:val="auto"/>
              </w:rPr>
            </w:pPr>
          </w:p>
        </w:tc>
        <w:tc>
          <w:tcPr>
            <w:tcW w:w="1020" w:type="dxa"/>
            <w:vAlign w:val="bottom"/>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Service (#)(1)</w:t>
            </w:r>
          </w:p>
        </w:tc>
        <w:tc>
          <w:tcPr>
            <w:tcW w:w="34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Benefit</w:t>
            </w:r>
          </w:p>
        </w:tc>
        <w:tc>
          <w:tcPr>
            <w:tcW w:w="240" w:type="dxa"/>
            <w:vAlign w:val="bottom"/>
            <w:shd w:val="clear" w:color="auto" w:fill="53C072"/>
          </w:tcPr>
          <w:p>
            <w:pPr>
              <w:spacing w:after="0"/>
              <w:rPr>
                <w:sz w:val="14"/>
                <w:szCs w:val="14"/>
                <w:color w:val="auto"/>
              </w:rPr>
            </w:pPr>
          </w:p>
        </w:tc>
        <w:tc>
          <w:tcPr>
            <w:tcW w:w="780" w:type="dxa"/>
            <w:vAlign w:val="bottom"/>
            <w:shd w:val="clear" w:color="auto" w:fill="53C072"/>
          </w:tcPr>
          <w:p>
            <w:pPr>
              <w:jc w:val="right"/>
              <w:ind w:right="16"/>
              <w:spacing w:after="0"/>
              <w:rPr>
                <w:sz w:val="20"/>
                <w:szCs w:val="20"/>
                <w:color w:val="auto"/>
              </w:rPr>
            </w:pPr>
            <w:r>
              <w:rPr>
                <w:rFonts w:ascii="Arial" w:cs="Arial" w:eastAsia="Arial" w:hAnsi="Arial"/>
                <w:sz w:val="14"/>
                <w:szCs w:val="14"/>
                <w:b w:val="1"/>
                <w:bCs w:val="1"/>
                <w:color w:val="FEFEFE"/>
              </w:rPr>
              <w:t>Year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80" w:type="dxa"/>
            <w:vAlign w:val="bottom"/>
            <w:tcBorders>
              <w:bottom w:val="single" w:sz="8" w:color="53C072"/>
            </w:tcBorders>
            <w:shd w:val="clear" w:color="auto" w:fill="53C072"/>
          </w:tcPr>
          <w:p>
            <w:pPr>
              <w:ind w:left="40"/>
              <w:spacing w:after="0" w:line="149" w:lineRule="exact"/>
              <w:rPr>
                <w:sz w:val="20"/>
                <w:szCs w:val="20"/>
                <w:color w:val="auto"/>
              </w:rPr>
            </w:pPr>
            <w:r>
              <w:rPr>
                <w:rFonts w:ascii="Arial" w:cs="Arial" w:eastAsia="Arial" w:hAnsi="Arial"/>
                <w:sz w:val="14"/>
                <w:szCs w:val="14"/>
                <w:b w:val="1"/>
                <w:bCs w:val="1"/>
                <w:color w:val="FEFEFE"/>
              </w:rPr>
              <w:t>(a)​</w:t>
            </w:r>
          </w:p>
        </w:tc>
        <w:tc>
          <w:tcPr>
            <w:tcW w:w="2680" w:type="dxa"/>
            <w:vAlign w:val="bottom"/>
            <w:tcBorders>
              <w:bottom w:val="single" w:sz="8" w:color="53C072"/>
            </w:tcBorders>
            <w:shd w:val="clear" w:color="auto" w:fill="53C072"/>
          </w:tcPr>
          <w:p>
            <w:pPr>
              <w:ind w:left="980"/>
              <w:spacing w:after="0" w:line="149" w:lineRule="exact"/>
              <w:rPr>
                <w:sz w:val="20"/>
                <w:szCs w:val="20"/>
                <w:color w:val="auto"/>
              </w:rPr>
            </w:pPr>
            <w:r>
              <w:rPr>
                <w:rFonts w:ascii="Arial" w:cs="Arial" w:eastAsia="Arial" w:hAnsi="Arial"/>
                <w:sz w:val="14"/>
                <w:szCs w:val="14"/>
                <w:b w:val="1"/>
                <w:bCs w:val="1"/>
                <w:color w:val="FEFEFE"/>
              </w:rPr>
              <w:t>​ ​</w:t>
            </w:r>
          </w:p>
        </w:tc>
        <w:tc>
          <w:tcPr>
            <w:tcW w:w="1100" w:type="dxa"/>
            <w:vAlign w:val="bottom"/>
            <w:tcBorders>
              <w:bottom w:val="single" w:sz="8" w:color="53C072"/>
            </w:tcBorders>
            <w:shd w:val="clear" w:color="auto" w:fill="53C072"/>
          </w:tcPr>
          <w:p>
            <w:pPr>
              <w:ind w:left="860"/>
              <w:spacing w:after="0" w:line="149" w:lineRule="exact"/>
              <w:rPr>
                <w:sz w:val="20"/>
                <w:szCs w:val="20"/>
                <w:color w:val="auto"/>
              </w:rPr>
            </w:pPr>
            <w:r>
              <w:rPr>
                <w:rFonts w:ascii="Arial" w:cs="Arial" w:eastAsia="Arial" w:hAnsi="Arial"/>
                <w:sz w:val="14"/>
                <w:szCs w:val="14"/>
                <w:b w:val="1"/>
                <w:bCs w:val="1"/>
                <w:color w:val="FEFEFE"/>
              </w:rPr>
              <w:t>(b)</w:t>
            </w:r>
          </w:p>
        </w:tc>
        <w:tc>
          <w:tcPr>
            <w:tcW w:w="240" w:type="dxa"/>
            <w:vAlign w:val="bottom"/>
            <w:tcBorders>
              <w:bottom w:val="single" w:sz="8" w:color="53C072"/>
            </w:tcBorders>
            <w:shd w:val="clear" w:color="auto" w:fill="53C072"/>
          </w:tcPr>
          <w:p>
            <w:pPr>
              <w:ind w:left="60"/>
              <w:spacing w:after="0" w:line="149" w:lineRule="exact"/>
              <w:rPr>
                <w:sz w:val="20"/>
                <w:szCs w:val="20"/>
                <w:color w:val="auto"/>
              </w:rPr>
            </w:pPr>
            <w:r>
              <w:rPr>
                <w:rFonts w:ascii="Arial" w:cs="Arial" w:eastAsia="Arial" w:hAnsi="Arial"/>
                <w:sz w:val="14"/>
                <w:szCs w:val="14"/>
                <w:b w:val="1"/>
                <w:bCs w:val="1"/>
                <w:color w:val="FEFEFE"/>
              </w:rPr>
              <w:t>​ ​</w:t>
            </w:r>
          </w:p>
        </w:tc>
        <w:tc>
          <w:tcPr>
            <w:tcW w:w="1020" w:type="dxa"/>
            <w:vAlign w:val="bottom"/>
            <w:tcBorders>
              <w:bottom w:val="single" w:sz="8" w:color="53C072"/>
            </w:tcBorders>
            <w:shd w:val="clear" w:color="auto" w:fill="53C072"/>
          </w:tcPr>
          <w:p>
            <w:pPr>
              <w:jc w:val="right"/>
              <w:spacing w:after="0" w:line="149" w:lineRule="exact"/>
              <w:rPr>
                <w:sz w:val="20"/>
                <w:szCs w:val="20"/>
                <w:color w:val="auto"/>
              </w:rPr>
            </w:pPr>
            <w:r>
              <w:rPr>
                <w:rFonts w:ascii="Arial" w:cs="Arial" w:eastAsia="Arial" w:hAnsi="Arial"/>
                <w:sz w:val="14"/>
                <w:szCs w:val="14"/>
                <w:b w:val="1"/>
                <w:bCs w:val="1"/>
                <w:color w:val="FEFEFE"/>
              </w:rPr>
              <w:t>(c)</w:t>
            </w:r>
          </w:p>
        </w:tc>
        <w:tc>
          <w:tcPr>
            <w:tcW w:w="340" w:type="dxa"/>
            <w:vAlign w:val="bottom"/>
            <w:tcBorders>
              <w:bottom w:val="single" w:sz="8" w:color="53C072"/>
            </w:tcBorders>
            <w:shd w:val="clear" w:color="auto" w:fill="53C072"/>
          </w:tcPr>
          <w:p>
            <w:pPr>
              <w:ind w:left="60"/>
              <w:spacing w:after="0" w:line="149" w:lineRule="exact"/>
              <w:rPr>
                <w:sz w:val="20"/>
                <w:szCs w:val="20"/>
                <w:color w:val="auto"/>
              </w:rPr>
            </w:pPr>
            <w:r>
              <w:rPr>
                <w:rFonts w:ascii="Arial" w:cs="Arial" w:eastAsia="Arial" w:hAnsi="Arial"/>
                <w:sz w:val="14"/>
                <w:szCs w:val="14"/>
                <w:b w:val="1"/>
                <w:bCs w:val="1"/>
                <w:color w:val="FEFEFE"/>
              </w:rPr>
              <w:t>​ ​</w:t>
            </w:r>
          </w:p>
        </w:tc>
        <w:tc>
          <w:tcPr>
            <w:tcW w:w="840" w:type="dxa"/>
            <w:vAlign w:val="bottom"/>
            <w:tcBorders>
              <w:bottom w:val="single" w:sz="8" w:color="53C072"/>
            </w:tcBorders>
            <w:shd w:val="clear" w:color="auto" w:fill="53C072"/>
          </w:tcPr>
          <w:p>
            <w:pPr>
              <w:jc w:val="right"/>
              <w:spacing w:after="0" w:line="149" w:lineRule="exact"/>
              <w:rPr>
                <w:sz w:val="20"/>
                <w:szCs w:val="20"/>
                <w:color w:val="auto"/>
              </w:rPr>
            </w:pPr>
            <w:r>
              <w:rPr>
                <w:rFonts w:ascii="Arial" w:cs="Arial" w:eastAsia="Arial" w:hAnsi="Arial"/>
                <w:sz w:val="14"/>
                <w:szCs w:val="14"/>
                <w:b w:val="1"/>
                <w:bCs w:val="1"/>
                <w:color w:val="FEFEFE"/>
              </w:rPr>
              <w:t>($)(d)</w:t>
            </w:r>
          </w:p>
        </w:tc>
        <w:tc>
          <w:tcPr>
            <w:tcW w:w="240" w:type="dxa"/>
            <w:vAlign w:val="bottom"/>
            <w:tcBorders>
              <w:bottom w:val="single" w:sz="8" w:color="53C072"/>
            </w:tcBorders>
            <w:shd w:val="clear" w:color="auto" w:fill="53C072"/>
          </w:tcPr>
          <w:p>
            <w:pPr>
              <w:ind w:left="60"/>
              <w:spacing w:after="0" w:line="149" w:lineRule="exact"/>
              <w:rPr>
                <w:sz w:val="20"/>
                <w:szCs w:val="20"/>
                <w:color w:val="auto"/>
              </w:rPr>
            </w:pPr>
            <w:r>
              <w:rPr>
                <w:rFonts w:ascii="Arial" w:cs="Arial" w:eastAsia="Arial" w:hAnsi="Arial"/>
                <w:sz w:val="14"/>
                <w:szCs w:val="14"/>
                <w:b w:val="1"/>
                <w:bCs w:val="1"/>
                <w:color w:val="FEFEFE"/>
              </w:rPr>
              <w:t>​ ​</w:t>
            </w:r>
          </w:p>
        </w:tc>
        <w:tc>
          <w:tcPr>
            <w:tcW w:w="780" w:type="dxa"/>
            <w:vAlign w:val="bottom"/>
            <w:tcBorders>
              <w:bottom w:val="single" w:sz="8" w:color="53C072"/>
            </w:tcBorders>
            <w:shd w:val="clear" w:color="auto" w:fill="53C072"/>
          </w:tcPr>
          <w:p>
            <w:pPr>
              <w:jc w:val="right"/>
              <w:spacing w:after="0" w:line="149" w:lineRule="exact"/>
              <w:rPr>
                <w:sz w:val="20"/>
                <w:szCs w:val="20"/>
                <w:color w:val="auto"/>
              </w:rPr>
            </w:pPr>
            <w:r>
              <w:rPr>
                <w:rFonts w:ascii="Arial" w:cs="Arial" w:eastAsia="Arial" w:hAnsi="Arial"/>
                <w:sz w:val="14"/>
                <w:szCs w:val="14"/>
                <w:b w:val="1"/>
                <w:bCs w:val="1"/>
                <w:color w:val="FEFEFE"/>
              </w:rPr>
              <w:t>(e)</w:t>
            </w:r>
          </w:p>
        </w:tc>
        <w:tc>
          <w:tcPr>
            <w:tcW w:w="60" w:type="dxa"/>
            <w:vAlign w:val="bottom"/>
          </w:tcPr>
          <w:p>
            <w:pPr>
              <w:spacing w:after="0" w:line="149" w:lineRule="exact"/>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9"/>
        </w:trPr>
        <w:tc>
          <w:tcPr>
            <w:tcW w:w="248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80" w:type="dxa"/>
            <w:vAlign w:val="bottom"/>
          </w:tcPr>
          <w:p>
            <w:pPr>
              <w:ind w:left="98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38.6</w:t>
            </w:r>
          </w:p>
        </w:tc>
        <w:tc>
          <w:tcPr>
            <w:tcW w:w="3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8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149,022</w:t>
            </w: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
        </w:trPr>
        <w:tc>
          <w:tcPr>
            <w:tcW w:w="2480" w:type="dxa"/>
            <w:vAlign w:val="bottom"/>
          </w:tcPr>
          <w:p>
            <w:pPr>
              <w:ind w:left="40"/>
              <w:spacing w:after="0" w:line="42" w:lineRule="exact"/>
              <w:rPr>
                <w:sz w:val="20"/>
                <w:szCs w:val="20"/>
                <w:color w:val="auto"/>
              </w:rPr>
            </w:pPr>
            <w:r>
              <w:rPr>
                <w:rFonts w:ascii="Arial" w:cs="Arial" w:eastAsia="Arial" w:hAnsi="Arial"/>
                <w:sz w:val="4"/>
                <w:szCs w:val="4"/>
                <w:color w:val="auto"/>
              </w:rPr>
              <w:t>Philip R. Gallagher</w:t>
            </w:r>
          </w:p>
        </w:tc>
        <w:tc>
          <w:tcPr>
            <w:tcW w:w="2680" w:type="dxa"/>
            <w:vAlign w:val="bottom"/>
          </w:tcPr>
          <w:p>
            <w:pPr>
              <w:ind w:left="1080"/>
              <w:spacing w:after="0" w:line="42" w:lineRule="exact"/>
              <w:rPr>
                <w:sz w:val="20"/>
                <w:szCs w:val="20"/>
                <w:color w:val="auto"/>
              </w:rPr>
            </w:pPr>
            <w:r>
              <w:rPr>
                <w:rFonts w:ascii="Arial" w:cs="Arial" w:eastAsia="Arial" w:hAnsi="Arial"/>
                <w:sz w:val="4"/>
                <w:szCs w:val="4"/>
                <w:color w:val="auto"/>
              </w:rPr>
              <w:t>Pension Plan</w:t>
            </w:r>
          </w:p>
        </w:tc>
        <w:tc>
          <w:tcPr>
            <w:tcW w:w="1100" w:type="dxa"/>
            <w:vAlign w:val="bottom"/>
          </w:tcPr>
          <w:p>
            <w:pPr>
              <w:spacing w:after="0"/>
              <w:rPr>
                <w:sz w:val="3"/>
                <w:szCs w:val="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020" w:type="dxa"/>
            <w:vAlign w:val="bottom"/>
            <w:vMerge w:val="continue"/>
          </w:tcPr>
          <w:p>
            <w:pPr>
              <w:spacing w:after="0"/>
              <w:rPr>
                <w:sz w:val="3"/>
                <w:szCs w:val="3"/>
                <w:color w:val="auto"/>
              </w:rPr>
            </w:pPr>
          </w:p>
        </w:tc>
        <w:tc>
          <w:tcPr>
            <w:tcW w:w="3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40" w:type="dxa"/>
            <w:vAlign w:val="bottom"/>
            <w:vMerge w:val="continue"/>
          </w:tcPr>
          <w:p>
            <w:pPr>
              <w:spacing w:after="0"/>
              <w:rPr>
                <w:sz w:val="3"/>
                <w:szCs w:val="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80" w:type="dxa"/>
            <w:vAlign w:val="bottom"/>
            <w:vMerge w:val="continue"/>
          </w:tcPr>
          <w:p>
            <w:pPr>
              <w:spacing w:after="0"/>
              <w:rPr>
                <w:sz w:val="3"/>
                <w:szCs w:val="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80" w:type="dxa"/>
            <w:vAlign w:val="bottom"/>
          </w:tcPr>
          <w:p>
            <w:pPr>
              <w:ind w:left="40"/>
              <w:spacing w:after="0" w:line="175" w:lineRule="exact"/>
              <w:rPr>
                <w:sz w:val="20"/>
                <w:szCs w:val="20"/>
                <w:color w:val="auto"/>
              </w:rPr>
            </w:pPr>
            <w:r>
              <w:rPr>
                <w:rFonts w:ascii="Arial" w:cs="Arial" w:eastAsia="Arial" w:hAnsi="Arial"/>
                <w:sz w:val="18"/>
                <w:szCs w:val="18"/>
                <w:color w:val="auto"/>
              </w:rPr>
              <w:t>​</w:t>
            </w:r>
          </w:p>
        </w:tc>
        <w:tc>
          <w:tcPr>
            <w:tcW w:w="2680" w:type="dxa"/>
            <w:vAlign w:val="bottom"/>
          </w:tcPr>
          <w:p>
            <w:pPr>
              <w:ind w:left="980"/>
              <w:spacing w:after="0" w:line="175"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340" w:type="dxa"/>
            <w:vAlign w:val="bottom"/>
            <w:vMerge w:val="continue"/>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3780" w:type="dxa"/>
            <w:vAlign w:val="bottom"/>
            <w:gridSpan w:val="2"/>
          </w:tcPr>
          <w:p>
            <w:pPr>
              <w:ind w:left="1080"/>
              <w:spacing w:after="0" w:line="68" w:lineRule="exact"/>
              <w:rPr>
                <w:sz w:val="20"/>
                <w:szCs w:val="20"/>
                <w:color w:val="auto"/>
              </w:rPr>
            </w:pPr>
            <w:r>
              <w:rPr>
                <w:rFonts w:ascii="Arial" w:cs="Arial" w:eastAsia="Arial" w:hAnsi="Arial"/>
                <w:sz w:val="7"/>
                <w:szCs w:val="7"/>
                <w:color w:val="auto"/>
              </w:rPr>
              <w:t>Nonqualified Retirement Plans(2)</w:t>
            </w: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20" w:type="dxa"/>
            <w:vAlign w:val="bottom"/>
            <w:gridSpan w:val="2"/>
          </w:tcPr>
          <w:p>
            <w:pPr>
              <w:jc w:val="right"/>
              <w:spacing w:after="0" w:line="68" w:lineRule="exact"/>
              <w:rPr>
                <w:sz w:val="20"/>
                <w:szCs w:val="20"/>
                <w:color w:val="auto"/>
              </w:rPr>
            </w:pPr>
            <w:r>
              <w:rPr>
                <w:rFonts w:ascii="Arial" w:cs="Arial" w:eastAsia="Arial" w:hAnsi="Arial"/>
                <w:sz w:val="7"/>
                <w:szCs w:val="7"/>
                <w:color w:val="auto"/>
              </w:rPr>
              <w:t>2,500,900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480" w:type="dxa"/>
            <w:vAlign w:val="bottom"/>
            <w:shd w:val="clear" w:color="auto" w:fill="CBECD5"/>
          </w:tcPr>
          <w:p>
            <w:pPr>
              <w:ind w:left="40"/>
              <w:spacing w:after="0" w:line="149" w:lineRule="exact"/>
              <w:rPr>
                <w:sz w:val="20"/>
                <w:szCs w:val="20"/>
                <w:color w:val="auto"/>
              </w:rPr>
            </w:pPr>
            <w:r>
              <w:rPr>
                <w:rFonts w:ascii="Arial" w:cs="Arial" w:eastAsia="Arial" w:hAnsi="Arial"/>
                <w:sz w:val="17"/>
                <w:szCs w:val="17"/>
                <w:color w:val="auto"/>
              </w:rPr>
              <w:t>​</w:t>
            </w:r>
          </w:p>
        </w:tc>
        <w:tc>
          <w:tcPr>
            <w:tcW w:w="2680" w:type="dxa"/>
            <w:vAlign w:val="bottom"/>
            <w:shd w:val="clear" w:color="auto" w:fill="CBECD5"/>
          </w:tcPr>
          <w:p>
            <w:pPr>
              <w:ind w:left="980"/>
              <w:spacing w:after="0" w:line="149" w:lineRule="exact"/>
              <w:rPr>
                <w:sz w:val="20"/>
                <w:szCs w:val="20"/>
                <w:color w:val="auto"/>
              </w:rPr>
            </w:pPr>
            <w:r>
              <w:rPr>
                <w:rFonts w:ascii="Arial" w:cs="Arial" w:eastAsia="Arial" w:hAnsi="Arial"/>
                <w:sz w:val="17"/>
                <w:szCs w:val="17"/>
                <w:color w:val="auto"/>
              </w:rPr>
              <w:t>​ ​</w:t>
            </w:r>
          </w:p>
        </w:tc>
        <w:tc>
          <w:tcPr>
            <w:tcW w:w="1100" w:type="dxa"/>
            <w:vAlign w:val="bottom"/>
            <w:shd w:val="clear" w:color="auto" w:fill="CBECD5"/>
          </w:tcPr>
          <w:p>
            <w:pPr>
              <w:spacing w:after="0"/>
              <w:rPr>
                <w:sz w:val="12"/>
                <w:szCs w:val="12"/>
                <w:color w:val="auto"/>
              </w:rPr>
            </w:pPr>
          </w:p>
        </w:tc>
        <w:tc>
          <w:tcPr>
            <w:tcW w:w="2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8.5</w:t>
            </w:r>
          </w:p>
        </w:tc>
        <w:tc>
          <w:tcPr>
            <w:tcW w:w="3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84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99,578</w:t>
            </w:r>
          </w:p>
        </w:tc>
        <w:tc>
          <w:tcPr>
            <w:tcW w:w="2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480" w:type="dxa"/>
            <w:vAlign w:val="bottom"/>
            <w:shd w:val="clear" w:color="auto" w:fill="CBECD5"/>
          </w:tcPr>
          <w:p>
            <w:pPr>
              <w:ind w:left="40"/>
              <w:spacing w:after="0" w:line="42" w:lineRule="exact"/>
              <w:rPr>
                <w:sz w:val="20"/>
                <w:szCs w:val="20"/>
                <w:color w:val="auto"/>
              </w:rPr>
            </w:pPr>
            <w:r>
              <w:rPr>
                <w:rFonts w:ascii="Arial" w:cs="Arial" w:eastAsia="Arial" w:hAnsi="Arial"/>
                <w:sz w:val="4"/>
                <w:szCs w:val="4"/>
                <w:color w:val="auto"/>
              </w:rPr>
              <w:t>Kenneth Jacobson</w:t>
            </w:r>
          </w:p>
        </w:tc>
        <w:tc>
          <w:tcPr>
            <w:tcW w:w="2680" w:type="dxa"/>
            <w:vAlign w:val="bottom"/>
            <w:shd w:val="clear" w:color="auto" w:fill="CBECD5"/>
          </w:tcPr>
          <w:p>
            <w:pPr>
              <w:ind w:left="1080"/>
              <w:spacing w:after="0" w:line="42" w:lineRule="exact"/>
              <w:rPr>
                <w:sz w:val="20"/>
                <w:szCs w:val="20"/>
                <w:color w:val="auto"/>
              </w:rPr>
            </w:pPr>
            <w:r>
              <w:rPr>
                <w:rFonts w:ascii="Arial" w:cs="Arial" w:eastAsia="Arial" w:hAnsi="Arial"/>
                <w:sz w:val="4"/>
                <w:szCs w:val="4"/>
                <w:color w:val="auto"/>
              </w:rPr>
              <w:t>Pension Plan</w:t>
            </w:r>
          </w:p>
        </w:tc>
        <w:tc>
          <w:tcPr>
            <w:tcW w:w="1100" w:type="dxa"/>
            <w:vAlign w:val="bottom"/>
            <w:shd w:val="clear" w:color="auto" w:fill="CBECD5"/>
          </w:tcPr>
          <w:p>
            <w:pPr>
              <w:spacing w:after="0"/>
              <w:rPr>
                <w:sz w:val="3"/>
                <w:szCs w:val="3"/>
                <w:color w:val="auto"/>
              </w:rPr>
            </w:pPr>
          </w:p>
        </w:tc>
        <w:tc>
          <w:tcPr>
            <w:tcW w:w="240" w:type="dxa"/>
            <w:vAlign w:val="bottom"/>
            <w:shd w:val="clear" w:color="auto" w:fill="CBECD5"/>
          </w:tcPr>
          <w:p>
            <w:pPr>
              <w:spacing w:after="0"/>
              <w:rPr>
                <w:sz w:val="3"/>
                <w:szCs w:val="3"/>
                <w:color w:val="auto"/>
              </w:rPr>
            </w:pPr>
          </w:p>
        </w:tc>
        <w:tc>
          <w:tcPr>
            <w:tcW w:w="1020" w:type="dxa"/>
            <w:vAlign w:val="bottom"/>
            <w:vMerge w:val="continue"/>
            <w:shd w:val="clear" w:color="auto" w:fill="CBECD5"/>
          </w:tcPr>
          <w:p>
            <w:pPr>
              <w:spacing w:after="0"/>
              <w:rPr>
                <w:sz w:val="3"/>
                <w:szCs w:val="3"/>
                <w:color w:val="auto"/>
              </w:rPr>
            </w:pPr>
          </w:p>
        </w:tc>
        <w:tc>
          <w:tcPr>
            <w:tcW w:w="340" w:type="dxa"/>
            <w:vAlign w:val="bottom"/>
            <w:shd w:val="clear" w:color="auto" w:fill="CBECD5"/>
          </w:tcPr>
          <w:p>
            <w:pPr>
              <w:spacing w:after="0"/>
              <w:rPr>
                <w:sz w:val="3"/>
                <w:szCs w:val="3"/>
                <w:color w:val="auto"/>
              </w:rPr>
            </w:pPr>
          </w:p>
        </w:tc>
        <w:tc>
          <w:tcPr>
            <w:tcW w:w="840" w:type="dxa"/>
            <w:vAlign w:val="bottom"/>
            <w:vMerge w:val="continue"/>
            <w:shd w:val="clear" w:color="auto" w:fill="CBECD5"/>
          </w:tcPr>
          <w:p>
            <w:pPr>
              <w:spacing w:after="0"/>
              <w:rPr>
                <w:sz w:val="3"/>
                <w:szCs w:val="3"/>
                <w:color w:val="auto"/>
              </w:rPr>
            </w:pPr>
          </w:p>
        </w:tc>
        <w:tc>
          <w:tcPr>
            <w:tcW w:w="240" w:type="dxa"/>
            <w:vAlign w:val="bottom"/>
            <w:shd w:val="clear" w:color="auto" w:fill="CBECD5"/>
          </w:tcPr>
          <w:p>
            <w:pPr>
              <w:spacing w:after="0"/>
              <w:rPr>
                <w:sz w:val="3"/>
                <w:szCs w:val="3"/>
                <w:color w:val="auto"/>
              </w:rPr>
            </w:pPr>
          </w:p>
        </w:tc>
        <w:tc>
          <w:tcPr>
            <w:tcW w:w="780" w:type="dxa"/>
            <w:vAlign w:val="bottom"/>
            <w:vMerge w:val="continue"/>
            <w:shd w:val="clear" w:color="auto" w:fill="CBECD5"/>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BECD5"/>
          </w:tcPr>
          <w:p>
            <w:pPr>
              <w:ind w:left="40"/>
              <w:spacing w:after="0" w:line="175" w:lineRule="exact"/>
              <w:rPr>
                <w:sz w:val="20"/>
                <w:szCs w:val="20"/>
                <w:color w:val="auto"/>
              </w:rPr>
            </w:pPr>
            <w:r>
              <w:rPr>
                <w:rFonts w:ascii="Arial" w:cs="Arial" w:eastAsia="Arial" w:hAnsi="Arial"/>
                <w:sz w:val="18"/>
                <w:szCs w:val="18"/>
                <w:color w:val="auto"/>
              </w:rPr>
              <w:t>​</w:t>
            </w:r>
          </w:p>
        </w:tc>
        <w:tc>
          <w:tcPr>
            <w:tcW w:w="2680" w:type="dxa"/>
            <w:vAlign w:val="bottom"/>
            <w:shd w:val="clear" w:color="auto" w:fill="CBECD5"/>
          </w:tcPr>
          <w:p>
            <w:pPr>
              <w:ind w:left="980"/>
              <w:spacing w:after="0" w:line="175" w:lineRule="exact"/>
              <w:rPr>
                <w:sz w:val="20"/>
                <w:szCs w:val="20"/>
                <w:color w:val="auto"/>
              </w:rPr>
            </w:pPr>
            <w:r>
              <w:rPr>
                <w:rFonts w:ascii="Arial" w:cs="Arial" w:eastAsia="Arial" w:hAnsi="Arial"/>
                <w:sz w:val="18"/>
                <w:szCs w:val="18"/>
                <w:color w:val="auto"/>
              </w:rPr>
              <w:t>​ ​</w:t>
            </w:r>
          </w:p>
        </w:tc>
        <w:tc>
          <w:tcPr>
            <w:tcW w:w="1100" w:type="dxa"/>
            <w:vAlign w:val="bottom"/>
            <w:shd w:val="clear" w:color="auto" w:fill="CBECD5"/>
          </w:tcPr>
          <w:p>
            <w:pPr>
              <w:spacing w:after="0"/>
              <w:rPr>
                <w:sz w:val="15"/>
                <w:szCs w:val="15"/>
                <w:color w:val="auto"/>
              </w:rPr>
            </w:pPr>
          </w:p>
        </w:tc>
        <w:tc>
          <w:tcPr>
            <w:tcW w:w="2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84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69,249</w:t>
            </w:r>
          </w:p>
        </w:tc>
        <w:tc>
          <w:tcPr>
            <w:tcW w:w="2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78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480" w:type="dxa"/>
            <w:vAlign w:val="bottom"/>
            <w:shd w:val="clear" w:color="auto" w:fill="CBECD5"/>
          </w:tcPr>
          <w:p>
            <w:pPr>
              <w:spacing w:after="0"/>
              <w:rPr>
                <w:sz w:val="5"/>
                <w:szCs w:val="5"/>
                <w:color w:val="auto"/>
              </w:rPr>
            </w:pPr>
          </w:p>
        </w:tc>
        <w:tc>
          <w:tcPr>
            <w:tcW w:w="2680" w:type="dxa"/>
            <w:vAlign w:val="bottom"/>
            <w:shd w:val="clear" w:color="auto" w:fill="CBECD5"/>
          </w:tcPr>
          <w:p>
            <w:pPr>
              <w:ind w:left="1080"/>
              <w:spacing w:after="0" w:line="68" w:lineRule="exact"/>
              <w:rPr>
                <w:sz w:val="20"/>
                <w:szCs w:val="20"/>
                <w:color w:val="auto"/>
              </w:rPr>
            </w:pPr>
            <w:r>
              <w:rPr>
                <w:rFonts w:ascii="Arial" w:cs="Arial" w:eastAsia="Arial" w:hAnsi="Arial"/>
                <w:sz w:val="7"/>
                <w:szCs w:val="7"/>
                <w:color w:val="auto"/>
              </w:rPr>
              <w:t>Restoration Plan</w:t>
            </w:r>
          </w:p>
        </w:tc>
        <w:tc>
          <w:tcPr>
            <w:tcW w:w="1100" w:type="dxa"/>
            <w:vAlign w:val="bottom"/>
            <w:shd w:val="clear" w:color="auto" w:fill="CBECD5"/>
          </w:tcPr>
          <w:p>
            <w:pPr>
              <w:spacing w:after="0"/>
              <w:rPr>
                <w:sz w:val="5"/>
                <w:szCs w:val="5"/>
                <w:color w:val="auto"/>
              </w:rPr>
            </w:pPr>
          </w:p>
        </w:tc>
        <w:tc>
          <w:tcPr>
            <w:tcW w:w="240" w:type="dxa"/>
            <w:vAlign w:val="bottom"/>
            <w:shd w:val="clear" w:color="auto" w:fill="CBECD5"/>
          </w:tcPr>
          <w:p>
            <w:pPr>
              <w:spacing w:after="0"/>
              <w:rPr>
                <w:sz w:val="5"/>
                <w:szCs w:val="5"/>
                <w:color w:val="auto"/>
              </w:rPr>
            </w:pPr>
          </w:p>
        </w:tc>
        <w:tc>
          <w:tcPr>
            <w:tcW w:w="1020" w:type="dxa"/>
            <w:vAlign w:val="bottom"/>
            <w:vMerge w:val="continue"/>
            <w:shd w:val="clear" w:color="auto" w:fill="CBECD5"/>
          </w:tcPr>
          <w:p>
            <w:pPr>
              <w:spacing w:after="0"/>
              <w:rPr>
                <w:sz w:val="5"/>
                <w:szCs w:val="5"/>
                <w:color w:val="auto"/>
              </w:rPr>
            </w:pPr>
          </w:p>
        </w:tc>
        <w:tc>
          <w:tcPr>
            <w:tcW w:w="340" w:type="dxa"/>
            <w:vAlign w:val="bottom"/>
            <w:shd w:val="clear" w:color="auto" w:fill="CBECD5"/>
          </w:tcPr>
          <w:p>
            <w:pPr>
              <w:spacing w:after="0"/>
              <w:rPr>
                <w:sz w:val="5"/>
                <w:szCs w:val="5"/>
                <w:color w:val="auto"/>
              </w:rPr>
            </w:pPr>
          </w:p>
        </w:tc>
        <w:tc>
          <w:tcPr>
            <w:tcW w:w="840" w:type="dxa"/>
            <w:vAlign w:val="bottom"/>
            <w:vMerge w:val="continue"/>
            <w:shd w:val="clear" w:color="auto" w:fill="CBECD5"/>
          </w:tcPr>
          <w:p>
            <w:pPr>
              <w:spacing w:after="0"/>
              <w:rPr>
                <w:sz w:val="5"/>
                <w:szCs w:val="5"/>
                <w:color w:val="auto"/>
              </w:rPr>
            </w:pPr>
          </w:p>
        </w:tc>
        <w:tc>
          <w:tcPr>
            <w:tcW w:w="240" w:type="dxa"/>
            <w:vAlign w:val="bottom"/>
            <w:shd w:val="clear" w:color="auto" w:fill="CBECD5"/>
          </w:tcPr>
          <w:p>
            <w:pPr>
              <w:spacing w:after="0"/>
              <w:rPr>
                <w:sz w:val="5"/>
                <w:szCs w:val="5"/>
                <w:color w:val="auto"/>
              </w:rPr>
            </w:pPr>
          </w:p>
        </w:tc>
        <w:tc>
          <w:tcPr>
            <w:tcW w:w="780" w:type="dxa"/>
            <w:vAlign w:val="bottom"/>
            <w:vMerge w:val="continue"/>
            <w:shd w:val="clear" w:color="auto" w:fill="CBECD5"/>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80" w:type="dxa"/>
            <w:vAlign w:val="bottom"/>
          </w:tcPr>
          <w:p>
            <w:pPr>
              <w:ind w:left="98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24.5</w:t>
            </w:r>
          </w:p>
        </w:tc>
        <w:tc>
          <w:tcPr>
            <w:tcW w:w="3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8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380,082</w:t>
            </w: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480" w:type="dxa"/>
            <w:vAlign w:val="bottom"/>
          </w:tcPr>
          <w:p>
            <w:pPr>
              <w:ind w:left="40"/>
              <w:spacing w:after="0" w:line="42" w:lineRule="exact"/>
              <w:rPr>
                <w:sz w:val="20"/>
                <w:szCs w:val="20"/>
                <w:color w:val="auto"/>
              </w:rPr>
            </w:pPr>
            <w:r>
              <w:rPr>
                <w:rFonts w:ascii="Arial" w:cs="Arial" w:eastAsia="Arial" w:hAnsi="Arial"/>
                <w:sz w:val="4"/>
                <w:szCs w:val="4"/>
                <w:color w:val="auto"/>
              </w:rPr>
              <w:t>Ken E. Arnold</w:t>
            </w:r>
          </w:p>
        </w:tc>
        <w:tc>
          <w:tcPr>
            <w:tcW w:w="2680" w:type="dxa"/>
            <w:vAlign w:val="bottom"/>
          </w:tcPr>
          <w:p>
            <w:pPr>
              <w:ind w:left="1080"/>
              <w:spacing w:after="0" w:line="42" w:lineRule="exact"/>
              <w:rPr>
                <w:sz w:val="20"/>
                <w:szCs w:val="20"/>
                <w:color w:val="auto"/>
              </w:rPr>
            </w:pPr>
            <w:r>
              <w:rPr>
                <w:rFonts w:ascii="Arial" w:cs="Arial" w:eastAsia="Arial" w:hAnsi="Arial"/>
                <w:sz w:val="4"/>
                <w:szCs w:val="4"/>
                <w:color w:val="auto"/>
              </w:rPr>
              <w:t>Pension Plan</w:t>
            </w:r>
          </w:p>
        </w:tc>
        <w:tc>
          <w:tcPr>
            <w:tcW w:w="1100" w:type="dxa"/>
            <w:vAlign w:val="bottom"/>
          </w:tcPr>
          <w:p>
            <w:pPr>
              <w:spacing w:after="0"/>
              <w:rPr>
                <w:sz w:val="3"/>
                <w:szCs w:val="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020" w:type="dxa"/>
            <w:vAlign w:val="bottom"/>
            <w:vMerge w:val="continue"/>
          </w:tcPr>
          <w:p>
            <w:pPr>
              <w:spacing w:after="0"/>
              <w:rPr>
                <w:sz w:val="3"/>
                <w:szCs w:val="3"/>
                <w:color w:val="auto"/>
              </w:rPr>
            </w:pPr>
          </w:p>
        </w:tc>
        <w:tc>
          <w:tcPr>
            <w:tcW w:w="3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40" w:type="dxa"/>
            <w:vAlign w:val="bottom"/>
            <w:vMerge w:val="continue"/>
          </w:tcPr>
          <w:p>
            <w:pPr>
              <w:spacing w:after="0"/>
              <w:rPr>
                <w:sz w:val="3"/>
                <w:szCs w:val="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80" w:type="dxa"/>
            <w:vAlign w:val="bottom"/>
            <w:vMerge w:val="continue"/>
          </w:tcPr>
          <w:p>
            <w:pPr>
              <w:spacing w:after="0"/>
              <w:rPr>
                <w:sz w:val="3"/>
                <w:szCs w:val="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80" w:type="dxa"/>
            <w:vAlign w:val="bottom"/>
          </w:tcPr>
          <w:p>
            <w:pPr>
              <w:ind w:left="40"/>
              <w:spacing w:after="0" w:line="175" w:lineRule="exact"/>
              <w:rPr>
                <w:sz w:val="20"/>
                <w:szCs w:val="20"/>
                <w:color w:val="auto"/>
              </w:rPr>
            </w:pPr>
            <w:r>
              <w:rPr>
                <w:rFonts w:ascii="Arial" w:cs="Arial" w:eastAsia="Arial" w:hAnsi="Arial"/>
                <w:sz w:val="18"/>
                <w:szCs w:val="18"/>
                <w:color w:val="auto"/>
              </w:rPr>
              <w:t>​</w:t>
            </w:r>
          </w:p>
        </w:tc>
        <w:tc>
          <w:tcPr>
            <w:tcW w:w="2680" w:type="dxa"/>
            <w:vAlign w:val="bottom"/>
          </w:tcPr>
          <w:p>
            <w:pPr>
              <w:ind w:left="980"/>
              <w:spacing w:after="0" w:line="175"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340" w:type="dxa"/>
            <w:vAlign w:val="bottom"/>
            <w:vMerge w:val="continue"/>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110,688</w:t>
            </w:r>
          </w:p>
        </w:tc>
        <w:tc>
          <w:tcPr>
            <w:tcW w:w="240" w:type="dxa"/>
            <w:vAlign w:val="bottom"/>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680" w:type="dxa"/>
            <w:vAlign w:val="bottom"/>
          </w:tcPr>
          <w:p>
            <w:pPr>
              <w:ind w:left="1080"/>
              <w:spacing w:after="0" w:line="68" w:lineRule="exact"/>
              <w:rPr>
                <w:sz w:val="20"/>
                <w:szCs w:val="20"/>
                <w:color w:val="auto"/>
              </w:rPr>
            </w:pPr>
            <w:r>
              <w:rPr>
                <w:rFonts w:ascii="Arial" w:cs="Arial" w:eastAsia="Arial" w:hAnsi="Arial"/>
                <w:sz w:val="7"/>
                <w:szCs w:val="7"/>
                <w:color w:val="auto"/>
              </w:rPr>
              <w:t>Restoration Plan</w:t>
            </w: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480" w:type="dxa"/>
            <w:vAlign w:val="bottom"/>
            <w:shd w:val="clear" w:color="auto" w:fill="CBECD5"/>
          </w:tcPr>
          <w:p>
            <w:pPr>
              <w:ind w:left="40"/>
              <w:spacing w:after="0" w:line="149" w:lineRule="exact"/>
              <w:rPr>
                <w:sz w:val="20"/>
                <w:szCs w:val="20"/>
                <w:color w:val="auto"/>
              </w:rPr>
            </w:pPr>
            <w:r>
              <w:rPr>
                <w:rFonts w:ascii="Arial" w:cs="Arial" w:eastAsia="Arial" w:hAnsi="Arial"/>
                <w:sz w:val="17"/>
                <w:szCs w:val="17"/>
                <w:color w:val="auto"/>
              </w:rPr>
              <w:t>​</w:t>
            </w:r>
          </w:p>
        </w:tc>
        <w:tc>
          <w:tcPr>
            <w:tcW w:w="2680" w:type="dxa"/>
            <w:vAlign w:val="bottom"/>
            <w:shd w:val="clear" w:color="auto" w:fill="CBECD5"/>
          </w:tcPr>
          <w:p>
            <w:pPr>
              <w:ind w:left="980"/>
              <w:spacing w:after="0" w:line="149" w:lineRule="exact"/>
              <w:rPr>
                <w:sz w:val="20"/>
                <w:szCs w:val="20"/>
                <w:color w:val="auto"/>
              </w:rPr>
            </w:pPr>
            <w:r>
              <w:rPr>
                <w:rFonts w:ascii="Arial" w:cs="Arial" w:eastAsia="Arial" w:hAnsi="Arial"/>
                <w:sz w:val="17"/>
                <w:szCs w:val="17"/>
                <w:color w:val="auto"/>
              </w:rPr>
              <w:t>​ ​</w:t>
            </w:r>
          </w:p>
        </w:tc>
        <w:tc>
          <w:tcPr>
            <w:tcW w:w="1100" w:type="dxa"/>
            <w:vAlign w:val="bottom"/>
            <w:shd w:val="clear" w:color="auto" w:fill="CBECD5"/>
          </w:tcPr>
          <w:p>
            <w:pPr>
              <w:spacing w:after="0"/>
              <w:rPr>
                <w:sz w:val="12"/>
                <w:szCs w:val="12"/>
                <w:color w:val="auto"/>
              </w:rPr>
            </w:pPr>
          </w:p>
        </w:tc>
        <w:tc>
          <w:tcPr>
            <w:tcW w:w="2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11.5</w:t>
            </w:r>
          </w:p>
        </w:tc>
        <w:tc>
          <w:tcPr>
            <w:tcW w:w="3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84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155,241</w:t>
            </w:r>
          </w:p>
        </w:tc>
        <w:tc>
          <w:tcPr>
            <w:tcW w:w="240" w:type="dxa"/>
            <w:vAlign w:val="bottom"/>
            <w:shd w:val="clear" w:color="auto" w:fill="CBECD5"/>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CBECD5"/>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480" w:type="dxa"/>
            <w:vAlign w:val="bottom"/>
            <w:shd w:val="clear" w:color="auto" w:fill="CBECD5"/>
          </w:tcPr>
          <w:p>
            <w:pPr>
              <w:ind w:left="40"/>
              <w:spacing w:after="0" w:line="42" w:lineRule="exact"/>
              <w:rPr>
                <w:sz w:val="20"/>
                <w:szCs w:val="20"/>
                <w:color w:val="auto"/>
              </w:rPr>
            </w:pPr>
            <w:r>
              <w:rPr>
                <w:rFonts w:ascii="Arial" w:cs="Arial" w:eastAsia="Arial" w:hAnsi="Arial"/>
                <w:sz w:val="4"/>
                <w:szCs w:val="4"/>
                <w:color w:val="auto"/>
              </w:rPr>
              <w:t>Michael R. McCoy</w:t>
            </w:r>
          </w:p>
        </w:tc>
        <w:tc>
          <w:tcPr>
            <w:tcW w:w="2680" w:type="dxa"/>
            <w:vAlign w:val="bottom"/>
            <w:shd w:val="clear" w:color="auto" w:fill="CBECD5"/>
          </w:tcPr>
          <w:p>
            <w:pPr>
              <w:ind w:left="1080"/>
              <w:spacing w:after="0" w:line="42" w:lineRule="exact"/>
              <w:rPr>
                <w:sz w:val="20"/>
                <w:szCs w:val="20"/>
                <w:color w:val="auto"/>
              </w:rPr>
            </w:pPr>
            <w:r>
              <w:rPr>
                <w:rFonts w:ascii="Arial" w:cs="Arial" w:eastAsia="Arial" w:hAnsi="Arial"/>
                <w:sz w:val="4"/>
                <w:szCs w:val="4"/>
                <w:color w:val="auto"/>
              </w:rPr>
              <w:t>Pension Plan</w:t>
            </w:r>
          </w:p>
        </w:tc>
        <w:tc>
          <w:tcPr>
            <w:tcW w:w="1100" w:type="dxa"/>
            <w:vAlign w:val="bottom"/>
            <w:shd w:val="clear" w:color="auto" w:fill="CBECD5"/>
          </w:tcPr>
          <w:p>
            <w:pPr>
              <w:spacing w:after="0"/>
              <w:rPr>
                <w:sz w:val="3"/>
                <w:szCs w:val="3"/>
                <w:color w:val="auto"/>
              </w:rPr>
            </w:pPr>
          </w:p>
        </w:tc>
        <w:tc>
          <w:tcPr>
            <w:tcW w:w="240" w:type="dxa"/>
            <w:vAlign w:val="bottom"/>
            <w:shd w:val="clear" w:color="auto" w:fill="CBECD5"/>
          </w:tcPr>
          <w:p>
            <w:pPr>
              <w:spacing w:after="0"/>
              <w:rPr>
                <w:sz w:val="3"/>
                <w:szCs w:val="3"/>
                <w:color w:val="auto"/>
              </w:rPr>
            </w:pPr>
          </w:p>
        </w:tc>
        <w:tc>
          <w:tcPr>
            <w:tcW w:w="1020" w:type="dxa"/>
            <w:vAlign w:val="bottom"/>
            <w:vMerge w:val="continue"/>
            <w:shd w:val="clear" w:color="auto" w:fill="CBECD5"/>
          </w:tcPr>
          <w:p>
            <w:pPr>
              <w:spacing w:after="0"/>
              <w:rPr>
                <w:sz w:val="3"/>
                <w:szCs w:val="3"/>
                <w:color w:val="auto"/>
              </w:rPr>
            </w:pPr>
          </w:p>
        </w:tc>
        <w:tc>
          <w:tcPr>
            <w:tcW w:w="340" w:type="dxa"/>
            <w:vAlign w:val="bottom"/>
            <w:shd w:val="clear" w:color="auto" w:fill="CBECD5"/>
          </w:tcPr>
          <w:p>
            <w:pPr>
              <w:spacing w:after="0"/>
              <w:rPr>
                <w:sz w:val="3"/>
                <w:szCs w:val="3"/>
                <w:color w:val="auto"/>
              </w:rPr>
            </w:pPr>
          </w:p>
        </w:tc>
        <w:tc>
          <w:tcPr>
            <w:tcW w:w="840" w:type="dxa"/>
            <w:vAlign w:val="bottom"/>
            <w:vMerge w:val="continue"/>
            <w:shd w:val="clear" w:color="auto" w:fill="CBECD5"/>
          </w:tcPr>
          <w:p>
            <w:pPr>
              <w:spacing w:after="0"/>
              <w:rPr>
                <w:sz w:val="3"/>
                <w:szCs w:val="3"/>
                <w:color w:val="auto"/>
              </w:rPr>
            </w:pPr>
          </w:p>
        </w:tc>
        <w:tc>
          <w:tcPr>
            <w:tcW w:w="240" w:type="dxa"/>
            <w:vAlign w:val="bottom"/>
            <w:shd w:val="clear" w:color="auto" w:fill="CBECD5"/>
          </w:tcPr>
          <w:p>
            <w:pPr>
              <w:spacing w:after="0"/>
              <w:rPr>
                <w:sz w:val="3"/>
                <w:szCs w:val="3"/>
                <w:color w:val="auto"/>
              </w:rPr>
            </w:pPr>
          </w:p>
        </w:tc>
        <w:tc>
          <w:tcPr>
            <w:tcW w:w="780" w:type="dxa"/>
            <w:vAlign w:val="bottom"/>
            <w:vMerge w:val="continue"/>
            <w:shd w:val="clear" w:color="auto" w:fill="CBECD5"/>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BECD5"/>
          </w:tcPr>
          <w:p>
            <w:pPr>
              <w:ind w:left="40"/>
              <w:spacing w:after="0" w:line="175" w:lineRule="exact"/>
              <w:rPr>
                <w:sz w:val="20"/>
                <w:szCs w:val="20"/>
                <w:color w:val="auto"/>
              </w:rPr>
            </w:pPr>
            <w:r>
              <w:rPr>
                <w:rFonts w:ascii="Arial" w:cs="Arial" w:eastAsia="Arial" w:hAnsi="Arial"/>
                <w:sz w:val="18"/>
                <w:szCs w:val="18"/>
                <w:color w:val="auto"/>
              </w:rPr>
              <w:t>​</w:t>
            </w:r>
          </w:p>
        </w:tc>
        <w:tc>
          <w:tcPr>
            <w:tcW w:w="2680" w:type="dxa"/>
            <w:vAlign w:val="bottom"/>
            <w:shd w:val="clear" w:color="auto" w:fill="CBECD5"/>
          </w:tcPr>
          <w:p>
            <w:pPr>
              <w:ind w:left="980"/>
              <w:spacing w:after="0" w:line="175" w:lineRule="exact"/>
              <w:rPr>
                <w:sz w:val="20"/>
                <w:szCs w:val="20"/>
                <w:color w:val="auto"/>
              </w:rPr>
            </w:pPr>
            <w:r>
              <w:rPr>
                <w:rFonts w:ascii="Arial" w:cs="Arial" w:eastAsia="Arial" w:hAnsi="Arial"/>
                <w:sz w:val="18"/>
                <w:szCs w:val="18"/>
                <w:color w:val="auto"/>
              </w:rPr>
              <w:t>​ ​</w:t>
            </w:r>
          </w:p>
        </w:tc>
        <w:tc>
          <w:tcPr>
            <w:tcW w:w="1100" w:type="dxa"/>
            <w:vAlign w:val="bottom"/>
            <w:shd w:val="clear" w:color="auto" w:fill="CBECD5"/>
          </w:tcPr>
          <w:p>
            <w:pPr>
              <w:spacing w:after="0"/>
              <w:rPr>
                <w:sz w:val="15"/>
                <w:szCs w:val="15"/>
                <w:color w:val="auto"/>
              </w:rPr>
            </w:pPr>
          </w:p>
        </w:tc>
        <w:tc>
          <w:tcPr>
            <w:tcW w:w="2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84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75,882</w:t>
            </w:r>
          </w:p>
        </w:tc>
        <w:tc>
          <w:tcPr>
            <w:tcW w:w="240" w:type="dxa"/>
            <w:vAlign w:val="bottom"/>
            <w:shd w:val="clear" w:color="auto" w:fill="CBECD5"/>
          </w:tcPr>
          <w:p>
            <w:pPr>
              <w:ind w:left="60"/>
              <w:spacing w:after="0" w:line="175" w:lineRule="exact"/>
              <w:rPr>
                <w:sz w:val="20"/>
                <w:szCs w:val="20"/>
                <w:color w:val="auto"/>
              </w:rPr>
            </w:pPr>
            <w:r>
              <w:rPr>
                <w:rFonts w:ascii="Arial" w:cs="Arial" w:eastAsia="Arial" w:hAnsi="Arial"/>
                <w:sz w:val="18"/>
                <w:szCs w:val="18"/>
                <w:color w:val="auto"/>
              </w:rPr>
              <w:t>​ ​</w:t>
            </w:r>
          </w:p>
        </w:tc>
        <w:tc>
          <w:tcPr>
            <w:tcW w:w="78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480" w:type="dxa"/>
            <w:vAlign w:val="bottom"/>
            <w:shd w:val="clear" w:color="auto" w:fill="CBECD5"/>
          </w:tcPr>
          <w:p>
            <w:pPr>
              <w:spacing w:after="0"/>
              <w:rPr>
                <w:sz w:val="7"/>
                <w:szCs w:val="7"/>
                <w:color w:val="auto"/>
              </w:rPr>
            </w:pPr>
          </w:p>
        </w:tc>
        <w:tc>
          <w:tcPr>
            <w:tcW w:w="2680" w:type="dxa"/>
            <w:vAlign w:val="bottom"/>
            <w:shd w:val="clear" w:color="auto" w:fill="CBECD5"/>
          </w:tcPr>
          <w:p>
            <w:pPr>
              <w:ind w:left="1080"/>
              <w:spacing w:after="0" w:line="81" w:lineRule="exact"/>
              <w:rPr>
                <w:sz w:val="20"/>
                <w:szCs w:val="20"/>
                <w:color w:val="auto"/>
              </w:rPr>
            </w:pPr>
            <w:r>
              <w:rPr>
                <w:rFonts w:ascii="Arial" w:cs="Arial" w:eastAsia="Arial" w:hAnsi="Arial"/>
                <w:sz w:val="9"/>
                <w:szCs w:val="9"/>
                <w:color w:val="auto"/>
              </w:rPr>
              <w:t>Restoration Plan</w:t>
            </w:r>
          </w:p>
        </w:tc>
        <w:tc>
          <w:tcPr>
            <w:tcW w:w="1100" w:type="dxa"/>
            <w:vAlign w:val="bottom"/>
            <w:shd w:val="clear" w:color="auto" w:fill="CBECD5"/>
          </w:tcPr>
          <w:p>
            <w:pPr>
              <w:spacing w:after="0"/>
              <w:rPr>
                <w:sz w:val="7"/>
                <w:szCs w:val="7"/>
                <w:color w:val="auto"/>
              </w:rPr>
            </w:pPr>
          </w:p>
        </w:tc>
        <w:tc>
          <w:tcPr>
            <w:tcW w:w="240" w:type="dxa"/>
            <w:vAlign w:val="bottom"/>
            <w:shd w:val="clear" w:color="auto" w:fill="CBECD5"/>
          </w:tcPr>
          <w:p>
            <w:pPr>
              <w:spacing w:after="0"/>
              <w:rPr>
                <w:sz w:val="7"/>
                <w:szCs w:val="7"/>
                <w:color w:val="auto"/>
              </w:rPr>
            </w:pPr>
          </w:p>
        </w:tc>
        <w:tc>
          <w:tcPr>
            <w:tcW w:w="1020" w:type="dxa"/>
            <w:vAlign w:val="bottom"/>
            <w:vMerge w:val="continue"/>
            <w:shd w:val="clear" w:color="auto" w:fill="CBECD5"/>
          </w:tcPr>
          <w:p>
            <w:pPr>
              <w:spacing w:after="0"/>
              <w:rPr>
                <w:sz w:val="7"/>
                <w:szCs w:val="7"/>
                <w:color w:val="auto"/>
              </w:rPr>
            </w:pPr>
          </w:p>
        </w:tc>
        <w:tc>
          <w:tcPr>
            <w:tcW w:w="340" w:type="dxa"/>
            <w:vAlign w:val="bottom"/>
            <w:shd w:val="clear" w:color="auto" w:fill="CBECD5"/>
          </w:tcPr>
          <w:p>
            <w:pPr>
              <w:spacing w:after="0"/>
              <w:rPr>
                <w:sz w:val="7"/>
                <w:szCs w:val="7"/>
                <w:color w:val="auto"/>
              </w:rPr>
            </w:pPr>
          </w:p>
        </w:tc>
        <w:tc>
          <w:tcPr>
            <w:tcW w:w="840" w:type="dxa"/>
            <w:vAlign w:val="bottom"/>
            <w:vMerge w:val="continue"/>
            <w:shd w:val="clear" w:color="auto" w:fill="CBECD5"/>
          </w:tcPr>
          <w:p>
            <w:pPr>
              <w:spacing w:after="0"/>
              <w:rPr>
                <w:sz w:val="7"/>
                <w:szCs w:val="7"/>
                <w:color w:val="auto"/>
              </w:rPr>
            </w:pPr>
          </w:p>
        </w:tc>
        <w:tc>
          <w:tcPr>
            <w:tcW w:w="240" w:type="dxa"/>
            <w:vAlign w:val="bottom"/>
            <w:shd w:val="clear" w:color="auto" w:fill="CBECD5"/>
          </w:tcPr>
          <w:p>
            <w:pPr>
              <w:spacing w:after="0"/>
              <w:rPr>
                <w:sz w:val="7"/>
                <w:szCs w:val="7"/>
                <w:color w:val="auto"/>
              </w:rPr>
            </w:pPr>
          </w:p>
        </w:tc>
        <w:tc>
          <w:tcPr>
            <w:tcW w:w="780" w:type="dxa"/>
            <w:vAlign w:val="bottom"/>
            <w:vMerge w:val="continue"/>
            <w:shd w:val="clear" w:color="auto" w:fill="CBECD5"/>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80" w:type="dxa"/>
            <w:vAlign w:val="bottom"/>
          </w:tcPr>
          <w:p>
            <w:pPr>
              <w:ind w:left="98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4.0</w:t>
            </w:r>
          </w:p>
        </w:tc>
        <w:tc>
          <w:tcPr>
            <w:tcW w:w="3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8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107,552</w:t>
            </w: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480" w:type="dxa"/>
            <w:vAlign w:val="bottom"/>
          </w:tcPr>
          <w:p>
            <w:pPr>
              <w:ind w:left="40"/>
              <w:spacing w:after="0" w:line="55" w:lineRule="exact"/>
              <w:rPr>
                <w:sz w:val="20"/>
                <w:szCs w:val="20"/>
                <w:color w:val="auto"/>
              </w:rPr>
            </w:pPr>
            <w:r>
              <w:rPr>
                <w:rFonts w:ascii="Arial" w:cs="Arial" w:eastAsia="Arial" w:hAnsi="Arial"/>
                <w:sz w:val="6"/>
                <w:szCs w:val="6"/>
                <w:color w:val="auto"/>
              </w:rPr>
              <w:t>Thomas Liguori</w:t>
            </w:r>
          </w:p>
        </w:tc>
        <w:tc>
          <w:tcPr>
            <w:tcW w:w="2680" w:type="dxa"/>
            <w:vAlign w:val="bottom"/>
          </w:tcPr>
          <w:p>
            <w:pPr>
              <w:ind w:left="1080"/>
              <w:spacing w:after="0" w:line="55" w:lineRule="exact"/>
              <w:rPr>
                <w:sz w:val="20"/>
                <w:szCs w:val="20"/>
                <w:color w:val="auto"/>
              </w:rPr>
            </w:pPr>
            <w:r>
              <w:rPr>
                <w:rFonts w:ascii="Arial" w:cs="Arial" w:eastAsia="Arial" w:hAnsi="Arial"/>
                <w:sz w:val="6"/>
                <w:szCs w:val="6"/>
                <w:color w:val="auto"/>
              </w:rPr>
              <w:t>Pension Plan</w:t>
            </w: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
              <w:spacing w:after="0" w:line="175" w:lineRule="exact"/>
              <w:rPr>
                <w:sz w:val="20"/>
                <w:szCs w:val="20"/>
                <w:color w:val="auto"/>
              </w:rPr>
            </w:pPr>
            <w:r>
              <w:rPr>
                <w:rFonts w:ascii="Arial" w:cs="Arial" w:eastAsia="Arial" w:hAnsi="Arial"/>
                <w:sz w:val="18"/>
                <w:szCs w:val="18"/>
                <w:color w:val="auto"/>
              </w:rPr>
              <w:t>​</w:t>
            </w:r>
          </w:p>
        </w:tc>
        <w:tc>
          <w:tcPr>
            <w:tcW w:w="2680" w:type="dxa"/>
            <w:vAlign w:val="bottom"/>
          </w:tcPr>
          <w:p>
            <w:pPr>
              <w:ind w:left="980"/>
              <w:spacing w:after="0" w:line="175"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5"/>
                <w:szCs w:val="15"/>
                <w:color w:val="auto"/>
              </w:rPr>
            </w:pPr>
          </w:p>
        </w:tc>
        <w:tc>
          <w:tcPr>
            <w:tcW w:w="240" w:type="dxa"/>
            <w:vAlign w:val="bottom"/>
          </w:tcPr>
          <w:p>
            <w:pPr>
              <w:ind w:left="60"/>
              <w:spacing w:after="0" w:line="175" w:lineRule="exact"/>
              <w:rPr>
                <w:sz w:val="20"/>
                <w:szCs w:val="20"/>
                <w:color w:val="auto"/>
              </w:rPr>
            </w:pPr>
            <w:r>
              <w:rPr>
                <w:rFonts w:ascii="Arial" w:cs="Arial" w:eastAsia="Arial" w:hAnsi="Arial"/>
                <w:sz w:val="18"/>
                <w:szCs w:val="18"/>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ind w:left="60"/>
              <w:spacing w:after="0" w:line="175" w:lineRule="exact"/>
              <w:rPr>
                <w:sz w:val="20"/>
                <w:szCs w:val="20"/>
                <w:color w:val="auto"/>
              </w:rPr>
            </w:pPr>
            <w:r>
              <w:rPr>
                <w:rFonts w:ascii="Arial" w:cs="Arial" w:eastAsia="Arial" w:hAnsi="Arial"/>
                <w:sz w:val="18"/>
                <w:szCs w:val="18"/>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273,809</w:t>
            </w:r>
          </w:p>
        </w:tc>
        <w:tc>
          <w:tcPr>
            <w:tcW w:w="240" w:type="dxa"/>
            <w:vAlign w:val="bottom"/>
          </w:tcPr>
          <w:p>
            <w:pPr>
              <w:ind w:left="60"/>
              <w:spacing w:after="0" w:line="175" w:lineRule="exact"/>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53C072"/>
            </w:tcBorders>
          </w:tcPr>
          <w:p>
            <w:pPr>
              <w:spacing w:after="0"/>
              <w:rPr>
                <w:sz w:val="10"/>
                <w:szCs w:val="10"/>
                <w:color w:val="auto"/>
              </w:rPr>
            </w:pPr>
          </w:p>
        </w:tc>
        <w:tc>
          <w:tcPr>
            <w:tcW w:w="2680" w:type="dxa"/>
            <w:vAlign w:val="bottom"/>
            <w:tcBorders>
              <w:bottom w:val="single" w:sz="8" w:color="53C072"/>
            </w:tcBorders>
          </w:tcPr>
          <w:p>
            <w:pPr>
              <w:ind w:left="1080"/>
              <w:spacing w:after="0" w:line="108" w:lineRule="exact"/>
              <w:rPr>
                <w:sz w:val="20"/>
                <w:szCs w:val="20"/>
                <w:color w:val="auto"/>
              </w:rPr>
            </w:pPr>
            <w:r>
              <w:rPr>
                <w:rFonts w:ascii="Arial" w:cs="Arial" w:eastAsia="Arial" w:hAnsi="Arial"/>
                <w:sz w:val="12"/>
                <w:szCs w:val="12"/>
                <w:color w:val="auto"/>
              </w:rPr>
              <w:t>Restoration Plan</w:t>
            </w:r>
          </w:p>
        </w:tc>
        <w:tc>
          <w:tcPr>
            <w:tcW w:w="1100" w:type="dxa"/>
            <w:vAlign w:val="bottom"/>
            <w:tcBorders>
              <w:bottom w:val="single" w:sz="8" w:color="53C072"/>
            </w:tcBorders>
          </w:tcPr>
          <w:p>
            <w:pPr>
              <w:spacing w:after="0"/>
              <w:rPr>
                <w:sz w:val="10"/>
                <w:szCs w:val="10"/>
                <w:color w:val="auto"/>
              </w:rPr>
            </w:pPr>
          </w:p>
        </w:tc>
        <w:tc>
          <w:tcPr>
            <w:tcW w:w="240" w:type="dxa"/>
            <w:vAlign w:val="bottom"/>
            <w:tcBorders>
              <w:bottom w:val="single" w:sz="8" w:color="53C072"/>
            </w:tcBorders>
          </w:tcPr>
          <w:p>
            <w:pPr>
              <w:spacing w:after="0"/>
              <w:rPr>
                <w:sz w:val="10"/>
                <w:szCs w:val="10"/>
                <w:color w:val="auto"/>
              </w:rPr>
            </w:pPr>
          </w:p>
        </w:tc>
        <w:tc>
          <w:tcPr>
            <w:tcW w:w="1020" w:type="dxa"/>
            <w:vAlign w:val="bottom"/>
            <w:tcBorders>
              <w:bottom w:val="single" w:sz="8" w:color="53C072"/>
            </w:tcBorders>
            <w:vMerge w:val="continue"/>
          </w:tcPr>
          <w:p>
            <w:pPr>
              <w:spacing w:after="0"/>
              <w:rPr>
                <w:sz w:val="10"/>
                <w:szCs w:val="10"/>
                <w:color w:val="auto"/>
              </w:rPr>
            </w:pPr>
          </w:p>
        </w:tc>
        <w:tc>
          <w:tcPr>
            <w:tcW w:w="340" w:type="dxa"/>
            <w:vAlign w:val="bottom"/>
            <w:tcBorders>
              <w:bottom w:val="single" w:sz="8" w:color="53C072"/>
            </w:tcBorders>
          </w:tcPr>
          <w:p>
            <w:pPr>
              <w:spacing w:after="0"/>
              <w:rPr>
                <w:sz w:val="10"/>
                <w:szCs w:val="10"/>
                <w:color w:val="auto"/>
              </w:rPr>
            </w:pPr>
          </w:p>
        </w:tc>
        <w:tc>
          <w:tcPr>
            <w:tcW w:w="840" w:type="dxa"/>
            <w:vAlign w:val="bottom"/>
            <w:tcBorders>
              <w:bottom w:val="single" w:sz="8" w:color="53C072"/>
            </w:tcBorders>
            <w:vMerge w:val="continue"/>
          </w:tcPr>
          <w:p>
            <w:pPr>
              <w:spacing w:after="0"/>
              <w:rPr>
                <w:sz w:val="10"/>
                <w:szCs w:val="10"/>
                <w:color w:val="auto"/>
              </w:rPr>
            </w:pPr>
          </w:p>
        </w:tc>
        <w:tc>
          <w:tcPr>
            <w:tcW w:w="240" w:type="dxa"/>
            <w:vAlign w:val="bottom"/>
            <w:tcBorders>
              <w:bottom w:val="single" w:sz="8" w:color="53C072"/>
            </w:tcBorders>
          </w:tcPr>
          <w:p>
            <w:pPr>
              <w:spacing w:after="0"/>
              <w:rPr>
                <w:sz w:val="10"/>
                <w:szCs w:val="10"/>
                <w:color w:val="auto"/>
              </w:rPr>
            </w:pPr>
          </w:p>
        </w:tc>
        <w:tc>
          <w:tcPr>
            <w:tcW w:w="780" w:type="dxa"/>
            <w:vAlign w:val="bottom"/>
            <w:tcBorders>
              <w:bottom w:val="single" w:sz="8" w:color="53C072"/>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280" w:right="160" w:hanging="713"/>
        <w:spacing w:after="0" w:line="258"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81" w:lineRule="exact"/>
        <w:rPr>
          <w:rFonts w:ascii="Arial" w:cs="Arial" w:eastAsia="Arial" w:hAnsi="Arial"/>
          <w:sz w:val="18"/>
          <w:szCs w:val="18"/>
          <w:color w:val="auto"/>
        </w:rPr>
      </w:pPr>
    </w:p>
    <w:p>
      <w:pPr>
        <w:ind w:left="1280" w:hanging="71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Only Mr. Gallagher is a participant in the SERP.</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3C072"/>
        </w:rPr>
        <w:t>POTENTIAL PAYOUTS UPON TERMINATION AND CHANGE OF CONTROL</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Employment Agreements, Severance Plan and Change of Control Agreements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53C072"/>
        </w:rPr>
        <w:t xml:space="preserve">Employment Agreements.  </w:t>
      </w:r>
      <w:r>
        <w:rPr>
          <w:rFonts w:ascii="Arial" w:cs="Arial" w:eastAsia="Arial" w:hAnsi="Arial"/>
          <w:sz w:val="18"/>
          <w:szCs w:val="18"/>
          <w:color w:val="000000"/>
        </w:rPr>
        <w:t>Each of the NEOs have entered into an employment agreement with the Company.</w:t>
      </w:r>
    </w:p>
    <w:p>
      <w:pPr>
        <w:spacing w:after="0" w:line="168" w:lineRule="exact"/>
        <w:rPr>
          <w:sz w:val="20"/>
          <w:szCs w:val="20"/>
          <w:color w:val="auto"/>
        </w:rPr>
      </w:pPr>
    </w:p>
    <w:p>
      <w:pPr>
        <w:ind w:left="500" w:right="80"/>
        <w:spacing w:after="0" w:line="247" w:lineRule="auto"/>
        <w:rPr>
          <w:sz w:val="20"/>
          <w:szCs w:val="20"/>
          <w:color w:val="auto"/>
        </w:rPr>
      </w:pPr>
      <w:r>
        <w:rPr>
          <w:rFonts w:ascii="Arial" w:cs="Arial" w:eastAsia="Arial" w:hAnsi="Arial"/>
          <w:sz w:val="18"/>
          <w:szCs w:val="18"/>
          <w:color w:val="auto"/>
        </w:rPr>
        <w:t>Under the Executive Severance Plan, adopted on August 10, 2017, executive officers may be eligible to receive severance benefits if they are not entitled to severance payments under any other employment agreement. Only Mr. Liguori participated in the Executive Severance Plan.</w:t>
      </w:r>
    </w:p>
    <w:p>
      <w:pPr>
        <w:spacing w:after="0" w:line="117" w:lineRule="exact"/>
        <w:rPr>
          <w:sz w:val="20"/>
          <w:szCs w:val="20"/>
          <w:color w:val="auto"/>
        </w:rPr>
      </w:pPr>
    </w:p>
    <w:p>
      <w:pPr>
        <w:ind w:left="500" w:right="140"/>
        <w:spacing w:after="0" w:line="248" w:lineRule="auto"/>
        <w:rPr>
          <w:sz w:val="20"/>
          <w:szCs w:val="20"/>
          <w:color w:val="auto"/>
        </w:rPr>
      </w:pPr>
      <w:r>
        <w:rPr>
          <w:rFonts w:ascii="Arial" w:cs="Arial" w:eastAsia="Arial" w:hAnsi="Arial"/>
          <w:sz w:val="18"/>
          <w:szCs w:val="18"/>
          <w:color w:val="auto"/>
        </w:rPr>
        <w:t>The employment agreements for Gallagher, Jacobson, Arnold, McCoy and Obregon-Jimenez provide,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09" w:lineRule="exact"/>
        <w:rPr>
          <w:sz w:val="20"/>
          <w:szCs w:val="20"/>
          <w:color w:val="auto"/>
        </w:rPr>
      </w:pPr>
    </w:p>
    <w:p>
      <w:pPr>
        <w:ind w:left="500" w:right="60"/>
        <w:spacing w:after="0" w:line="244" w:lineRule="auto"/>
        <w:rPr>
          <w:sz w:val="20"/>
          <w:szCs w:val="20"/>
          <w:color w:val="auto"/>
        </w:rPr>
      </w:pPr>
      <w:r>
        <w:rPr>
          <w:rFonts w:ascii="Arial" w:cs="Arial" w:eastAsia="Arial" w:hAnsi="Arial"/>
          <w:sz w:val="18"/>
          <w:szCs w:val="18"/>
          <w:b w:val="1"/>
          <w:bCs w:val="1"/>
          <w:color w:val="53C072"/>
        </w:rPr>
        <w:t xml:space="preserve">Executive Severance Plan. </w:t>
      </w:r>
      <w:r>
        <w:rPr>
          <w:rFonts w:ascii="Arial" w:cs="Arial" w:eastAsia="Arial" w:hAnsi="Arial"/>
          <w:sz w:val="18"/>
          <w:szCs w:val="18"/>
          <w:color w:val="000000"/>
        </w:rPr>
        <w:t>Under the Executive Severance Plan, if the Company terminates an executive’s employment</w:t>
      </w:r>
      <w:r>
        <w:rPr>
          <w:rFonts w:ascii="Arial" w:cs="Arial" w:eastAsia="Arial" w:hAnsi="Arial"/>
          <w:sz w:val="18"/>
          <w:szCs w:val="18"/>
          <w:b w:val="1"/>
          <w:bCs w:val="1"/>
          <w:color w:val="53C072"/>
        </w:rPr>
        <w:t xml:space="preserve"> </w:t>
      </w:r>
      <w:r>
        <w:rPr>
          <w:rFonts w:ascii="Arial" w:cs="Arial" w:eastAsia="Arial" w:hAnsi="Arial"/>
          <w:sz w:val="18"/>
          <w:szCs w:val="18"/>
          <w:color w:val="000000"/>
        </w:rPr>
        <w:t>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Mr. Liguori was the sole NEO covered by the Executive Severance Plan. The other NEOs, Gallagher, Jacobson, Arnold, McCoy and Obregon-Jimenez are not covered under the Executive Severance Plan but instead are covered by their employment agreements.</w:t>
      </w:r>
    </w:p>
    <w:p>
      <w:pPr>
        <w:spacing w:after="0" w:line="112" w:lineRule="exact"/>
        <w:rPr>
          <w:sz w:val="20"/>
          <w:szCs w:val="20"/>
          <w:color w:val="auto"/>
        </w:rPr>
      </w:pPr>
    </w:p>
    <w:p>
      <w:pPr>
        <w:jc w:val="both"/>
        <w:ind w:left="500" w:right="240"/>
        <w:spacing w:after="0" w:line="275" w:lineRule="auto"/>
        <w:rPr>
          <w:sz w:val="20"/>
          <w:szCs w:val="20"/>
          <w:color w:val="auto"/>
        </w:rPr>
      </w:pPr>
      <w:r>
        <w:rPr>
          <w:rFonts w:ascii="Arial" w:cs="Arial" w:eastAsia="Arial" w:hAnsi="Arial"/>
          <w:sz w:val="17"/>
          <w:szCs w:val="17"/>
          <w:b w:val="1"/>
          <w:bCs w:val="1"/>
          <w:color w:val="53C072"/>
        </w:rPr>
        <w:t xml:space="preserve">Change of Control Agreements. </w:t>
      </w:r>
      <w:r>
        <w:rPr>
          <w:rFonts w:ascii="Arial" w:cs="Arial" w:eastAsia="Arial" w:hAnsi="Arial"/>
          <w:sz w:val="17"/>
          <w:szCs w:val="17"/>
          <w:color w:val="000000"/>
        </w:rPr>
        <w:t>Except for Ms. Obregon-Jimenez, each of the NEOs entered into a change of control</w:t>
      </w:r>
      <w:r>
        <w:rPr>
          <w:rFonts w:ascii="Arial" w:cs="Arial" w:eastAsia="Arial" w:hAnsi="Arial"/>
          <w:sz w:val="17"/>
          <w:szCs w:val="17"/>
          <w:b w:val="1"/>
          <w:bCs w:val="1"/>
          <w:color w:val="53C072"/>
        </w:rPr>
        <w:t xml:space="preserve"> </w:t>
      </w:r>
      <w:r>
        <w:rPr>
          <w:rFonts w:ascii="Arial" w:cs="Arial" w:eastAsia="Arial" w:hAnsi="Arial"/>
          <w:sz w:val="17"/>
          <w:szCs w:val="17"/>
          <w:color w:val="000000"/>
        </w:rPr>
        <w:t>agreement with the Company, which provides that in the event of actual or constructive termination within 24 months of a change of control, the Company must pay the NEO all accrued base salary and pro-rata incentive payments, plus 2.99</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1242695" cy="24003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820" w:type="dxa"/>
            <w:vAlign w:val="bottom"/>
            <w:vMerge w:val="restart"/>
          </w:tcPr>
          <w:p>
            <w:pPr>
              <w:ind w:left="254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85"/>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12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Pursuant to these agreements, a constructive termination includes a material diminution in the NEO’s responsibilities, a material change in the geographic location at which the NEO is primarily required to perform services, a material reduction in the NEO’s base compensation, or any other action or inaction that constitutes a material breach by the Company under its employment agreement with the NEO. A change of control includes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shareholder approval of a liquidation, dissolution or sale of substantially all of the assets of the Company.</w:t>
      </w:r>
    </w:p>
    <w:p>
      <w:pPr>
        <w:spacing w:after="0" w:line="114"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b w:val="1"/>
          <w:bCs w:val="1"/>
          <w:color w:val="53C072"/>
        </w:rPr>
        <w:t xml:space="preserve">Potential Payouts upon Termination Table. </w:t>
      </w:r>
      <w:r>
        <w:rPr>
          <w:rFonts w:ascii="Arial" w:cs="Arial" w:eastAsia="Arial" w:hAnsi="Arial"/>
          <w:sz w:val="18"/>
          <w:szCs w:val="18"/>
          <w:color w:val="000000"/>
        </w:rPr>
        <w:t>The following table sets forth the estimated payments and value of benefits</w:t>
      </w:r>
      <w:r>
        <w:rPr>
          <w:rFonts w:ascii="Arial" w:cs="Arial" w:eastAsia="Arial" w:hAnsi="Arial"/>
          <w:sz w:val="18"/>
          <w:szCs w:val="18"/>
          <w:b w:val="1"/>
          <w:bCs w:val="1"/>
          <w:color w:val="53C072"/>
        </w:rPr>
        <w:t xml:space="preserve"> </w:t>
      </w:r>
      <w:r>
        <w:rPr>
          <w:rFonts w:ascii="Arial" w:cs="Arial" w:eastAsia="Arial" w:hAnsi="Arial"/>
          <w:sz w:val="18"/>
          <w:szCs w:val="18"/>
          <w:color w:val="000000"/>
        </w:rPr>
        <w:t>that each of the NEOs would be entitled to receive under their employment agreements, the Executive Severance Plan and change of control agreements, as applicable, in the event of the termination of their employment under various scenarios. The table assumes that the termination occurred on July 1, 2023, which is the Company’s fiscal year end. The market value of the stock awards is based on the closing market price of the Company’s Common Stock as of July 1, 2023, which was $50.45.</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used in this section:</w:t>
      </w:r>
    </w:p>
    <w:p>
      <w:pPr>
        <w:spacing w:after="0" w:line="107" w:lineRule="exact"/>
        <w:rPr>
          <w:sz w:val="20"/>
          <w:szCs w:val="20"/>
          <w:color w:val="auto"/>
        </w:rPr>
      </w:pPr>
    </w:p>
    <w:p>
      <w:pPr>
        <w:ind w:left="1040" w:hanging="185"/>
        <w:spacing w:after="0"/>
        <w:tabs>
          <w:tab w:leader="none" w:pos="1040" w:val="left"/>
        </w:tabs>
        <w:numPr>
          <w:ilvl w:val="0"/>
          <w:numId w:val="78"/>
        </w:numPr>
        <w:rPr>
          <w:rFonts w:ascii="Arial" w:cs="Arial" w:eastAsia="Arial" w:hAnsi="Arial"/>
          <w:sz w:val="18"/>
          <w:szCs w:val="18"/>
          <w:color w:val="53C072"/>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an NEO’s death;</w:t>
      </w:r>
    </w:p>
    <w:p>
      <w:pPr>
        <w:spacing w:after="0" w:line="117" w:lineRule="exact"/>
        <w:rPr>
          <w:rFonts w:ascii="Arial" w:cs="Arial" w:eastAsia="Arial" w:hAnsi="Arial"/>
          <w:sz w:val="18"/>
          <w:szCs w:val="18"/>
          <w:color w:val="53C072"/>
        </w:rPr>
      </w:pPr>
    </w:p>
    <w:p>
      <w:pPr>
        <w:ind w:left="1040" w:hanging="185"/>
        <w:spacing w:after="0"/>
        <w:tabs>
          <w:tab w:leader="none" w:pos="1040" w:val="left"/>
        </w:tabs>
        <w:numPr>
          <w:ilvl w:val="0"/>
          <w:numId w:val="78"/>
        </w:numPr>
        <w:rPr>
          <w:rFonts w:ascii="Arial" w:cs="Arial" w:eastAsia="Arial" w:hAnsi="Arial"/>
          <w:sz w:val="18"/>
          <w:szCs w:val="18"/>
          <w:color w:val="53C072"/>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an NEO’s permanent and total disability during the term of the NEO’s employment;</w:t>
      </w:r>
    </w:p>
    <w:p>
      <w:pPr>
        <w:spacing w:after="0" w:line="117" w:lineRule="exact"/>
        <w:rPr>
          <w:rFonts w:ascii="Arial" w:cs="Arial" w:eastAsia="Arial" w:hAnsi="Arial"/>
          <w:sz w:val="18"/>
          <w:szCs w:val="18"/>
          <w:color w:val="53C072"/>
        </w:rPr>
      </w:pPr>
    </w:p>
    <w:p>
      <w:pPr>
        <w:ind w:left="1040" w:right="1080" w:hanging="185"/>
        <w:spacing w:after="0" w:line="287" w:lineRule="auto"/>
        <w:tabs>
          <w:tab w:leader="none" w:pos="1040" w:val="left"/>
        </w:tabs>
        <w:numPr>
          <w:ilvl w:val="0"/>
          <w:numId w:val="78"/>
        </w:numPr>
        <w:rPr>
          <w:rFonts w:ascii="Arial" w:cs="Arial" w:eastAsia="Arial" w:hAnsi="Arial"/>
          <w:sz w:val="18"/>
          <w:szCs w:val="18"/>
          <w:color w:val="53C072"/>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4" w:lineRule="exact"/>
        <w:rPr>
          <w:rFonts w:ascii="Arial" w:cs="Arial" w:eastAsia="Arial" w:hAnsi="Arial"/>
          <w:sz w:val="18"/>
          <w:szCs w:val="18"/>
          <w:color w:val="53C072"/>
        </w:rPr>
      </w:pPr>
    </w:p>
    <w:p>
      <w:pPr>
        <w:ind w:left="1040" w:right="800" w:hanging="185"/>
        <w:spacing w:after="0" w:line="287" w:lineRule="auto"/>
        <w:tabs>
          <w:tab w:leader="none" w:pos="1040" w:val="left"/>
        </w:tabs>
        <w:numPr>
          <w:ilvl w:val="0"/>
          <w:numId w:val="78"/>
        </w:numPr>
        <w:rPr>
          <w:rFonts w:ascii="Arial" w:cs="Arial" w:eastAsia="Arial" w:hAnsi="Arial"/>
          <w:sz w:val="18"/>
          <w:szCs w:val="18"/>
          <w:color w:val="53C072"/>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NEO within 24 months of the change; and</w:t>
      </w:r>
    </w:p>
    <w:p>
      <w:pPr>
        <w:spacing w:after="0" w:line="44" w:lineRule="exact"/>
        <w:rPr>
          <w:rFonts w:ascii="Arial" w:cs="Arial" w:eastAsia="Arial" w:hAnsi="Arial"/>
          <w:sz w:val="18"/>
          <w:szCs w:val="18"/>
          <w:color w:val="53C072"/>
        </w:rPr>
      </w:pPr>
    </w:p>
    <w:p>
      <w:pPr>
        <w:ind w:left="1040" w:hanging="185"/>
        <w:spacing w:after="0"/>
        <w:tabs>
          <w:tab w:leader="none" w:pos="1040" w:val="left"/>
        </w:tabs>
        <w:numPr>
          <w:ilvl w:val="0"/>
          <w:numId w:val="78"/>
        </w:numPr>
        <w:rPr>
          <w:rFonts w:ascii="Arial" w:cs="Arial" w:eastAsia="Arial" w:hAnsi="Arial"/>
          <w:sz w:val="18"/>
          <w:szCs w:val="18"/>
          <w:color w:val="53C072"/>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the following: (a) age 55,</w:t>
      </w:r>
    </w:p>
    <w:p>
      <w:pPr>
        <w:spacing w:after="0" w:line="31" w:lineRule="exact"/>
        <w:rPr>
          <w:rFonts w:ascii="Arial" w:cs="Arial" w:eastAsia="Arial" w:hAnsi="Arial"/>
          <w:sz w:val="18"/>
          <w:szCs w:val="18"/>
          <w:color w:val="53C072"/>
        </w:rPr>
      </w:pPr>
    </w:p>
    <w:p>
      <w:pPr>
        <w:ind w:left="1040" w:right="320"/>
        <w:spacing w:after="0" w:line="261" w:lineRule="auto"/>
        <w:rPr>
          <w:rFonts w:ascii="Arial" w:cs="Arial" w:eastAsia="Arial" w:hAnsi="Arial"/>
          <w:sz w:val="18"/>
          <w:szCs w:val="18"/>
          <w:color w:val="53C072"/>
        </w:rPr>
      </w:pPr>
      <w:r>
        <w:rPr>
          <w:rFonts w:ascii="Arial" w:cs="Arial" w:eastAsia="Arial" w:hAnsi="Arial"/>
          <w:sz w:val="18"/>
          <w:szCs w:val="18"/>
          <w:color w:val="auto"/>
        </w:rPr>
        <w:t>(b) five years of service, (c) age plus years of service is equal to at least 65, and (d) the NEO must have signed a non-compete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109220</wp:posOffset>
            </wp:positionV>
            <wp:extent cx="6180455" cy="4286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80455" cy="42862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FEFEFE"/>
        </w:rPr>
        <w:t>​</w:t>
      </w:r>
    </w:p>
    <w:p>
      <w:pPr>
        <w:ind w:left="54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Philip R. Gallagher</w:t>
      </w:r>
    </w:p>
    <w:p>
      <w:pPr>
        <w:ind w:left="720" w:hanging="185"/>
        <w:spacing w:after="0" w:line="182"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31"/>
          <w:szCs w:val="31"/>
          <w:color w:val="auto"/>
          <w:vertAlign w:val="subscript"/>
        </w:rPr>
        <w:t>Severance</w:t>
      </w:r>
      <w:r>
        <w:rPr>
          <w:rFonts w:ascii="Arial" w:cs="Arial" w:eastAsia="Arial" w:hAnsi="Arial"/>
          <w:sz w:val="23"/>
          <w:szCs w:val="23"/>
          <w:color w:val="auto"/>
          <w:vertAlign w:val="superscript"/>
        </w:rPr>
        <w:t>(1)</w:t>
      </w:r>
    </w:p>
    <w:p>
      <w:pPr>
        <w:ind w:left="720" w:hanging="185"/>
        <w:spacing w:after="0"/>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Settlement of previously vested stock options</w:t>
      </w:r>
    </w:p>
    <w:p>
      <w:pPr>
        <w:spacing w:after="0" w:line="20" w:lineRule="exact"/>
        <w:rPr>
          <w:rFonts w:ascii="Arial" w:cs="Arial" w:eastAsia="Arial" w:hAnsi="Arial"/>
          <w:sz w:val="17"/>
          <w:szCs w:val="17"/>
          <w:color w:val="auto"/>
        </w:rPr>
      </w:pPr>
    </w:p>
    <w:p>
      <w:pPr>
        <w:ind w:left="720" w:hanging="185"/>
        <w:spacing w:after="0" w:line="188" w:lineRule="auto"/>
        <w:tabs>
          <w:tab w:leader="none" w:pos="720" w:val="left"/>
        </w:tabs>
        <w:numPr>
          <w:ilvl w:val="0"/>
          <w:numId w:val="79"/>
        </w:numPr>
        <w:rPr>
          <w:rFonts w:ascii="Arial" w:cs="Arial" w:eastAsia="Arial" w:hAnsi="Arial"/>
          <w:sz w:val="21"/>
          <w:szCs w:val="21"/>
          <w:color w:val="auto"/>
          <w:vertAlign w:val="superscript"/>
        </w:rPr>
      </w:pPr>
      <w:r>
        <w:rPr>
          <w:rFonts w:ascii="Arial" w:cs="Arial" w:eastAsia="Arial" w:hAnsi="Arial"/>
          <w:sz w:val="13"/>
          <w:szCs w:val="13"/>
          <w:color w:val="auto"/>
        </w:rPr>
        <w:t>Settlement of unvested stock options</w:t>
      </w:r>
      <w:r>
        <w:rPr>
          <w:rFonts w:ascii="Arial" w:cs="Arial" w:eastAsia="Arial" w:hAnsi="Arial"/>
          <w:sz w:val="16"/>
          <w:szCs w:val="16"/>
          <w:color w:val="auto"/>
          <w:vertAlign w:val="superscript"/>
        </w:rPr>
        <w:t>(4)</w:t>
      </w:r>
    </w:p>
    <w:p>
      <w:pPr>
        <w:ind w:left="720" w:hanging="185"/>
        <w:spacing w:after="0" w:line="181"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31"/>
          <w:szCs w:val="31"/>
          <w:color w:val="auto"/>
          <w:vertAlign w:val="subscript"/>
        </w:rPr>
        <w:t>Settlement of RSUs</w:t>
      </w:r>
      <w:r>
        <w:rPr>
          <w:rFonts w:ascii="Arial" w:cs="Arial" w:eastAsia="Arial" w:hAnsi="Arial"/>
          <w:sz w:val="23"/>
          <w:szCs w:val="23"/>
          <w:color w:val="auto"/>
          <w:vertAlign w:val="superscript"/>
        </w:rPr>
        <w:t>(2)(4)</w:t>
      </w:r>
    </w:p>
    <w:p>
      <w:pPr>
        <w:ind w:left="720" w:hanging="185"/>
        <w:spacing w:after="0" w:line="184" w:lineRule="auto"/>
        <w:tabs>
          <w:tab w:leader="none" w:pos="720" w:val="left"/>
        </w:tabs>
        <w:numPr>
          <w:ilvl w:val="0"/>
          <w:numId w:val="79"/>
        </w:numPr>
        <w:rPr>
          <w:rFonts w:ascii="Arial" w:cs="Arial" w:eastAsia="Arial" w:hAnsi="Arial"/>
          <w:sz w:val="26"/>
          <w:szCs w:val="26"/>
          <w:color w:val="auto"/>
          <w:vertAlign w:val="superscript"/>
        </w:rPr>
      </w:pPr>
      <w:r>
        <w:rPr>
          <w:rFonts w:ascii="Arial" w:cs="Arial" w:eastAsia="Arial" w:hAnsi="Arial"/>
          <w:sz w:val="15"/>
          <w:szCs w:val="15"/>
          <w:color w:val="auto"/>
        </w:rPr>
        <w:t>Settlement of PSUs</w:t>
      </w:r>
      <w:r>
        <w:rPr>
          <w:rFonts w:ascii="Arial" w:cs="Arial" w:eastAsia="Arial" w:hAnsi="Arial"/>
          <w:sz w:val="20"/>
          <w:szCs w:val="20"/>
          <w:color w:val="auto"/>
          <w:vertAlign w:val="superscript"/>
        </w:rPr>
        <w:t>(3)</w:t>
      </w:r>
    </w:p>
    <w:p>
      <w:pPr>
        <w:ind w:left="720" w:hanging="185"/>
        <w:spacing w:after="0" w:line="180" w:lineRule="auto"/>
        <w:tabs>
          <w:tab w:leader="none" w:pos="720" w:val="left"/>
        </w:tabs>
        <w:numPr>
          <w:ilvl w:val="0"/>
          <w:numId w:val="79"/>
        </w:numPr>
        <w:rPr>
          <w:rFonts w:ascii="Arial" w:cs="Arial" w:eastAsia="Arial" w:hAnsi="Arial"/>
          <w:sz w:val="25"/>
          <w:szCs w:val="25"/>
          <w:color w:val="auto"/>
          <w:vertAlign w:val="superscript"/>
        </w:rPr>
      </w:pPr>
      <w:r>
        <w:rPr>
          <w:rFonts w:ascii="Arial" w:cs="Arial" w:eastAsia="Arial" w:hAnsi="Arial"/>
          <w:sz w:val="14"/>
          <w:szCs w:val="14"/>
          <w:color w:val="auto"/>
        </w:rPr>
        <w:t>Welfare benefits</w:t>
      </w:r>
    </w:p>
    <w:p>
      <w:pPr>
        <w:ind w:left="720" w:hanging="185"/>
        <w:spacing w:after="0" w:line="180" w:lineRule="auto"/>
        <w:tabs>
          <w:tab w:leader="none" w:pos="720" w:val="left"/>
        </w:tabs>
        <w:numPr>
          <w:ilvl w:val="0"/>
          <w:numId w:val="79"/>
        </w:numPr>
        <w:rPr>
          <w:rFonts w:ascii="Arial" w:cs="Arial" w:eastAsia="Arial" w:hAnsi="Arial"/>
          <w:sz w:val="25"/>
          <w:szCs w:val="25"/>
          <w:color w:val="auto"/>
          <w:vertAlign w:val="superscript"/>
        </w:rPr>
      </w:pPr>
      <w:r>
        <w:rPr>
          <w:rFonts w:ascii="Arial" w:cs="Arial" w:eastAsia="Arial" w:hAnsi="Arial"/>
          <w:sz w:val="14"/>
          <w:szCs w:val="14"/>
          <w:color w:val="auto"/>
        </w:rPr>
        <w:t>Life insurance benefit</w:t>
      </w:r>
    </w:p>
    <w:p>
      <w:pPr>
        <w:ind w:left="720" w:hanging="185"/>
        <w:spacing w:after="0" w:line="180" w:lineRule="auto"/>
        <w:tabs>
          <w:tab w:leader="none" w:pos="720" w:val="left"/>
        </w:tabs>
        <w:numPr>
          <w:ilvl w:val="0"/>
          <w:numId w:val="79"/>
        </w:numPr>
        <w:rPr>
          <w:rFonts w:ascii="Arial" w:cs="Arial" w:eastAsia="Arial" w:hAnsi="Arial"/>
          <w:sz w:val="25"/>
          <w:szCs w:val="25"/>
          <w:color w:val="auto"/>
          <w:vertAlign w:val="superscript"/>
        </w:rPr>
      </w:pPr>
      <w:r>
        <w:rPr>
          <w:rFonts w:ascii="Arial" w:cs="Arial" w:eastAsia="Arial" w:hAnsi="Arial"/>
          <w:sz w:val="14"/>
          <w:szCs w:val="14"/>
          <w:color w:val="auto"/>
        </w:rPr>
        <w:t>Pension</w:t>
      </w:r>
    </w:p>
    <w:p>
      <w:pPr>
        <w:ind w:left="720" w:hanging="185"/>
        <w:spacing w:after="0" w:line="181" w:lineRule="auto"/>
        <w:tabs>
          <w:tab w:leader="none" w:pos="720" w:val="left"/>
        </w:tabs>
        <w:numPr>
          <w:ilvl w:val="0"/>
          <w:numId w:val="79"/>
        </w:numPr>
        <w:rPr>
          <w:rFonts w:ascii="Arial" w:cs="Arial" w:eastAsia="Arial" w:hAnsi="Arial"/>
          <w:sz w:val="35"/>
          <w:szCs w:val="35"/>
          <w:color w:val="auto"/>
          <w:vertAlign w:val="superscript"/>
        </w:rPr>
      </w:pPr>
      <w:r>
        <w:rPr>
          <w:rFonts w:ascii="Arial" w:cs="Arial" w:eastAsia="Arial" w:hAnsi="Arial"/>
          <w:sz w:val="18"/>
          <w:szCs w:val="18"/>
          <w:color w:val="auto"/>
        </w:rPr>
        <w:t>Nonqualified retirement plans</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EFEFE"/>
              </w:rPr>
              <w:t>Company</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FEFEFE"/>
              </w:rPr>
              <w:t>Termination</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FEFEFE"/>
                <w:w w:val="99"/>
              </w:rPr>
              <w:t>Change of</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FEFEFE"/>
              </w:rPr>
              <w:t>Disability</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EFEFE"/>
              </w:rPr>
              <w:t>w/o Cause</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FEFEFE"/>
              </w:rPr>
              <w:t>Control</w:t>
            </w:r>
          </w:p>
        </w:tc>
        <w:tc>
          <w:tcPr>
            <w:tcW w:w="1140" w:type="dxa"/>
            <w:vAlign w:val="bottom"/>
            <w:gridSpan w:val="2"/>
          </w:tcPr>
          <w:p>
            <w:pPr>
              <w:jc w:val="right"/>
              <w:ind w:right="81"/>
              <w:spacing w:after="0"/>
              <w:rPr>
                <w:sz w:val="20"/>
                <w:szCs w:val="20"/>
                <w:color w:val="auto"/>
              </w:rPr>
            </w:pPr>
            <w:r>
              <w:rPr>
                <w:rFonts w:ascii="Arial" w:cs="Arial" w:eastAsia="Arial" w:hAnsi="Arial"/>
                <w:sz w:val="14"/>
                <w:szCs w:val="14"/>
                <w:b w:val="1"/>
                <w:bCs w:val="1"/>
                <w:color w:val="FEFEFE"/>
              </w:rPr>
              <w:t>Retirement</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b w:val="1"/>
                <w:bCs w:val="1"/>
                <w:color w:val="FEFEFE"/>
              </w:rPr>
              <w:t>​ ​</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Death ($)</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 ​</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 ​</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 ​</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 ​</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FEFEFE"/>
              </w:rPr>
              <w:t>($) ​</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 ​ ​</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 ​ ​</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2,875,000</w:t>
            </w:r>
          </w:p>
        </w:tc>
        <w:tc>
          <w:tcPr>
            <w:tcW w:w="10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8,596,250</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r>
      <w:tr>
        <w:trPr>
          <w:trHeight w:val="175"/>
        </w:trPr>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 ​3,368,216</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​3,368,216</w:t>
            </w:r>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​3,368,216</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​3,368,216</w:t>
            </w:r>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​3,368,216 ​</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3,676,074</w:t>
            </w:r>
          </w:p>
        </w:tc>
        <w:tc>
          <w:tcPr>
            <w:tcW w:w="108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3,676,074</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3,676,074</w:t>
            </w:r>
          </w:p>
        </w:tc>
        <w:tc>
          <w:tcPr>
            <w:tcW w:w="11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3,676,074 </w:t>
            </w:r>
            <w:r>
              <w:rPr>
                <w:rFonts w:ascii="Arial" w:cs="Arial" w:eastAsia="Arial" w:hAnsi="Arial"/>
                <w:sz w:val="26"/>
                <w:szCs w:val="26"/>
                <w:color w:val="auto"/>
                <w:vertAlign w:val="superscript"/>
              </w:rPr>
              <w:t>​</w:t>
            </w:r>
          </w:p>
        </w:tc>
      </w:tr>
      <w:tr>
        <w:trPr>
          <w:trHeight w:val="230"/>
        </w:trPr>
        <w:tc>
          <w:tcPr>
            <w:tcW w:w="90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5,137,778</w:t>
            </w:r>
          </w:p>
        </w:tc>
        <w:tc>
          <w:tcPr>
            <w:tcW w:w="10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2,342,949</w:t>
            </w:r>
          </w:p>
        </w:tc>
        <w:tc>
          <w:tcPr>
            <w:tcW w:w="108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2,342,949</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5,137,778</w:t>
            </w:r>
          </w:p>
        </w:tc>
        <w:tc>
          <w:tcPr>
            <w:tcW w:w="11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2,342,949 </w:t>
            </w:r>
            <w:r>
              <w:rPr>
                <w:rFonts w:ascii="Arial" w:cs="Arial" w:eastAsia="Arial" w:hAnsi="Arial"/>
                <w:sz w:val="26"/>
                <w:szCs w:val="26"/>
                <w:color w:val="auto"/>
                <w:vertAlign w:val="superscript"/>
              </w:rPr>
              <w:t>​</w:t>
            </w:r>
          </w:p>
        </w:tc>
      </w:tr>
      <w:tr>
        <w:trPr>
          <w:trHeight w:val="229"/>
        </w:trPr>
        <w:tc>
          <w:tcPr>
            <w:tcW w:w="90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1,426,676</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4,280,027</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79,063</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1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1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153,942</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153,942</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153,942</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153,942</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16" w:lineRule="exact"/>
              <w:rPr>
                <w:sz w:val="20"/>
                <w:szCs w:val="20"/>
                <w:color w:val="auto"/>
              </w:rPr>
            </w:pPr>
            <w:r>
              <w:rPr>
                <w:rFonts w:ascii="Arial" w:cs="Arial" w:eastAsia="Arial" w:hAnsi="Arial"/>
                <w:sz w:val="14"/>
                <w:szCs w:val="14"/>
                <w:color w:val="auto"/>
              </w:rPr>
              <w:t xml:space="preserve">153,942 </w:t>
            </w:r>
            <w:r>
              <w:rPr>
                <w:rFonts w:ascii="Arial" w:cs="Arial" w:eastAsia="Arial" w:hAnsi="Arial"/>
                <w:sz w:val="25"/>
                <w:szCs w:val="25"/>
                <w:color w:val="auto"/>
                <w:vertAlign w:val="superscript"/>
              </w:rPr>
              <w:t>​</w:t>
            </w:r>
          </w:p>
        </w:tc>
      </w:tr>
      <w:tr>
        <w:trPr>
          <w:trHeight w:val="473"/>
        </w:trPr>
        <w:tc>
          <w:tcPr>
            <w:tcW w:w="90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7,165,052</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r>
      <w:tr>
        <w:trPr>
          <w:trHeight w:val="512"/>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521"/>
              <w:spacing w:after="0"/>
              <w:rPr>
                <w:sz w:val="20"/>
                <w:szCs w:val="20"/>
                <w:color w:val="auto"/>
              </w:rPr>
            </w:pPr>
            <w:r>
              <w:rPr>
                <w:rFonts w:ascii="Arial" w:cs="Arial" w:eastAsia="Arial" w:hAnsi="Arial"/>
                <w:sz w:val="18"/>
                <w:szCs w:val="18"/>
                <w:color w:val="auto"/>
                <w:w w:val="99"/>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270510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-213995</wp:posOffset>
            </wp:positionV>
            <wp:extent cx="124333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2">
            <w:col w:w="4380" w:space="720"/>
            <w:col w:w="5180"/>
          </w:cols>
          <w:pgMar w:left="580" w:top="90" w:right="10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6"/>
            <w:vMerge w:val="restart"/>
          </w:tcPr>
          <w:p>
            <w:pPr>
              <w:jc w:val="right"/>
              <w:ind w:right="394"/>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3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436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160" w:type="dxa"/>
            <w:vAlign w:val="bottom"/>
            <w:shd w:val="clear" w:color="auto" w:fill="53C072"/>
          </w:tcPr>
          <w:p>
            <w:pPr>
              <w:spacing w:after="0"/>
              <w:rPr>
                <w:sz w:val="15"/>
                <w:szCs w:val="15"/>
                <w:color w:val="auto"/>
              </w:rPr>
            </w:pPr>
          </w:p>
        </w:tc>
        <w:tc>
          <w:tcPr>
            <w:tcW w:w="8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340" w:type="dxa"/>
            <w:vAlign w:val="bottom"/>
            <w:shd w:val="clear" w:color="auto" w:fill="53C072"/>
          </w:tcPr>
          <w:p>
            <w:pPr>
              <w:spacing w:after="0"/>
              <w:rPr>
                <w:sz w:val="15"/>
                <w:szCs w:val="15"/>
                <w:color w:val="auto"/>
              </w:rPr>
            </w:pPr>
          </w:p>
        </w:tc>
        <w:tc>
          <w:tcPr>
            <w:tcW w:w="68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260" w:type="dxa"/>
            <w:vAlign w:val="bottom"/>
            <w:shd w:val="clear" w:color="auto" w:fill="53C072"/>
          </w:tcPr>
          <w:p>
            <w:pPr>
              <w:spacing w:after="0"/>
              <w:rPr>
                <w:sz w:val="15"/>
                <w:szCs w:val="15"/>
                <w:color w:val="auto"/>
              </w:rPr>
            </w:pPr>
          </w:p>
        </w:tc>
        <w:tc>
          <w:tcPr>
            <w:tcW w:w="760" w:type="dxa"/>
            <w:vAlign w:val="bottom"/>
            <w:tcBorders>
              <w:right w:val="single" w:sz="8" w:color="53C072"/>
            </w:tcBorders>
            <w:shd w:val="clear" w:color="auto" w:fill="53C07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6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9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Change of</w:t>
            </w:r>
          </w:p>
        </w:tc>
        <w:tc>
          <w:tcPr>
            <w:tcW w:w="60" w:type="dxa"/>
            <w:vAlign w:val="bottom"/>
            <w:shd w:val="clear" w:color="auto" w:fill="53C072"/>
          </w:tcPr>
          <w:p>
            <w:pPr>
              <w:spacing w:after="0"/>
              <w:rPr>
                <w:sz w:val="14"/>
                <w:szCs w:val="14"/>
                <w:color w:val="auto"/>
              </w:rPr>
            </w:pPr>
          </w:p>
        </w:tc>
        <w:tc>
          <w:tcPr>
            <w:tcW w:w="26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6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12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8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340" w:type="dxa"/>
            <w:vAlign w:val="bottom"/>
            <w:shd w:val="clear" w:color="auto" w:fill="53C072"/>
          </w:tcPr>
          <w:p>
            <w:pPr>
              <w:spacing w:after="0"/>
              <w:rPr>
                <w:sz w:val="14"/>
                <w:szCs w:val="14"/>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60" w:type="dxa"/>
            <w:vAlign w:val="bottom"/>
            <w:shd w:val="clear" w:color="auto" w:fill="53C072"/>
          </w:tcPr>
          <w:p>
            <w:pPr>
              <w:spacing w:after="0"/>
              <w:rPr>
                <w:sz w:val="14"/>
                <w:szCs w:val="14"/>
                <w:color w:val="auto"/>
              </w:rPr>
            </w:pPr>
          </w:p>
        </w:tc>
        <w:tc>
          <w:tcPr>
            <w:tcW w:w="1020" w:type="dxa"/>
            <w:vAlign w:val="bottom"/>
            <w:tcBorders>
              <w:right w:val="single" w:sz="8" w:color="53C072"/>
            </w:tcBorders>
            <w:gridSpan w:val="2"/>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w:t>
            </w:r>
          </w:p>
        </w:tc>
        <w:tc>
          <w:tcPr>
            <w:tcW w:w="436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20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100" w:type="dxa"/>
            <w:vAlign w:val="bottom"/>
            <w:shd w:val="clear" w:color="auto" w:fill="53C072"/>
          </w:tcPr>
          <w:p>
            <w:pPr>
              <w:spacing w:after="0"/>
              <w:rPr>
                <w:sz w:val="15"/>
                <w:szCs w:val="15"/>
                <w:color w:val="auto"/>
              </w:rPr>
            </w:pPr>
          </w:p>
        </w:tc>
        <w:tc>
          <w:tcPr>
            <w:tcW w:w="200" w:type="dxa"/>
            <w:vAlign w:val="bottom"/>
            <w:gridSpan w:val="2"/>
            <w:shd w:val="clear" w:color="auto" w:fill="53C072"/>
          </w:tcPr>
          <w:p>
            <w:pPr>
              <w:ind w:left="2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20" w:type="dxa"/>
            <w:vAlign w:val="bottom"/>
            <w:shd w:val="clear" w:color="auto" w:fill="53C072"/>
          </w:tcPr>
          <w:p>
            <w:pPr>
              <w:spacing w:after="0"/>
              <w:rPr>
                <w:sz w:val="15"/>
                <w:szCs w:val="15"/>
                <w:color w:val="auto"/>
              </w:rPr>
            </w:pPr>
          </w:p>
        </w:tc>
        <w:tc>
          <w:tcPr>
            <w:tcW w:w="1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8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53C072"/>
          </w:tcPr>
          <w:p>
            <w:pPr>
              <w:spacing w:after="0"/>
              <w:rPr>
                <w:sz w:val="15"/>
                <w:szCs w:val="15"/>
                <w:color w:val="auto"/>
              </w:rPr>
            </w:pPr>
          </w:p>
        </w:tc>
        <w:tc>
          <w:tcPr>
            <w:tcW w:w="2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8"/>
        </w:trPr>
        <w:tc>
          <w:tcPr>
            <w:tcW w:w="40" w:type="dxa"/>
            <w:vAlign w:val="bottom"/>
            <w:shd w:val="clear" w:color="auto" w:fill="CBECD5"/>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Arial" w:cs="Arial" w:eastAsia="Arial" w:hAnsi="Arial"/>
                <w:sz w:val="17"/>
                <w:szCs w:val="17"/>
                <w:color w:val="auto"/>
              </w:rPr>
              <w:t>​ ​</w:t>
            </w:r>
          </w:p>
        </w:tc>
        <w:tc>
          <w:tcPr>
            <w:tcW w:w="700" w:type="dxa"/>
            <w:vAlign w:val="bottom"/>
          </w:tcPr>
          <w:p>
            <w:pPr>
              <w:spacing w:after="0"/>
              <w:rPr>
                <w:sz w:val="12"/>
                <w:szCs w:val="12"/>
                <w:color w:val="auto"/>
              </w:rPr>
            </w:pPr>
          </w:p>
        </w:tc>
        <w:tc>
          <w:tcPr>
            <w:tcW w:w="30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 ​ ​</w:t>
            </w:r>
          </w:p>
        </w:tc>
        <w:tc>
          <w:tcPr>
            <w:tcW w:w="70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800" w:type="dxa"/>
            <w:vAlign w:val="bottom"/>
          </w:tcPr>
          <w:p>
            <w:pPr>
              <w:spacing w:after="0"/>
              <w:rPr>
                <w:sz w:val="12"/>
                <w:szCs w:val="12"/>
                <w:color w:val="auto"/>
              </w:rPr>
            </w:pPr>
          </w:p>
        </w:tc>
        <w:tc>
          <w:tcPr>
            <w:tcW w:w="34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6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40" w:type="dxa"/>
            <w:vAlign w:val="bottom"/>
            <w:shd w:val="clear" w:color="auto" w:fill="CBECD5"/>
          </w:tcPr>
          <w:p>
            <w:pPr>
              <w:spacing w:after="0"/>
              <w:rPr>
                <w:sz w:val="5"/>
                <w:szCs w:val="5"/>
                <w:color w:val="auto"/>
              </w:rPr>
            </w:pPr>
          </w:p>
        </w:tc>
        <w:tc>
          <w:tcPr>
            <w:tcW w:w="4480" w:type="dxa"/>
            <w:vAlign w:val="bottom"/>
            <w:gridSpan w:val="2"/>
          </w:tcPr>
          <w:p>
            <w:pPr>
              <w:spacing w:after="0" w:line="68" w:lineRule="exact"/>
              <w:rPr>
                <w:sz w:val="20"/>
                <w:szCs w:val="20"/>
                <w:color w:val="auto"/>
              </w:rPr>
            </w:pPr>
            <w:r>
              <w:rPr>
                <w:rFonts w:ascii="Arial" w:cs="Arial" w:eastAsia="Arial" w:hAnsi="Arial"/>
                <w:sz w:val="7"/>
                <w:szCs w:val="7"/>
                <w:color w:val="auto"/>
              </w:rPr>
              <w:t>Kenneth Jacobson</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BECD5"/>
          </w:tcPr>
          <w:p>
            <w:pPr>
              <w:spacing w:after="0"/>
              <w:rPr>
                <w:sz w:val="12"/>
                <w:szCs w:val="12"/>
                <w:color w:val="auto"/>
              </w:rPr>
            </w:pPr>
          </w:p>
        </w:tc>
        <w:tc>
          <w:tcPr>
            <w:tcW w:w="120" w:type="dxa"/>
            <w:vAlign w:val="bottom"/>
            <w:shd w:val="clear" w:color="auto" w:fill="CBECD5"/>
          </w:tcPr>
          <w:p>
            <w:pPr>
              <w:spacing w:after="0" w:line="149" w:lineRule="exact"/>
              <w:rPr>
                <w:sz w:val="20"/>
                <w:szCs w:val="20"/>
                <w:color w:val="auto"/>
              </w:rPr>
            </w:pPr>
            <w:r>
              <w:rPr>
                <w:rFonts w:ascii="Arial" w:cs="Arial" w:eastAsia="Arial" w:hAnsi="Arial"/>
                <w:sz w:val="17"/>
                <w:szCs w:val="17"/>
                <w:color w:val="auto"/>
              </w:rPr>
              <w:t>​</w:t>
            </w:r>
          </w:p>
        </w:tc>
        <w:tc>
          <w:tcPr>
            <w:tcW w:w="4360" w:type="dxa"/>
            <w:vAlign w:val="bottom"/>
            <w:shd w:val="clear" w:color="auto" w:fill="CBECD5"/>
          </w:tcPr>
          <w:p>
            <w:pPr>
              <w:ind w:left="9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BECD5"/>
          </w:tcPr>
          <w:p>
            <w:pPr>
              <w:spacing w:after="0"/>
              <w:rPr>
                <w:sz w:val="12"/>
                <w:szCs w:val="12"/>
                <w:color w:val="auto"/>
              </w:rPr>
            </w:pPr>
          </w:p>
        </w:tc>
        <w:tc>
          <w:tcPr>
            <w:tcW w:w="200" w:type="dxa"/>
            <w:vAlign w:val="bottom"/>
            <w:gridSpan w:val="2"/>
            <w:shd w:val="clear" w:color="auto" w:fill="CBECD5"/>
          </w:tcPr>
          <w:p>
            <w:pPr>
              <w:spacing w:after="0" w:line="149" w:lineRule="exact"/>
              <w:rPr>
                <w:sz w:val="20"/>
                <w:szCs w:val="20"/>
                <w:color w:val="auto"/>
              </w:rPr>
            </w:pPr>
            <w:r>
              <w:rPr>
                <w:rFonts w:ascii="Arial" w:cs="Arial" w:eastAsia="Arial" w:hAnsi="Arial"/>
                <w:sz w:val="17"/>
                <w:szCs w:val="17"/>
                <w:color w:val="auto"/>
              </w:rPr>
              <w:t>​ ​</w:t>
            </w:r>
          </w:p>
        </w:tc>
        <w:tc>
          <w:tcPr>
            <w:tcW w:w="700" w:type="dxa"/>
            <w:vAlign w:val="bottom"/>
            <w:vMerge w:val="restart"/>
            <w:shd w:val="clear" w:color="auto" w:fill="CBECD5"/>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2"/>
                <w:szCs w:val="12"/>
                <w:color w:val="auto"/>
              </w:rPr>
            </w:pPr>
          </w:p>
        </w:tc>
        <w:tc>
          <w:tcPr>
            <w:tcW w:w="200" w:type="dxa"/>
            <w:vAlign w:val="bottom"/>
            <w:gridSpan w:val="2"/>
            <w:shd w:val="clear" w:color="auto" w:fill="CBECD5"/>
          </w:tcPr>
          <w:p>
            <w:pPr>
              <w:ind w:left="20"/>
              <w:spacing w:after="0" w:line="149" w:lineRule="exact"/>
              <w:rPr>
                <w:sz w:val="20"/>
                <w:szCs w:val="20"/>
                <w:color w:val="auto"/>
              </w:rPr>
            </w:pPr>
            <w:r>
              <w:rPr>
                <w:rFonts w:ascii="Arial" w:cs="Arial" w:eastAsia="Arial" w:hAnsi="Arial"/>
                <w:sz w:val="17"/>
                <w:szCs w:val="17"/>
                <w:color w:val="auto"/>
              </w:rPr>
              <w:t>​ ​</w:t>
            </w:r>
          </w:p>
        </w:tc>
        <w:tc>
          <w:tcPr>
            <w:tcW w:w="700" w:type="dxa"/>
            <w:vAlign w:val="bottom"/>
            <w:vMerge w:val="restart"/>
            <w:shd w:val="clear" w:color="auto" w:fill="CBECD5"/>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2"/>
                <w:szCs w:val="12"/>
                <w:color w:val="auto"/>
              </w:rPr>
            </w:pPr>
          </w:p>
        </w:tc>
        <w:tc>
          <w:tcPr>
            <w:tcW w:w="160" w:type="dxa"/>
            <w:vAlign w:val="bottom"/>
            <w:shd w:val="clear" w:color="auto" w:fill="CBECD5"/>
          </w:tcPr>
          <w:p>
            <w:pPr>
              <w:jc w:val="right"/>
              <w:spacing w:after="0" w:line="149" w:lineRule="exact"/>
              <w:rPr>
                <w:sz w:val="20"/>
                <w:szCs w:val="20"/>
                <w:color w:val="auto"/>
              </w:rPr>
            </w:pPr>
            <w:r>
              <w:rPr>
                <w:rFonts w:ascii="Arial" w:cs="Arial" w:eastAsia="Arial" w:hAnsi="Arial"/>
                <w:sz w:val="17"/>
                <w:szCs w:val="17"/>
                <w:color w:val="auto"/>
              </w:rPr>
              <w:t>​ ​</w:t>
            </w:r>
          </w:p>
        </w:tc>
        <w:tc>
          <w:tcPr>
            <w:tcW w:w="800" w:type="dxa"/>
            <w:vAlign w:val="bottom"/>
            <w:vMerge w:val="restart"/>
            <w:shd w:val="clear" w:color="auto" w:fill="CBECD5"/>
          </w:tcPr>
          <w:p>
            <w:pPr>
              <w:jc w:val="right"/>
              <w:spacing w:after="0" w:line="203" w:lineRule="exact"/>
              <w:rPr>
                <w:sz w:val="20"/>
                <w:szCs w:val="20"/>
                <w:color w:val="auto"/>
              </w:rPr>
            </w:pPr>
            <w:r>
              <w:rPr>
                <w:rFonts w:ascii="Arial" w:cs="Arial" w:eastAsia="Arial" w:hAnsi="Arial"/>
                <w:sz w:val="18"/>
                <w:szCs w:val="18"/>
                <w:color w:val="auto"/>
                <w:w w:val="97"/>
              </w:rPr>
              <w:t>1,000,000</w:t>
            </w:r>
          </w:p>
        </w:tc>
        <w:tc>
          <w:tcPr>
            <w:tcW w:w="340" w:type="dxa"/>
            <w:vAlign w:val="bottom"/>
            <w:shd w:val="clear" w:color="auto" w:fill="CBECD5"/>
          </w:tcPr>
          <w:p>
            <w:pPr>
              <w:ind w:left="120"/>
              <w:spacing w:after="0" w:line="149" w:lineRule="exact"/>
              <w:rPr>
                <w:sz w:val="20"/>
                <w:szCs w:val="20"/>
                <w:color w:val="auto"/>
              </w:rPr>
            </w:pPr>
            <w:r>
              <w:rPr>
                <w:rFonts w:ascii="Arial" w:cs="Arial" w:eastAsia="Arial" w:hAnsi="Arial"/>
                <w:sz w:val="17"/>
                <w:szCs w:val="17"/>
                <w:color w:val="auto"/>
              </w:rPr>
              <w:t>​ ​</w:t>
            </w:r>
          </w:p>
        </w:tc>
        <w:tc>
          <w:tcPr>
            <w:tcW w:w="680" w:type="dxa"/>
            <w:vAlign w:val="bottom"/>
            <w:shd w:val="clear" w:color="auto" w:fill="CBECD5"/>
          </w:tcPr>
          <w:p>
            <w:pPr>
              <w:spacing w:after="0"/>
              <w:rPr>
                <w:sz w:val="12"/>
                <w:szCs w:val="12"/>
                <w:color w:val="auto"/>
              </w:rPr>
            </w:pPr>
          </w:p>
        </w:tc>
        <w:tc>
          <w:tcPr>
            <w:tcW w:w="60" w:type="dxa"/>
            <w:vAlign w:val="bottom"/>
            <w:shd w:val="clear" w:color="auto" w:fill="CBECD5"/>
          </w:tcPr>
          <w:p>
            <w:pPr>
              <w:spacing w:after="0"/>
              <w:rPr>
                <w:sz w:val="12"/>
                <w:szCs w:val="12"/>
                <w:color w:val="auto"/>
              </w:rPr>
            </w:pPr>
          </w:p>
        </w:tc>
        <w:tc>
          <w:tcPr>
            <w:tcW w:w="260" w:type="dxa"/>
            <w:vAlign w:val="bottom"/>
            <w:shd w:val="clear" w:color="auto" w:fill="CBECD5"/>
          </w:tcPr>
          <w:p>
            <w:pPr>
              <w:jc w:val="right"/>
              <w:spacing w:after="0" w:line="149" w:lineRule="exact"/>
              <w:rPr>
                <w:sz w:val="20"/>
                <w:szCs w:val="20"/>
                <w:color w:val="auto"/>
              </w:rPr>
            </w:pPr>
            <w:r>
              <w:rPr>
                <w:rFonts w:ascii="Arial" w:cs="Arial" w:eastAsia="Arial" w:hAnsi="Arial"/>
                <w:sz w:val="17"/>
                <w:szCs w:val="17"/>
                <w:color w:val="auto"/>
              </w:rPr>
              <w:t>​ ​</w:t>
            </w:r>
          </w:p>
        </w:tc>
        <w:tc>
          <w:tcPr>
            <w:tcW w:w="760" w:type="dxa"/>
            <w:vAlign w:val="bottom"/>
            <w:tcBorders>
              <w:right w:val="single" w:sz="8" w:color="CBECD5"/>
            </w:tcBorders>
            <w:vMerge w:val="restart"/>
            <w:shd w:val="clear" w:color="auto" w:fill="CBECD5"/>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40" w:type="dxa"/>
            <w:vAlign w:val="bottom"/>
            <w:shd w:val="clear" w:color="auto" w:fill="CBECD5"/>
          </w:tcPr>
          <w:p>
            <w:pPr>
              <w:spacing w:after="0"/>
              <w:rPr>
                <w:sz w:val="4"/>
                <w:szCs w:val="4"/>
                <w:color w:val="auto"/>
              </w:rPr>
            </w:pPr>
          </w:p>
        </w:tc>
        <w:tc>
          <w:tcPr>
            <w:tcW w:w="120" w:type="dxa"/>
            <w:vAlign w:val="bottom"/>
            <w:shd w:val="clear" w:color="auto" w:fill="CBECD5"/>
          </w:tcPr>
          <w:p>
            <w:pPr>
              <w:spacing w:after="0"/>
              <w:rPr>
                <w:sz w:val="4"/>
                <w:szCs w:val="4"/>
                <w:color w:val="auto"/>
              </w:rPr>
            </w:pPr>
          </w:p>
        </w:tc>
        <w:tc>
          <w:tcPr>
            <w:tcW w:w="4360" w:type="dxa"/>
            <w:vAlign w:val="bottom"/>
            <w:shd w:val="clear" w:color="auto" w:fill="CBECD5"/>
          </w:tcPr>
          <w:p>
            <w:pPr>
              <w:ind w:left="60"/>
              <w:spacing w:after="0" w:line="55" w:lineRule="exact"/>
              <w:rPr>
                <w:sz w:val="20"/>
                <w:szCs w:val="20"/>
                <w:color w:val="auto"/>
              </w:rPr>
            </w:pPr>
            <w:r>
              <w:rPr>
                <w:rFonts w:ascii="Arial" w:cs="Arial" w:eastAsia="Arial" w:hAnsi="Arial"/>
                <w:sz w:val="6"/>
                <w:szCs w:val="6"/>
                <w:color w:val="auto"/>
              </w:rPr>
              <w:t>Severance</w:t>
            </w:r>
          </w:p>
        </w:tc>
        <w:tc>
          <w:tcPr>
            <w:tcW w:w="120" w:type="dxa"/>
            <w:vAlign w:val="bottom"/>
            <w:shd w:val="clear" w:color="auto" w:fill="CBECD5"/>
          </w:tcPr>
          <w:p>
            <w:pPr>
              <w:spacing w:after="0"/>
              <w:rPr>
                <w:sz w:val="4"/>
                <w:szCs w:val="4"/>
                <w:color w:val="auto"/>
              </w:rPr>
            </w:pPr>
          </w:p>
        </w:tc>
        <w:tc>
          <w:tcPr>
            <w:tcW w:w="100" w:type="dxa"/>
            <w:vAlign w:val="bottom"/>
            <w:shd w:val="clear" w:color="auto" w:fill="CBECD5"/>
          </w:tcPr>
          <w:p>
            <w:pPr>
              <w:spacing w:after="0"/>
              <w:rPr>
                <w:sz w:val="4"/>
                <w:szCs w:val="4"/>
                <w:color w:val="auto"/>
              </w:rPr>
            </w:pPr>
          </w:p>
        </w:tc>
        <w:tc>
          <w:tcPr>
            <w:tcW w:w="100" w:type="dxa"/>
            <w:vAlign w:val="bottom"/>
            <w:shd w:val="clear" w:color="auto" w:fill="CBECD5"/>
          </w:tcPr>
          <w:p>
            <w:pPr>
              <w:spacing w:after="0"/>
              <w:rPr>
                <w:sz w:val="4"/>
                <w:szCs w:val="4"/>
                <w:color w:val="auto"/>
              </w:rPr>
            </w:pPr>
          </w:p>
        </w:tc>
        <w:tc>
          <w:tcPr>
            <w:tcW w:w="700" w:type="dxa"/>
            <w:vAlign w:val="bottom"/>
            <w:vMerge w:val="continue"/>
            <w:shd w:val="clear" w:color="auto" w:fill="CBECD5"/>
          </w:tcPr>
          <w:p>
            <w:pPr>
              <w:spacing w:after="0"/>
              <w:rPr>
                <w:sz w:val="4"/>
                <w:szCs w:val="4"/>
                <w:color w:val="auto"/>
              </w:rPr>
            </w:pPr>
          </w:p>
        </w:tc>
        <w:tc>
          <w:tcPr>
            <w:tcW w:w="100" w:type="dxa"/>
            <w:vAlign w:val="bottom"/>
            <w:shd w:val="clear" w:color="auto" w:fill="CBECD5"/>
          </w:tcPr>
          <w:p>
            <w:pPr>
              <w:spacing w:after="0"/>
              <w:rPr>
                <w:sz w:val="4"/>
                <w:szCs w:val="4"/>
                <w:color w:val="auto"/>
              </w:rPr>
            </w:pPr>
          </w:p>
        </w:tc>
        <w:tc>
          <w:tcPr>
            <w:tcW w:w="120" w:type="dxa"/>
            <w:vAlign w:val="bottom"/>
            <w:shd w:val="clear" w:color="auto" w:fill="CBECD5"/>
          </w:tcPr>
          <w:p>
            <w:pPr>
              <w:spacing w:after="0"/>
              <w:rPr>
                <w:sz w:val="4"/>
                <w:szCs w:val="4"/>
                <w:color w:val="auto"/>
              </w:rPr>
            </w:pPr>
          </w:p>
        </w:tc>
        <w:tc>
          <w:tcPr>
            <w:tcW w:w="80" w:type="dxa"/>
            <w:vAlign w:val="bottom"/>
            <w:shd w:val="clear" w:color="auto" w:fill="CBECD5"/>
          </w:tcPr>
          <w:p>
            <w:pPr>
              <w:spacing w:after="0"/>
              <w:rPr>
                <w:sz w:val="4"/>
                <w:szCs w:val="4"/>
                <w:color w:val="auto"/>
              </w:rPr>
            </w:pPr>
          </w:p>
        </w:tc>
        <w:tc>
          <w:tcPr>
            <w:tcW w:w="700" w:type="dxa"/>
            <w:vAlign w:val="bottom"/>
            <w:vMerge w:val="continue"/>
            <w:shd w:val="clear" w:color="auto" w:fill="CBECD5"/>
          </w:tcPr>
          <w:p>
            <w:pPr>
              <w:spacing w:after="0"/>
              <w:rPr>
                <w:sz w:val="4"/>
                <w:szCs w:val="4"/>
                <w:color w:val="auto"/>
              </w:rPr>
            </w:pPr>
          </w:p>
        </w:tc>
        <w:tc>
          <w:tcPr>
            <w:tcW w:w="120" w:type="dxa"/>
            <w:vAlign w:val="bottom"/>
            <w:shd w:val="clear" w:color="auto" w:fill="CBECD5"/>
          </w:tcPr>
          <w:p>
            <w:pPr>
              <w:spacing w:after="0"/>
              <w:rPr>
                <w:sz w:val="4"/>
                <w:szCs w:val="4"/>
                <w:color w:val="auto"/>
              </w:rPr>
            </w:pPr>
          </w:p>
        </w:tc>
        <w:tc>
          <w:tcPr>
            <w:tcW w:w="160" w:type="dxa"/>
            <w:vAlign w:val="bottom"/>
            <w:shd w:val="clear" w:color="auto" w:fill="CBECD5"/>
          </w:tcPr>
          <w:p>
            <w:pPr>
              <w:spacing w:after="0"/>
              <w:rPr>
                <w:sz w:val="4"/>
                <w:szCs w:val="4"/>
                <w:color w:val="auto"/>
              </w:rPr>
            </w:pPr>
          </w:p>
        </w:tc>
        <w:tc>
          <w:tcPr>
            <w:tcW w:w="800" w:type="dxa"/>
            <w:vAlign w:val="bottom"/>
            <w:vMerge w:val="continue"/>
            <w:shd w:val="clear" w:color="auto" w:fill="CBECD5"/>
          </w:tcPr>
          <w:p>
            <w:pPr>
              <w:spacing w:after="0"/>
              <w:rPr>
                <w:sz w:val="4"/>
                <w:szCs w:val="4"/>
                <w:color w:val="auto"/>
              </w:rPr>
            </w:pPr>
          </w:p>
        </w:tc>
        <w:tc>
          <w:tcPr>
            <w:tcW w:w="1080" w:type="dxa"/>
            <w:vAlign w:val="bottom"/>
            <w:gridSpan w:val="3"/>
            <w:shd w:val="clear" w:color="auto" w:fill="CBECD5"/>
          </w:tcPr>
          <w:p>
            <w:pPr>
              <w:ind w:left="240"/>
              <w:spacing w:after="0" w:line="55" w:lineRule="exact"/>
              <w:rPr>
                <w:sz w:val="20"/>
                <w:szCs w:val="20"/>
                <w:color w:val="auto"/>
              </w:rPr>
            </w:pPr>
            <w:r>
              <w:rPr>
                <w:rFonts w:ascii="Arial" w:cs="Arial" w:eastAsia="Arial" w:hAnsi="Arial"/>
                <w:sz w:val="6"/>
                <w:szCs w:val="6"/>
                <w:color w:val="auto"/>
              </w:rPr>
              <w:t>2,990,000</w:t>
            </w:r>
          </w:p>
        </w:tc>
        <w:tc>
          <w:tcPr>
            <w:tcW w:w="260" w:type="dxa"/>
            <w:vAlign w:val="bottom"/>
            <w:shd w:val="clear" w:color="auto" w:fill="CBECD5"/>
          </w:tcPr>
          <w:p>
            <w:pPr>
              <w:spacing w:after="0"/>
              <w:rPr>
                <w:sz w:val="4"/>
                <w:szCs w:val="4"/>
                <w:color w:val="auto"/>
              </w:rPr>
            </w:pPr>
          </w:p>
        </w:tc>
        <w:tc>
          <w:tcPr>
            <w:tcW w:w="760" w:type="dxa"/>
            <w:vAlign w:val="bottom"/>
            <w:tcBorders>
              <w:right w:val="single" w:sz="8" w:color="CBECD5"/>
            </w:tcBorders>
            <w:vMerge w:val="continue"/>
            <w:shd w:val="clear" w:color="auto" w:fill="CBECD5"/>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gridSpan w:val="2"/>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gridSpan w:val="2"/>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BECD5"/>
          </w:tcPr>
          <w:p>
            <w:pPr>
              <w:spacing w:after="0"/>
              <w:rPr>
                <w:sz w:val="15"/>
                <w:szCs w:val="15"/>
                <w:color w:val="auto"/>
              </w:rPr>
            </w:pPr>
          </w:p>
        </w:tc>
        <w:tc>
          <w:tcPr>
            <w:tcW w:w="120" w:type="dxa"/>
            <w:vAlign w:val="bottom"/>
            <w:shd w:val="clear" w:color="auto" w:fill="CBECD5"/>
          </w:tcPr>
          <w:p>
            <w:pPr>
              <w:spacing w:after="0" w:line="175" w:lineRule="exact"/>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162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BECD5"/>
          </w:tcPr>
          <w:p>
            <w:pPr>
              <w:spacing w:after="0"/>
              <w:rPr>
                <w:sz w:val="15"/>
                <w:szCs w:val="15"/>
                <w:color w:val="auto"/>
              </w:rPr>
            </w:pPr>
          </w:p>
        </w:tc>
        <w:tc>
          <w:tcPr>
            <w:tcW w:w="100" w:type="dxa"/>
            <w:vAlign w:val="bottom"/>
            <w:shd w:val="clear" w:color="auto" w:fill="CBECD5"/>
          </w:tcPr>
          <w:p>
            <w:pPr>
              <w:spacing w:after="0" w:line="175" w:lineRule="exact"/>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line="175" w:lineRule="exact"/>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spacing w:after="0"/>
              <w:rPr>
                <w:sz w:val="15"/>
                <w:szCs w:val="15"/>
                <w:color w:val="auto"/>
              </w:rPr>
            </w:pPr>
          </w:p>
        </w:tc>
        <w:tc>
          <w:tcPr>
            <w:tcW w:w="100" w:type="dxa"/>
            <w:vAlign w:val="bottom"/>
            <w:shd w:val="clear" w:color="auto" w:fill="CBECD5"/>
          </w:tcPr>
          <w:p>
            <w:pPr>
              <w:spacing w:after="0"/>
              <w:rPr>
                <w:sz w:val="15"/>
                <w:szCs w:val="15"/>
                <w:color w:val="auto"/>
              </w:rPr>
            </w:pPr>
          </w:p>
        </w:tc>
        <w:tc>
          <w:tcPr>
            <w:tcW w:w="200" w:type="dxa"/>
            <w:vAlign w:val="bottom"/>
            <w:gridSpan w:val="2"/>
            <w:shd w:val="clear" w:color="auto" w:fill="CBECD5"/>
          </w:tcPr>
          <w:p>
            <w:pPr>
              <w:ind w:left="20"/>
              <w:spacing w:after="0" w:line="175" w:lineRule="exact"/>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5"/>
                <w:szCs w:val="15"/>
                <w:color w:val="auto"/>
              </w:rPr>
            </w:pPr>
          </w:p>
        </w:tc>
        <w:tc>
          <w:tcPr>
            <w:tcW w:w="160" w:type="dxa"/>
            <w:vAlign w:val="bottom"/>
            <w:shd w:val="clear" w:color="auto" w:fill="CBECD5"/>
          </w:tcPr>
          <w:p>
            <w:pPr>
              <w:jc w:val="right"/>
              <w:spacing w:after="0" w:line="175" w:lineRule="exact"/>
              <w:rPr>
                <w:sz w:val="20"/>
                <w:szCs w:val="20"/>
                <w:color w:val="auto"/>
              </w:rPr>
            </w:pPr>
            <w:r>
              <w:rPr>
                <w:rFonts w:ascii="Arial" w:cs="Arial" w:eastAsia="Arial" w:hAnsi="Arial"/>
                <w:sz w:val="18"/>
                <w:szCs w:val="18"/>
                <w:color w:val="auto"/>
              </w:rPr>
              <w:t>​ ​</w:t>
            </w:r>
          </w:p>
        </w:tc>
        <w:tc>
          <w:tcPr>
            <w:tcW w:w="80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line="175" w:lineRule="exact"/>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spacing w:after="0"/>
              <w:rPr>
                <w:sz w:val="15"/>
                <w:szCs w:val="15"/>
                <w:color w:val="auto"/>
              </w:rPr>
            </w:pPr>
          </w:p>
        </w:tc>
        <w:tc>
          <w:tcPr>
            <w:tcW w:w="60" w:type="dxa"/>
            <w:vAlign w:val="bottom"/>
            <w:shd w:val="clear" w:color="auto" w:fill="CBECD5"/>
          </w:tcPr>
          <w:p>
            <w:pPr>
              <w:spacing w:after="0"/>
              <w:rPr>
                <w:sz w:val="15"/>
                <w:szCs w:val="15"/>
                <w:color w:val="auto"/>
              </w:rPr>
            </w:pPr>
          </w:p>
        </w:tc>
        <w:tc>
          <w:tcPr>
            <w:tcW w:w="260" w:type="dxa"/>
            <w:vAlign w:val="bottom"/>
            <w:shd w:val="clear" w:color="auto" w:fill="CBECD5"/>
          </w:tcPr>
          <w:p>
            <w:pPr>
              <w:jc w:val="right"/>
              <w:spacing w:after="0" w:line="175" w:lineRule="exact"/>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4360" w:type="dxa"/>
            <w:vAlign w:val="bottom"/>
            <w:shd w:val="clear" w:color="auto" w:fill="CBECD5"/>
          </w:tcPr>
          <w:p>
            <w:pPr>
              <w:ind w:left="60"/>
              <w:spacing w:after="0" w:line="69" w:lineRule="exact"/>
              <w:rPr>
                <w:sz w:val="20"/>
                <w:szCs w:val="20"/>
                <w:color w:val="auto"/>
              </w:rPr>
            </w:pPr>
            <w:r>
              <w:rPr>
                <w:rFonts w:ascii="Arial" w:cs="Arial" w:eastAsia="Arial" w:hAnsi="Arial"/>
                <w:sz w:val="7"/>
                <w:szCs w:val="7"/>
                <w:color w:val="auto"/>
              </w:rPr>
              <w:t>Settlement of RSUs</w:t>
            </w:r>
          </w:p>
        </w:tc>
        <w:tc>
          <w:tcPr>
            <w:tcW w:w="12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800" w:type="dxa"/>
            <w:vAlign w:val="bottom"/>
            <w:gridSpan w:val="2"/>
            <w:shd w:val="clear" w:color="auto" w:fill="CBECD5"/>
          </w:tcPr>
          <w:p>
            <w:pPr>
              <w:jc w:val="right"/>
              <w:spacing w:after="0" w:line="69" w:lineRule="exact"/>
              <w:rPr>
                <w:sz w:val="20"/>
                <w:szCs w:val="20"/>
                <w:color w:val="auto"/>
              </w:rPr>
            </w:pPr>
            <w:r>
              <w:rPr>
                <w:rFonts w:ascii="Arial" w:cs="Arial" w:eastAsia="Arial" w:hAnsi="Arial"/>
                <w:sz w:val="7"/>
                <w:szCs w:val="7"/>
                <w:color w:val="auto"/>
              </w:rPr>
              <w:t>1,026,658</w:t>
            </w:r>
          </w:p>
        </w:tc>
        <w:tc>
          <w:tcPr>
            <w:tcW w:w="10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800" w:type="dxa"/>
            <w:vAlign w:val="bottom"/>
            <w:vMerge w:val="continue"/>
            <w:shd w:val="clear" w:color="auto" w:fill="CBECD5"/>
          </w:tcPr>
          <w:p>
            <w:pPr>
              <w:spacing w:after="0"/>
              <w:rPr>
                <w:sz w:val="5"/>
                <w:szCs w:val="5"/>
                <w:color w:val="auto"/>
              </w:rPr>
            </w:pPr>
          </w:p>
        </w:tc>
        <w:tc>
          <w:tcPr>
            <w:tcW w:w="1080" w:type="dxa"/>
            <w:vAlign w:val="bottom"/>
            <w:gridSpan w:val="3"/>
            <w:shd w:val="clear" w:color="auto" w:fill="CBECD5"/>
          </w:tcPr>
          <w:p>
            <w:pPr>
              <w:ind w:left="240"/>
              <w:spacing w:after="0" w:line="69" w:lineRule="exact"/>
              <w:rPr>
                <w:sz w:val="20"/>
                <w:szCs w:val="20"/>
                <w:color w:val="auto"/>
              </w:rPr>
            </w:pPr>
            <w:r>
              <w:rPr>
                <w:rFonts w:ascii="Arial" w:cs="Arial" w:eastAsia="Arial" w:hAnsi="Arial"/>
                <w:sz w:val="7"/>
                <w:szCs w:val="7"/>
                <w:color w:val="auto"/>
              </w:rPr>
              <w:t>1,026,658</w:t>
            </w:r>
          </w:p>
        </w:tc>
        <w:tc>
          <w:tcPr>
            <w:tcW w:w="260" w:type="dxa"/>
            <w:vAlign w:val="bottom"/>
            <w:shd w:val="clear" w:color="auto" w:fill="CBECD5"/>
          </w:tcPr>
          <w:p>
            <w:pPr>
              <w:spacing w:after="0"/>
              <w:rPr>
                <w:sz w:val="5"/>
                <w:szCs w:val="5"/>
                <w:color w:val="auto"/>
              </w:rPr>
            </w:pPr>
          </w:p>
        </w:tc>
        <w:tc>
          <w:tcPr>
            <w:tcW w:w="760" w:type="dxa"/>
            <w:vAlign w:val="bottom"/>
            <w:tcBorders>
              <w:right w:val="single" w:sz="8" w:color="CBECD5"/>
            </w:tcBorders>
            <w:vMerge w:val="continue"/>
            <w:shd w:val="clear" w:color="auto" w:fill="CBECD5"/>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274,364</w:t>
            </w:r>
          </w:p>
        </w:tc>
        <w:tc>
          <w:tcPr>
            <w:tcW w:w="100" w:type="dxa"/>
            <w:vAlign w:val="bottom"/>
            <w:shd w:val="clear" w:color="auto" w:fill="CBECD5"/>
          </w:tcPr>
          <w:p>
            <w:pPr>
              <w:spacing w:after="0"/>
              <w:rPr>
                <w:sz w:val="21"/>
                <w:szCs w:val="21"/>
                <w:color w:val="auto"/>
              </w:rPr>
            </w:pPr>
          </w:p>
        </w:tc>
        <w:tc>
          <w:tcPr>
            <w:tcW w:w="900" w:type="dxa"/>
            <w:vAlign w:val="bottom"/>
            <w:gridSpan w:val="3"/>
            <w:shd w:val="clear" w:color="auto" w:fill="CBECD5"/>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274,364</w:t>
            </w:r>
          </w:p>
        </w:tc>
        <w:tc>
          <w:tcPr>
            <w:tcW w:w="120" w:type="dxa"/>
            <w:vAlign w:val="bottom"/>
            <w:shd w:val="clear" w:color="auto" w:fill="CBECD5"/>
          </w:tcPr>
          <w:p>
            <w:pPr>
              <w:spacing w:after="0"/>
              <w:rPr>
                <w:sz w:val="21"/>
                <w:szCs w:val="21"/>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823,092</w:t>
            </w:r>
          </w:p>
        </w:tc>
        <w:tc>
          <w:tcPr>
            <w:tcW w:w="60" w:type="dxa"/>
            <w:vAlign w:val="bottom"/>
            <w:shd w:val="clear" w:color="auto" w:fill="CBECD5"/>
          </w:tcPr>
          <w:p>
            <w:pPr>
              <w:spacing w:after="0"/>
              <w:rPr>
                <w:sz w:val="21"/>
                <w:szCs w:val="21"/>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88,765</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500,000</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128,568</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128,568</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128,568</w:t>
            </w:r>
          </w:p>
        </w:tc>
        <w:tc>
          <w:tcPr>
            <w:tcW w:w="1020" w:type="dxa"/>
            <w:vAlign w:val="bottom"/>
            <w:gridSpan w:val="2"/>
            <w:shd w:val="clear" w:color="auto" w:fill="CBECD5"/>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128,568</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128,568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89,409</w:t>
            </w:r>
          </w:p>
        </w:tc>
        <w:tc>
          <w:tcPr>
            <w:tcW w:w="100" w:type="dxa"/>
            <w:vAlign w:val="bottom"/>
            <w:shd w:val="clear" w:color="auto" w:fill="CBECD5"/>
          </w:tcPr>
          <w:p>
            <w:pPr>
              <w:spacing w:after="0"/>
              <w:rPr>
                <w:sz w:val="22"/>
                <w:szCs w:val="22"/>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89,409</w:t>
            </w:r>
          </w:p>
        </w:tc>
        <w:tc>
          <w:tcPr>
            <w:tcW w:w="120" w:type="dxa"/>
            <w:vAlign w:val="bottom"/>
            <w:shd w:val="clear" w:color="auto" w:fill="CBECD5"/>
          </w:tcPr>
          <w:p>
            <w:pPr>
              <w:spacing w:after="0"/>
              <w:rPr>
                <w:sz w:val="22"/>
                <w:szCs w:val="22"/>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89,409</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89,409</w:t>
            </w:r>
          </w:p>
        </w:tc>
        <w:tc>
          <w:tcPr>
            <w:tcW w:w="60" w:type="dxa"/>
            <w:vAlign w:val="bottom"/>
            <w:shd w:val="clear" w:color="auto" w:fill="CBECD5"/>
          </w:tcPr>
          <w:p>
            <w:pPr>
              <w:spacing w:after="0"/>
              <w:rPr>
                <w:sz w:val="22"/>
                <w:szCs w:val="22"/>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89,409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7"/>
                <w:szCs w:val="17"/>
                <w:color w:val="auto"/>
              </w:rPr>
              <w:t>​ ​</w:t>
            </w:r>
          </w:p>
        </w:tc>
        <w:tc>
          <w:tcPr>
            <w:tcW w:w="800" w:type="dxa"/>
            <w:vAlign w:val="bottom"/>
          </w:tcPr>
          <w:p>
            <w:pPr>
              <w:spacing w:after="0"/>
              <w:rPr>
                <w:sz w:val="12"/>
                <w:szCs w:val="12"/>
                <w:color w:val="auto"/>
              </w:rPr>
            </w:pPr>
          </w:p>
        </w:tc>
        <w:tc>
          <w:tcPr>
            <w:tcW w:w="34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6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4480" w:type="dxa"/>
            <w:vAlign w:val="bottom"/>
            <w:gridSpan w:val="2"/>
          </w:tcPr>
          <w:p>
            <w:pPr>
              <w:spacing w:after="0" w:line="55" w:lineRule="exact"/>
              <w:rPr>
                <w:sz w:val="20"/>
                <w:szCs w:val="20"/>
                <w:color w:val="auto"/>
              </w:rPr>
            </w:pPr>
            <w:r>
              <w:rPr>
                <w:rFonts w:ascii="Arial" w:cs="Arial" w:eastAsia="Arial" w:hAnsi="Arial"/>
                <w:sz w:val="6"/>
                <w:szCs w:val="6"/>
                <w:color w:val="auto"/>
              </w:rPr>
              <w:t>Ken E. Arnold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4360" w:type="dxa"/>
            <w:vAlign w:val="bottom"/>
          </w:tcPr>
          <w:p>
            <w:pPr>
              <w:ind w:left="9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gridSpan w:val="2"/>
          </w:tcPr>
          <w:p>
            <w:pPr>
              <w:spacing w:after="0" w:line="175"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8"/>
                <w:szCs w:val="18"/>
                <w:color w:val="auto"/>
              </w:rPr>
              <w:t>​ ​</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918,750</w:t>
            </w:r>
          </w:p>
        </w:tc>
        <w:tc>
          <w:tcPr>
            <w:tcW w:w="340" w:type="dxa"/>
            <w:vAlign w:val="bottom"/>
          </w:tcPr>
          <w:p>
            <w:pPr>
              <w:ind w:left="120"/>
              <w:spacing w:after="0" w:line="175"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jc w:val="right"/>
              <w:spacing w:after="0" w:line="175"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360" w:type="dxa"/>
            <w:vAlign w:val="bottom"/>
          </w:tcPr>
          <w:p>
            <w:pPr>
              <w:ind w:left="60"/>
              <w:spacing w:after="0" w:line="69" w:lineRule="exact"/>
              <w:rPr>
                <w:sz w:val="20"/>
                <w:szCs w:val="20"/>
                <w:color w:val="auto"/>
              </w:rPr>
            </w:pPr>
            <w:r>
              <w:rPr>
                <w:rFonts w:ascii="Arial" w:cs="Arial" w:eastAsia="Arial" w:hAnsi="Arial"/>
                <w:sz w:val="7"/>
                <w:szCs w:val="7"/>
                <w:color w:val="auto"/>
              </w:rPr>
              <w:t>Severance</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gridSpan w:val="3"/>
          </w:tcPr>
          <w:p>
            <w:pPr>
              <w:ind w:left="240"/>
              <w:spacing w:after="0" w:line="69" w:lineRule="exact"/>
              <w:rPr>
                <w:sz w:val="20"/>
                <w:szCs w:val="20"/>
                <w:color w:val="auto"/>
              </w:rPr>
            </w:pPr>
            <w:r>
              <w:rPr>
                <w:rFonts w:ascii="Arial" w:cs="Arial" w:eastAsia="Arial" w:hAnsi="Arial"/>
                <w:sz w:val="7"/>
                <w:szCs w:val="7"/>
                <w:color w:val="auto"/>
              </w:rPr>
              <w:t>2,747,063</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580,149</w:t>
            </w:r>
          </w:p>
        </w:tc>
        <w:tc>
          <w:tcPr>
            <w:tcW w:w="100" w:type="dxa"/>
            <w:vAlign w:val="bottom"/>
          </w:tcPr>
          <w:p>
            <w:pPr>
              <w:spacing w:after="0"/>
              <w:rPr>
                <w:sz w:val="19"/>
                <w:szCs w:val="19"/>
                <w:color w:val="auto"/>
              </w:rPr>
            </w:pPr>
          </w:p>
        </w:tc>
        <w:tc>
          <w:tcPr>
            <w:tcW w:w="900" w:type="dxa"/>
            <w:vAlign w:val="bottom"/>
            <w:gridSpan w:val="3"/>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580,149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580,149</w:t>
            </w:r>
          </w:p>
        </w:tc>
        <w:tc>
          <w:tcPr>
            <w:tcW w:w="102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580,149</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580,149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line="243" w:lineRule="exact"/>
              <w:rPr>
                <w:sz w:val="20"/>
                <w:szCs w:val="20"/>
                <w:color w:val="auto"/>
              </w:rPr>
            </w:pPr>
            <w:r>
              <w:rPr>
                <w:rFonts w:ascii="Arial" w:cs="Arial" w:eastAsia="Arial" w:hAnsi="Arial"/>
                <w:sz w:val="18"/>
                <w:szCs w:val="18"/>
                <w:color w:val="auto"/>
              </w:rPr>
              <w:t>Settlement of unvested stock options</w:t>
            </w:r>
            <w:r>
              <w:rPr>
                <w:rFonts w:ascii="Arial" w:cs="Arial" w:eastAsia="Arial" w:hAnsi="Arial"/>
                <w:sz w:val="26"/>
                <w:szCs w:val="26"/>
                <w:color w:val="auto"/>
                <w:vertAlign w:val="superscript"/>
              </w:rPr>
              <w:t>(4)</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gridSpan w:val="3"/>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631,842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631,842</w:t>
            </w:r>
          </w:p>
        </w:tc>
        <w:tc>
          <w:tcPr>
            <w:tcW w:w="102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631,842</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631,842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795,194</w:t>
            </w:r>
          </w:p>
        </w:tc>
        <w:tc>
          <w:tcPr>
            <w:tcW w:w="100" w:type="dxa"/>
            <w:vAlign w:val="bottom"/>
          </w:tcPr>
          <w:p>
            <w:pPr>
              <w:spacing w:after="0"/>
              <w:rPr>
                <w:sz w:val="21"/>
                <w:szCs w:val="21"/>
                <w:color w:val="auto"/>
              </w:rPr>
            </w:pPr>
          </w:p>
        </w:tc>
        <w:tc>
          <w:tcPr>
            <w:tcW w:w="900" w:type="dxa"/>
            <w:vAlign w:val="bottom"/>
            <w:gridSpan w:val="3"/>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386,700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386,700</w:t>
            </w:r>
          </w:p>
        </w:tc>
        <w:tc>
          <w:tcPr>
            <w:tcW w:w="102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795,194</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386,700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208,493</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625,479</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76,834</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500,000</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407,353</w:t>
            </w:r>
          </w:p>
        </w:tc>
        <w:tc>
          <w:tcPr>
            <w:tcW w:w="100" w:type="dxa"/>
            <w:vAlign w:val="bottom"/>
          </w:tcPr>
          <w:p>
            <w:pPr>
              <w:spacing w:after="0"/>
              <w:rPr>
                <w:sz w:val="19"/>
                <w:szCs w:val="19"/>
                <w:color w:val="auto"/>
              </w:rPr>
            </w:pPr>
          </w:p>
        </w:tc>
        <w:tc>
          <w:tcPr>
            <w:tcW w:w="900" w:type="dxa"/>
            <w:vAlign w:val="bottom"/>
            <w:gridSpan w:val="3"/>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407,353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407,353</w:t>
            </w:r>
          </w:p>
        </w:tc>
        <w:tc>
          <w:tcPr>
            <w:tcW w:w="102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407,353</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407,353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118,630</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118,630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118,630</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118,630</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118,630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8"/>
                <w:szCs w:val="18"/>
                <w:color w:val="auto"/>
              </w:rPr>
              <w:t>​</w:t>
            </w: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vMerge w:val="restart"/>
          </w:tcPr>
          <w:p>
            <w:pPr>
              <w:spacing w:after="0" w:line="175"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2"/>
                <w:szCs w:val="2"/>
                <w:color w:val="auto"/>
              </w:rPr>
            </w:pPr>
          </w:p>
        </w:tc>
        <w:tc>
          <w:tcPr>
            <w:tcW w:w="300" w:type="dxa"/>
            <w:vAlign w:val="bottom"/>
            <w:gridSpan w:val="3"/>
            <w:vMerge w:val="restart"/>
          </w:tcPr>
          <w:p>
            <w:pPr>
              <w:jc w:val="right"/>
              <w:spacing w:after="0" w:line="175" w:lineRule="exact"/>
              <w:rPr>
                <w:sz w:val="20"/>
                <w:szCs w:val="20"/>
                <w:color w:val="auto"/>
              </w:rPr>
            </w:pPr>
            <w:r>
              <w:rPr>
                <w:rFonts w:ascii="Arial" w:cs="Arial" w:eastAsia="Arial" w:hAnsi="Arial"/>
                <w:sz w:val="18"/>
                <w:szCs w:val="18"/>
                <w:color w:val="auto"/>
              </w:rPr>
              <w:t>​ ​ ​</w:t>
            </w:r>
          </w:p>
        </w:tc>
        <w:tc>
          <w:tcPr>
            <w:tcW w:w="700" w:type="dxa"/>
            <w:vAlign w:val="bottom"/>
          </w:tcPr>
          <w:p>
            <w:pPr>
              <w:spacing w:after="0"/>
              <w:rPr>
                <w:sz w:val="2"/>
                <w:szCs w:val="2"/>
                <w:color w:val="auto"/>
              </w:rPr>
            </w:pPr>
          </w:p>
        </w:tc>
        <w:tc>
          <w:tcPr>
            <w:tcW w:w="280" w:type="dxa"/>
            <w:vAlign w:val="bottom"/>
            <w:gridSpan w:val="2"/>
            <w:vMerge w:val="restart"/>
          </w:tcPr>
          <w:p>
            <w:pPr>
              <w:jc w:val="right"/>
              <w:spacing w:after="0" w:line="175" w:lineRule="exact"/>
              <w:rPr>
                <w:sz w:val="20"/>
                <w:szCs w:val="20"/>
                <w:color w:val="auto"/>
              </w:rPr>
            </w:pPr>
            <w:r>
              <w:rPr>
                <w:rFonts w:ascii="Arial" w:cs="Arial" w:eastAsia="Arial" w:hAnsi="Arial"/>
                <w:sz w:val="18"/>
                <w:szCs w:val="18"/>
                <w:color w:val="auto"/>
              </w:rPr>
              <w:t>​ ​ ​</w:t>
            </w:r>
          </w:p>
        </w:tc>
        <w:tc>
          <w:tcPr>
            <w:tcW w:w="800" w:type="dxa"/>
            <w:vAlign w:val="bottom"/>
          </w:tcPr>
          <w:p>
            <w:pPr>
              <w:spacing w:after="0"/>
              <w:rPr>
                <w:sz w:val="2"/>
                <w:szCs w:val="2"/>
                <w:color w:val="auto"/>
              </w:rPr>
            </w:pPr>
          </w:p>
        </w:tc>
        <w:tc>
          <w:tcPr>
            <w:tcW w:w="340" w:type="dxa"/>
            <w:vAlign w:val="bottom"/>
            <w:vMerge w:val="restart"/>
          </w:tcPr>
          <w:p>
            <w:pPr>
              <w:spacing w:after="0" w:line="175" w:lineRule="exact"/>
              <w:rPr>
                <w:sz w:val="20"/>
                <w:szCs w:val="20"/>
                <w:color w:val="auto"/>
              </w:rPr>
            </w:pPr>
            <w:r>
              <w:rPr>
                <w:rFonts w:ascii="Arial" w:cs="Arial" w:eastAsia="Arial" w:hAnsi="Arial"/>
                <w:sz w:val="18"/>
                <w:szCs w:val="18"/>
                <w:color w:val="auto"/>
              </w:rPr>
              <w:t>​ ​ ​</w:t>
            </w:r>
          </w:p>
        </w:tc>
        <w:tc>
          <w:tcPr>
            <w:tcW w:w="680" w:type="dxa"/>
            <w:vAlign w:val="bottom"/>
          </w:tcPr>
          <w:p>
            <w:pPr>
              <w:spacing w:after="0"/>
              <w:rPr>
                <w:sz w:val="2"/>
                <w:szCs w:val="2"/>
                <w:color w:val="auto"/>
              </w:rPr>
            </w:pPr>
          </w:p>
        </w:tc>
        <w:tc>
          <w:tcPr>
            <w:tcW w:w="320" w:type="dxa"/>
            <w:vAlign w:val="bottom"/>
            <w:gridSpan w:val="2"/>
            <w:vMerge w:val="restart"/>
          </w:tcPr>
          <w:p>
            <w:pPr>
              <w:jc w:val="right"/>
              <w:spacing w:after="0" w:line="175"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2"/>
                <w:szCs w:val="2"/>
                <w:color w:val="auto"/>
              </w:rPr>
            </w:pPr>
          </w:p>
        </w:tc>
        <w:tc>
          <w:tcPr>
            <w:tcW w:w="60" w:type="dxa"/>
            <w:vAlign w:val="bottom"/>
            <w:vMerge w:val="restart"/>
          </w:tcPr>
          <w:p>
            <w:pPr>
              <w:jc w:val="right"/>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8"/>
        </w:trPr>
        <w:tc>
          <w:tcPr>
            <w:tcW w:w="40" w:type="dxa"/>
            <w:vAlign w:val="bottom"/>
            <w:shd w:val="clear" w:color="auto" w:fill="CBECD5"/>
          </w:tcPr>
          <w:p>
            <w:pPr>
              <w:spacing w:after="0"/>
              <w:rPr>
                <w:sz w:val="12"/>
                <w:szCs w:val="12"/>
                <w:color w:val="auto"/>
              </w:rPr>
            </w:pPr>
          </w:p>
        </w:tc>
        <w:tc>
          <w:tcPr>
            <w:tcW w:w="120" w:type="dxa"/>
            <w:vAlign w:val="bottom"/>
            <w:vMerge w:val="continue"/>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BECD5"/>
          </w:tcPr>
          <w:p>
            <w:pPr>
              <w:spacing w:after="0"/>
              <w:rPr>
                <w:sz w:val="7"/>
                <w:szCs w:val="7"/>
                <w:color w:val="auto"/>
              </w:rPr>
            </w:pPr>
          </w:p>
        </w:tc>
        <w:tc>
          <w:tcPr>
            <w:tcW w:w="4480" w:type="dxa"/>
            <w:vAlign w:val="bottom"/>
            <w:gridSpan w:val="2"/>
          </w:tcPr>
          <w:p>
            <w:pPr>
              <w:spacing w:after="0" w:line="81" w:lineRule="exact"/>
              <w:rPr>
                <w:sz w:val="20"/>
                <w:szCs w:val="20"/>
                <w:color w:val="auto"/>
              </w:rPr>
            </w:pPr>
            <w:r>
              <w:rPr>
                <w:rFonts w:ascii="Arial" w:cs="Arial" w:eastAsia="Arial" w:hAnsi="Arial"/>
                <w:sz w:val="9"/>
                <w:szCs w:val="9"/>
                <w:color w:val="auto"/>
              </w:rPr>
              <w:t>Michael R. McCoy</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BECD5"/>
          </w:tcPr>
          <w:p>
            <w:pPr>
              <w:spacing w:after="0"/>
              <w:rPr>
                <w:sz w:val="12"/>
                <w:szCs w:val="12"/>
                <w:color w:val="auto"/>
              </w:rPr>
            </w:pPr>
          </w:p>
        </w:tc>
        <w:tc>
          <w:tcPr>
            <w:tcW w:w="120" w:type="dxa"/>
            <w:vAlign w:val="bottom"/>
            <w:shd w:val="clear" w:color="auto" w:fill="CBECD5"/>
          </w:tcPr>
          <w:p>
            <w:pPr>
              <w:spacing w:after="0" w:line="149" w:lineRule="exact"/>
              <w:rPr>
                <w:sz w:val="20"/>
                <w:szCs w:val="20"/>
                <w:color w:val="auto"/>
              </w:rPr>
            </w:pPr>
            <w:r>
              <w:rPr>
                <w:rFonts w:ascii="Arial" w:cs="Arial" w:eastAsia="Arial" w:hAnsi="Arial"/>
                <w:sz w:val="17"/>
                <w:szCs w:val="17"/>
                <w:color w:val="auto"/>
              </w:rPr>
              <w:t>​</w:t>
            </w:r>
          </w:p>
        </w:tc>
        <w:tc>
          <w:tcPr>
            <w:tcW w:w="4360" w:type="dxa"/>
            <w:vAlign w:val="bottom"/>
            <w:shd w:val="clear" w:color="auto" w:fill="CBECD5"/>
          </w:tcPr>
          <w:p>
            <w:pPr>
              <w:ind w:left="9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BECD5"/>
          </w:tcPr>
          <w:p>
            <w:pPr>
              <w:spacing w:after="0"/>
              <w:rPr>
                <w:sz w:val="12"/>
                <w:szCs w:val="12"/>
                <w:color w:val="auto"/>
              </w:rPr>
            </w:pPr>
          </w:p>
        </w:tc>
        <w:tc>
          <w:tcPr>
            <w:tcW w:w="200" w:type="dxa"/>
            <w:vAlign w:val="bottom"/>
            <w:gridSpan w:val="2"/>
            <w:shd w:val="clear" w:color="auto" w:fill="CBECD5"/>
          </w:tcPr>
          <w:p>
            <w:pPr>
              <w:spacing w:after="0" w:line="149" w:lineRule="exact"/>
              <w:rPr>
                <w:sz w:val="20"/>
                <w:szCs w:val="20"/>
                <w:color w:val="auto"/>
              </w:rPr>
            </w:pPr>
            <w:r>
              <w:rPr>
                <w:rFonts w:ascii="Arial" w:cs="Arial" w:eastAsia="Arial" w:hAnsi="Arial"/>
                <w:sz w:val="17"/>
                <w:szCs w:val="17"/>
                <w:color w:val="auto"/>
              </w:rPr>
              <w:t>​ ​</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2"/>
                <w:szCs w:val="12"/>
                <w:color w:val="auto"/>
              </w:rPr>
            </w:pPr>
          </w:p>
        </w:tc>
        <w:tc>
          <w:tcPr>
            <w:tcW w:w="200" w:type="dxa"/>
            <w:vAlign w:val="bottom"/>
            <w:gridSpan w:val="2"/>
            <w:shd w:val="clear" w:color="auto" w:fill="CBECD5"/>
          </w:tcPr>
          <w:p>
            <w:pPr>
              <w:ind w:left="20"/>
              <w:spacing w:after="0" w:line="149" w:lineRule="exact"/>
              <w:rPr>
                <w:sz w:val="20"/>
                <w:szCs w:val="20"/>
                <w:color w:val="auto"/>
              </w:rPr>
            </w:pPr>
            <w:r>
              <w:rPr>
                <w:rFonts w:ascii="Arial" w:cs="Arial" w:eastAsia="Arial" w:hAnsi="Arial"/>
                <w:sz w:val="17"/>
                <w:szCs w:val="17"/>
                <w:color w:val="auto"/>
              </w:rPr>
              <w:t>​ ​</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2"/>
                <w:szCs w:val="12"/>
                <w:color w:val="auto"/>
              </w:rPr>
            </w:pPr>
          </w:p>
        </w:tc>
        <w:tc>
          <w:tcPr>
            <w:tcW w:w="160" w:type="dxa"/>
            <w:vAlign w:val="bottom"/>
            <w:shd w:val="clear" w:color="auto" w:fill="CBECD5"/>
          </w:tcPr>
          <w:p>
            <w:pPr>
              <w:jc w:val="right"/>
              <w:spacing w:after="0" w:line="149" w:lineRule="exact"/>
              <w:rPr>
                <w:sz w:val="20"/>
                <w:szCs w:val="20"/>
                <w:color w:val="auto"/>
              </w:rPr>
            </w:pPr>
            <w:r>
              <w:rPr>
                <w:rFonts w:ascii="Arial" w:cs="Arial" w:eastAsia="Arial" w:hAnsi="Arial"/>
                <w:sz w:val="17"/>
                <w:szCs w:val="17"/>
                <w:color w:val="auto"/>
              </w:rPr>
              <w:t>​ ​</w:t>
            </w:r>
          </w:p>
        </w:tc>
        <w:tc>
          <w:tcPr>
            <w:tcW w:w="800" w:type="dxa"/>
            <w:vAlign w:val="bottom"/>
            <w:vMerge w:val="restart"/>
            <w:shd w:val="clear" w:color="auto" w:fill="CBECD5"/>
          </w:tcPr>
          <w:p>
            <w:pPr>
              <w:jc w:val="right"/>
              <w:spacing w:after="0"/>
              <w:rPr>
                <w:sz w:val="20"/>
                <w:szCs w:val="20"/>
                <w:color w:val="auto"/>
              </w:rPr>
            </w:pPr>
            <w:r>
              <w:rPr>
                <w:rFonts w:ascii="Arial" w:cs="Arial" w:eastAsia="Arial" w:hAnsi="Arial"/>
                <w:sz w:val="18"/>
                <w:szCs w:val="18"/>
                <w:color w:val="auto"/>
              </w:rPr>
              <w:t>962,500</w:t>
            </w:r>
          </w:p>
        </w:tc>
        <w:tc>
          <w:tcPr>
            <w:tcW w:w="340" w:type="dxa"/>
            <w:vAlign w:val="bottom"/>
            <w:shd w:val="clear" w:color="auto" w:fill="CBECD5"/>
          </w:tcPr>
          <w:p>
            <w:pPr>
              <w:ind w:left="120"/>
              <w:spacing w:after="0" w:line="149" w:lineRule="exact"/>
              <w:rPr>
                <w:sz w:val="20"/>
                <w:szCs w:val="20"/>
                <w:color w:val="auto"/>
              </w:rPr>
            </w:pPr>
            <w:r>
              <w:rPr>
                <w:rFonts w:ascii="Arial" w:cs="Arial" w:eastAsia="Arial" w:hAnsi="Arial"/>
                <w:sz w:val="17"/>
                <w:szCs w:val="17"/>
                <w:color w:val="auto"/>
              </w:rPr>
              <w:t>​ ​</w:t>
            </w:r>
          </w:p>
        </w:tc>
        <w:tc>
          <w:tcPr>
            <w:tcW w:w="680" w:type="dxa"/>
            <w:vAlign w:val="bottom"/>
            <w:shd w:val="clear" w:color="auto" w:fill="CBECD5"/>
          </w:tcPr>
          <w:p>
            <w:pPr>
              <w:spacing w:after="0"/>
              <w:rPr>
                <w:sz w:val="12"/>
                <w:szCs w:val="12"/>
                <w:color w:val="auto"/>
              </w:rPr>
            </w:pPr>
          </w:p>
        </w:tc>
        <w:tc>
          <w:tcPr>
            <w:tcW w:w="60" w:type="dxa"/>
            <w:vAlign w:val="bottom"/>
            <w:shd w:val="clear" w:color="auto" w:fill="CBECD5"/>
          </w:tcPr>
          <w:p>
            <w:pPr>
              <w:spacing w:after="0"/>
              <w:rPr>
                <w:sz w:val="12"/>
                <w:szCs w:val="12"/>
                <w:color w:val="auto"/>
              </w:rPr>
            </w:pPr>
          </w:p>
        </w:tc>
        <w:tc>
          <w:tcPr>
            <w:tcW w:w="260" w:type="dxa"/>
            <w:vAlign w:val="bottom"/>
            <w:shd w:val="clear" w:color="auto" w:fill="CBECD5"/>
          </w:tcPr>
          <w:p>
            <w:pPr>
              <w:jc w:val="right"/>
              <w:spacing w:after="0" w:line="149" w:lineRule="exact"/>
              <w:rPr>
                <w:sz w:val="20"/>
                <w:szCs w:val="20"/>
                <w:color w:val="auto"/>
              </w:rPr>
            </w:pPr>
            <w:r>
              <w:rPr>
                <w:rFonts w:ascii="Arial" w:cs="Arial" w:eastAsia="Arial" w:hAnsi="Arial"/>
                <w:sz w:val="17"/>
                <w:szCs w:val="17"/>
                <w:color w:val="auto"/>
              </w:rPr>
              <w:t>​ ​</w:t>
            </w:r>
          </w:p>
        </w:tc>
        <w:tc>
          <w:tcPr>
            <w:tcW w:w="76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4360" w:type="dxa"/>
            <w:vAlign w:val="bottom"/>
            <w:shd w:val="clear" w:color="auto" w:fill="CBECD5"/>
          </w:tcPr>
          <w:p>
            <w:pPr>
              <w:ind w:left="60"/>
              <w:spacing w:after="0" w:line="69" w:lineRule="exact"/>
              <w:rPr>
                <w:sz w:val="20"/>
                <w:szCs w:val="20"/>
                <w:color w:val="auto"/>
              </w:rPr>
            </w:pPr>
            <w:r>
              <w:rPr>
                <w:rFonts w:ascii="Arial" w:cs="Arial" w:eastAsia="Arial" w:hAnsi="Arial"/>
                <w:sz w:val="7"/>
                <w:szCs w:val="7"/>
                <w:color w:val="auto"/>
              </w:rPr>
              <w:t>Severance</w:t>
            </w:r>
          </w:p>
        </w:tc>
        <w:tc>
          <w:tcPr>
            <w:tcW w:w="12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800" w:type="dxa"/>
            <w:vAlign w:val="bottom"/>
            <w:vMerge w:val="continue"/>
            <w:shd w:val="clear" w:color="auto" w:fill="CBECD5"/>
          </w:tcPr>
          <w:p>
            <w:pPr>
              <w:spacing w:after="0"/>
              <w:rPr>
                <w:sz w:val="5"/>
                <w:szCs w:val="5"/>
                <w:color w:val="auto"/>
              </w:rPr>
            </w:pPr>
          </w:p>
        </w:tc>
        <w:tc>
          <w:tcPr>
            <w:tcW w:w="1080" w:type="dxa"/>
            <w:vAlign w:val="bottom"/>
            <w:gridSpan w:val="3"/>
            <w:shd w:val="clear" w:color="auto" w:fill="CBECD5"/>
          </w:tcPr>
          <w:p>
            <w:pPr>
              <w:ind w:left="240"/>
              <w:spacing w:after="0" w:line="69" w:lineRule="exact"/>
              <w:rPr>
                <w:sz w:val="20"/>
                <w:szCs w:val="20"/>
                <w:color w:val="auto"/>
              </w:rPr>
            </w:pPr>
            <w:r>
              <w:rPr>
                <w:rFonts w:ascii="Arial" w:cs="Arial" w:eastAsia="Arial" w:hAnsi="Arial"/>
                <w:sz w:val="7"/>
                <w:szCs w:val="7"/>
                <w:color w:val="auto"/>
              </w:rPr>
              <w:t>2,877,875</w:t>
            </w:r>
          </w:p>
        </w:tc>
        <w:tc>
          <w:tcPr>
            <w:tcW w:w="260" w:type="dxa"/>
            <w:vAlign w:val="bottom"/>
            <w:shd w:val="clear" w:color="auto" w:fill="CBECD5"/>
          </w:tcPr>
          <w:p>
            <w:pPr>
              <w:spacing w:after="0"/>
              <w:rPr>
                <w:sz w:val="5"/>
                <w:szCs w:val="5"/>
                <w:color w:val="auto"/>
              </w:rPr>
            </w:pPr>
          </w:p>
        </w:tc>
        <w:tc>
          <w:tcPr>
            <w:tcW w:w="760" w:type="dxa"/>
            <w:vAlign w:val="bottom"/>
            <w:tcBorders>
              <w:right w:val="single" w:sz="8" w:color="CBECD5"/>
            </w:tcBorders>
            <w:vMerge w:val="continue"/>
            <w:shd w:val="clear" w:color="auto" w:fill="CBECD5"/>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900" w:type="dxa"/>
            <w:vAlign w:val="bottom"/>
            <w:gridSpan w:val="3"/>
            <w:shd w:val="clear" w:color="auto" w:fill="CBECD5"/>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460,589</w:t>
            </w:r>
          </w:p>
        </w:tc>
        <w:tc>
          <w:tcPr>
            <w:tcW w:w="100" w:type="dxa"/>
            <w:vAlign w:val="bottom"/>
            <w:shd w:val="clear" w:color="auto" w:fill="CBECD5"/>
          </w:tcPr>
          <w:p>
            <w:pPr>
              <w:spacing w:after="0"/>
              <w:rPr>
                <w:sz w:val="19"/>
                <w:szCs w:val="19"/>
                <w:color w:val="auto"/>
              </w:rPr>
            </w:pPr>
          </w:p>
        </w:tc>
        <w:tc>
          <w:tcPr>
            <w:tcW w:w="900" w:type="dxa"/>
            <w:vAlign w:val="bottom"/>
            <w:gridSpan w:val="3"/>
            <w:shd w:val="clear" w:color="auto" w:fill="CBECD5"/>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460,589</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460,589</w:t>
            </w:r>
          </w:p>
        </w:tc>
        <w:tc>
          <w:tcPr>
            <w:tcW w:w="1020" w:type="dxa"/>
            <w:vAlign w:val="bottom"/>
            <w:gridSpan w:val="2"/>
            <w:shd w:val="clear" w:color="auto" w:fill="CBECD5"/>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460,589</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460,589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gridSpan w:val="2"/>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634,150</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907,898</w:t>
            </w:r>
          </w:p>
        </w:tc>
        <w:tc>
          <w:tcPr>
            <w:tcW w:w="100" w:type="dxa"/>
            <w:vAlign w:val="bottom"/>
            <w:shd w:val="clear" w:color="auto" w:fill="CBECD5"/>
          </w:tcPr>
          <w:p>
            <w:pPr>
              <w:spacing w:after="0"/>
              <w:rPr>
                <w:sz w:val="21"/>
                <w:szCs w:val="21"/>
                <w:color w:val="auto"/>
              </w:rPr>
            </w:pPr>
          </w:p>
        </w:tc>
        <w:tc>
          <w:tcPr>
            <w:tcW w:w="200" w:type="dxa"/>
            <w:vAlign w:val="bottom"/>
            <w:gridSpan w:val="2"/>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1"/>
                <w:szCs w:val="21"/>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907,898</w:t>
            </w:r>
          </w:p>
        </w:tc>
        <w:tc>
          <w:tcPr>
            <w:tcW w:w="60" w:type="dxa"/>
            <w:vAlign w:val="bottom"/>
            <w:shd w:val="clear" w:color="auto" w:fill="CBECD5"/>
          </w:tcPr>
          <w:p>
            <w:pPr>
              <w:spacing w:after="0"/>
              <w:rPr>
                <w:sz w:val="21"/>
                <w:szCs w:val="21"/>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230,472</w:t>
            </w:r>
          </w:p>
        </w:tc>
        <w:tc>
          <w:tcPr>
            <w:tcW w:w="100" w:type="dxa"/>
            <w:vAlign w:val="bottom"/>
            <w:shd w:val="clear" w:color="auto" w:fill="CBECD5"/>
          </w:tcPr>
          <w:p>
            <w:pPr>
              <w:spacing w:after="0"/>
              <w:rPr>
                <w:sz w:val="21"/>
                <w:szCs w:val="21"/>
                <w:color w:val="auto"/>
              </w:rPr>
            </w:pPr>
          </w:p>
        </w:tc>
        <w:tc>
          <w:tcPr>
            <w:tcW w:w="900" w:type="dxa"/>
            <w:vAlign w:val="bottom"/>
            <w:gridSpan w:val="3"/>
            <w:shd w:val="clear" w:color="auto" w:fill="CBECD5"/>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230,472</w:t>
            </w:r>
          </w:p>
        </w:tc>
        <w:tc>
          <w:tcPr>
            <w:tcW w:w="120" w:type="dxa"/>
            <w:vAlign w:val="bottom"/>
            <w:shd w:val="clear" w:color="auto" w:fill="CBECD5"/>
          </w:tcPr>
          <w:p>
            <w:pPr>
              <w:spacing w:after="0"/>
              <w:rPr>
                <w:sz w:val="21"/>
                <w:szCs w:val="21"/>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691,417</w:t>
            </w:r>
          </w:p>
        </w:tc>
        <w:tc>
          <w:tcPr>
            <w:tcW w:w="60" w:type="dxa"/>
            <w:vAlign w:val="bottom"/>
            <w:shd w:val="clear" w:color="auto" w:fill="CBECD5"/>
          </w:tcPr>
          <w:p>
            <w:pPr>
              <w:spacing w:after="0"/>
              <w:rPr>
                <w:sz w:val="21"/>
                <w:szCs w:val="21"/>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95,088</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500,000</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195,083</w:t>
            </w:r>
          </w:p>
        </w:tc>
        <w:tc>
          <w:tcPr>
            <w:tcW w:w="100" w:type="dxa"/>
            <w:vAlign w:val="bottom"/>
            <w:shd w:val="clear" w:color="auto" w:fill="CBECD5"/>
          </w:tcPr>
          <w:p>
            <w:pPr>
              <w:spacing w:after="0"/>
              <w:rPr>
                <w:sz w:val="19"/>
                <w:szCs w:val="19"/>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BECD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195,083</w:t>
            </w:r>
          </w:p>
        </w:tc>
        <w:tc>
          <w:tcPr>
            <w:tcW w:w="120" w:type="dxa"/>
            <w:vAlign w:val="bottom"/>
            <w:shd w:val="clear" w:color="auto" w:fill="CBECD5"/>
          </w:tcPr>
          <w:p>
            <w:pPr>
              <w:spacing w:after="0"/>
              <w:rPr>
                <w:sz w:val="19"/>
                <w:szCs w:val="19"/>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195,083</w:t>
            </w:r>
          </w:p>
        </w:tc>
        <w:tc>
          <w:tcPr>
            <w:tcW w:w="1020" w:type="dxa"/>
            <w:vAlign w:val="bottom"/>
            <w:gridSpan w:val="2"/>
            <w:shd w:val="clear" w:color="auto" w:fill="CBECD5"/>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195,083</w:t>
            </w:r>
          </w:p>
        </w:tc>
        <w:tc>
          <w:tcPr>
            <w:tcW w:w="60" w:type="dxa"/>
            <w:vAlign w:val="bottom"/>
            <w:shd w:val="clear" w:color="auto" w:fill="CBECD5"/>
          </w:tcPr>
          <w:p>
            <w:pPr>
              <w:spacing w:after="0"/>
              <w:rPr>
                <w:sz w:val="19"/>
                <w:szCs w:val="19"/>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195,083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95,356</w:t>
            </w:r>
          </w:p>
        </w:tc>
        <w:tc>
          <w:tcPr>
            <w:tcW w:w="100" w:type="dxa"/>
            <w:vAlign w:val="bottom"/>
            <w:shd w:val="clear" w:color="auto" w:fill="CBECD5"/>
          </w:tcPr>
          <w:p>
            <w:pPr>
              <w:spacing w:after="0"/>
              <w:rPr>
                <w:sz w:val="22"/>
                <w:szCs w:val="22"/>
                <w:color w:val="auto"/>
              </w:rPr>
            </w:pPr>
          </w:p>
        </w:tc>
        <w:tc>
          <w:tcPr>
            <w:tcW w:w="12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95,356</w:t>
            </w:r>
          </w:p>
        </w:tc>
        <w:tc>
          <w:tcPr>
            <w:tcW w:w="120" w:type="dxa"/>
            <w:vAlign w:val="bottom"/>
            <w:shd w:val="clear" w:color="auto" w:fill="CBECD5"/>
          </w:tcPr>
          <w:p>
            <w:pPr>
              <w:spacing w:after="0"/>
              <w:rPr>
                <w:sz w:val="22"/>
                <w:szCs w:val="22"/>
                <w:color w:val="auto"/>
              </w:rPr>
            </w:pPr>
          </w:p>
        </w:tc>
        <w:tc>
          <w:tcPr>
            <w:tcW w:w="16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80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95,356</w:t>
            </w:r>
          </w:p>
        </w:tc>
        <w:tc>
          <w:tcPr>
            <w:tcW w:w="34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95,356</w:t>
            </w:r>
          </w:p>
        </w:tc>
        <w:tc>
          <w:tcPr>
            <w:tcW w:w="60" w:type="dxa"/>
            <w:vAlign w:val="bottom"/>
            <w:shd w:val="clear" w:color="auto" w:fill="CBECD5"/>
          </w:tcPr>
          <w:p>
            <w:pPr>
              <w:spacing w:after="0"/>
              <w:rPr>
                <w:sz w:val="22"/>
                <w:szCs w:val="22"/>
                <w:color w:val="auto"/>
              </w:rPr>
            </w:pPr>
          </w:p>
        </w:tc>
        <w:tc>
          <w:tcPr>
            <w:tcW w:w="26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95,356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7"/>
                <w:szCs w:val="17"/>
                <w:color w:val="auto"/>
              </w:rPr>
              <w:t>​ ​</w:t>
            </w:r>
          </w:p>
        </w:tc>
        <w:tc>
          <w:tcPr>
            <w:tcW w:w="800" w:type="dxa"/>
            <w:vAlign w:val="bottom"/>
          </w:tcPr>
          <w:p>
            <w:pPr>
              <w:spacing w:after="0"/>
              <w:rPr>
                <w:sz w:val="12"/>
                <w:szCs w:val="12"/>
                <w:color w:val="auto"/>
              </w:rPr>
            </w:pPr>
          </w:p>
        </w:tc>
        <w:tc>
          <w:tcPr>
            <w:tcW w:w="34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6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4480" w:type="dxa"/>
            <w:vAlign w:val="bottom"/>
            <w:gridSpan w:val="2"/>
          </w:tcPr>
          <w:p>
            <w:pPr>
              <w:spacing w:after="0" w:line="55" w:lineRule="exact"/>
              <w:rPr>
                <w:sz w:val="20"/>
                <w:szCs w:val="20"/>
                <w:color w:val="auto"/>
              </w:rPr>
            </w:pPr>
            <w:r>
              <w:rPr>
                <w:rFonts w:ascii="Arial" w:cs="Arial" w:eastAsia="Arial" w:hAnsi="Arial"/>
                <w:sz w:val="6"/>
                <w:szCs w:val="6"/>
                <w:color w:val="auto"/>
              </w:rPr>
              <w:t>Rebeca Obregon-Jimenez</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910,000</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500,363</w:t>
            </w: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Settlement of PSUs</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500,000</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-6052185</wp:posOffset>
            </wp:positionV>
            <wp:extent cx="6180455"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-3094990</wp:posOffset>
            </wp:positionV>
            <wp:extent cx="6180455"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62     </w:t>
      </w:r>
      <w:r>
        <w:rPr>
          <w:sz w:val="1"/>
          <w:szCs w:val="1"/>
          <w:color w:val="auto"/>
        </w:rPr>
        <w:drawing>
          <wp:inline distT="0" distB="0" distL="0" distR="0">
            <wp:extent cx="1242695" cy="24003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tbl>
      <w:tblPr>
        <w:tblLayout w:type="fixed"/>
        <w:tblInd w:w="510" w:type="dxa"/>
        <w:tblCellMar>
          <w:top w:w="0" w:type="dxa"/>
          <w:left w:w="0" w:type="dxa"/>
          <w:bottom w:w="0" w:type="dxa"/>
          <w:right w:w="0" w:type="dxa"/>
        </w:tblCellMar>
      </w:tblPr>
      <w:tr>
        <w:trPr>
          <w:trHeight w:val="200"/>
        </w:trPr>
        <w:tc>
          <w:tcPr>
            <w:tcW w:w="160" w:type="dxa"/>
            <w:vAlign w:val="bottom"/>
          </w:tcPr>
          <w:p>
            <w:pPr>
              <w:spacing w:after="0"/>
              <w:rPr>
                <w:sz w:val="17"/>
                <w:szCs w:val="17"/>
                <w:color w:val="auto"/>
              </w:rPr>
            </w:pPr>
          </w:p>
        </w:tc>
        <w:tc>
          <w:tcPr>
            <w:tcW w:w="4360" w:type="dxa"/>
            <w:vAlign w:val="bottom"/>
            <w:gridSpan w:val="2"/>
          </w:tcPr>
          <w:p>
            <w:pPr>
              <w:ind w:left="34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5"/>
            <w:vMerge w:val="restart"/>
          </w:tcPr>
          <w:p>
            <w:pPr>
              <w:jc w:val="right"/>
              <w:ind w:right="392"/>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60" w:type="dxa"/>
            <w:vAlign w:val="bottom"/>
          </w:tcPr>
          <w:p>
            <w:pPr>
              <w:spacing w:after="0"/>
              <w:rPr>
                <w:sz w:val="7"/>
                <w:szCs w:val="7"/>
                <w:color w:val="auto"/>
              </w:rPr>
            </w:pPr>
          </w:p>
        </w:tc>
        <w:tc>
          <w:tcPr>
            <w:tcW w:w="4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6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4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Borders>
              <w:left w:val="single" w:sz="8" w:color="53C072"/>
            </w:tcBorders>
            <w:shd w:val="clear" w:color="auto" w:fill="53C072"/>
          </w:tcPr>
          <w:p>
            <w:pPr>
              <w:spacing w:after="0"/>
              <w:rPr>
                <w:sz w:val="16"/>
                <w:szCs w:val="16"/>
                <w:color w:val="auto"/>
              </w:rPr>
            </w:pPr>
          </w:p>
        </w:tc>
        <w:tc>
          <w:tcPr>
            <w:tcW w:w="540" w:type="dxa"/>
            <w:vAlign w:val="bottom"/>
            <w:shd w:val="clear" w:color="auto" w:fill="53C072"/>
          </w:tcPr>
          <w:p>
            <w:pPr>
              <w:spacing w:after="0"/>
              <w:rPr>
                <w:sz w:val="16"/>
                <w:szCs w:val="16"/>
                <w:color w:val="auto"/>
              </w:rPr>
            </w:pPr>
          </w:p>
        </w:tc>
        <w:tc>
          <w:tcPr>
            <w:tcW w:w="3820" w:type="dxa"/>
            <w:vAlign w:val="bottom"/>
            <w:shd w:val="clear" w:color="auto" w:fill="53C072"/>
          </w:tcPr>
          <w:p>
            <w:pPr>
              <w:spacing w:after="0"/>
              <w:rPr>
                <w:sz w:val="16"/>
                <w:szCs w:val="16"/>
                <w:color w:val="auto"/>
              </w:rPr>
            </w:pPr>
          </w:p>
        </w:tc>
        <w:tc>
          <w:tcPr>
            <w:tcW w:w="2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680" w:type="dxa"/>
            <w:vAlign w:val="bottom"/>
            <w:shd w:val="clear" w:color="auto" w:fill="53C072"/>
          </w:tcPr>
          <w:p>
            <w:pPr>
              <w:spacing w:after="0"/>
              <w:rPr>
                <w:sz w:val="16"/>
                <w:szCs w:val="16"/>
                <w:color w:val="auto"/>
              </w:rPr>
            </w:pPr>
          </w:p>
        </w:tc>
        <w:tc>
          <w:tcPr>
            <w:tcW w:w="220" w:type="dxa"/>
            <w:vAlign w:val="bottom"/>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700" w:type="dxa"/>
            <w:vAlign w:val="bottom"/>
            <w:shd w:val="clear" w:color="auto" w:fill="53C072"/>
          </w:tcPr>
          <w:p>
            <w:pPr>
              <w:spacing w:after="0"/>
              <w:rPr>
                <w:sz w:val="16"/>
                <w:szCs w:val="16"/>
                <w:color w:val="auto"/>
              </w:rPr>
            </w:pPr>
          </w:p>
        </w:tc>
        <w:tc>
          <w:tcPr>
            <w:tcW w:w="320" w:type="dxa"/>
            <w:vAlign w:val="bottom"/>
            <w:shd w:val="clear" w:color="auto" w:fill="53C072"/>
          </w:tcPr>
          <w:p>
            <w:pPr>
              <w:spacing w:after="0"/>
              <w:rPr>
                <w:sz w:val="16"/>
                <w:szCs w:val="16"/>
                <w:color w:val="auto"/>
              </w:rPr>
            </w:pP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380" w:type="dxa"/>
            <w:vAlign w:val="bottom"/>
            <w:shd w:val="clear" w:color="auto" w:fill="53C072"/>
          </w:tcPr>
          <w:p>
            <w:pPr>
              <w:spacing w:after="0"/>
              <w:rPr>
                <w:sz w:val="16"/>
                <w:szCs w:val="16"/>
                <w:color w:val="auto"/>
              </w:rPr>
            </w:pPr>
          </w:p>
        </w:tc>
        <w:tc>
          <w:tcPr>
            <w:tcW w:w="640" w:type="dxa"/>
            <w:vAlign w:val="bottom"/>
            <w:shd w:val="clear" w:color="auto" w:fill="53C072"/>
          </w:tcPr>
          <w:p>
            <w:pPr>
              <w:spacing w:after="0"/>
              <w:rPr>
                <w:sz w:val="16"/>
                <w:szCs w:val="16"/>
                <w:color w:val="auto"/>
              </w:rPr>
            </w:pPr>
          </w:p>
        </w:tc>
        <w:tc>
          <w:tcPr>
            <w:tcW w:w="320" w:type="dxa"/>
            <w:vAlign w:val="bottom"/>
            <w:shd w:val="clear" w:color="auto" w:fill="53C072"/>
          </w:tcPr>
          <w:p>
            <w:pPr>
              <w:spacing w:after="0"/>
              <w:rPr>
                <w:sz w:val="16"/>
                <w:szCs w:val="16"/>
                <w:color w:val="auto"/>
              </w:rPr>
            </w:pPr>
          </w:p>
        </w:tc>
        <w:tc>
          <w:tcPr>
            <w:tcW w:w="760" w:type="dxa"/>
            <w:vAlign w:val="bottom"/>
            <w:tcBorders>
              <w:right w:val="single" w:sz="8" w:color="53C072"/>
            </w:tcBorders>
            <w:shd w:val="clear" w:color="auto" w:fill="53C07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53C072"/>
            </w:tcBorders>
            <w:shd w:val="clear" w:color="auto" w:fill="53C072"/>
          </w:tcPr>
          <w:p>
            <w:pPr>
              <w:spacing w:after="0"/>
              <w:rPr>
                <w:sz w:val="14"/>
                <w:szCs w:val="14"/>
                <w:color w:val="auto"/>
              </w:rPr>
            </w:pPr>
          </w:p>
        </w:tc>
        <w:tc>
          <w:tcPr>
            <w:tcW w:w="540" w:type="dxa"/>
            <w:vAlign w:val="bottom"/>
            <w:shd w:val="clear" w:color="auto" w:fill="53C072"/>
          </w:tcPr>
          <w:p>
            <w:pPr>
              <w:spacing w:after="0"/>
              <w:rPr>
                <w:sz w:val="14"/>
                <w:szCs w:val="14"/>
                <w:color w:val="auto"/>
              </w:rPr>
            </w:pPr>
          </w:p>
        </w:tc>
        <w:tc>
          <w:tcPr>
            <w:tcW w:w="382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0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Change of</w:t>
            </w:r>
          </w:p>
        </w:tc>
        <w:tc>
          <w:tcPr>
            <w:tcW w:w="32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53C072"/>
            </w:tcBorders>
            <w:shd w:val="clear" w:color="auto" w:fill="53C072"/>
          </w:tcPr>
          <w:p>
            <w:pPr>
              <w:spacing w:after="0"/>
              <w:rPr>
                <w:sz w:val="14"/>
                <w:szCs w:val="14"/>
                <w:color w:val="auto"/>
              </w:rPr>
            </w:pPr>
          </w:p>
        </w:tc>
        <w:tc>
          <w:tcPr>
            <w:tcW w:w="540" w:type="dxa"/>
            <w:vAlign w:val="bottom"/>
            <w:shd w:val="clear" w:color="auto" w:fill="53C072"/>
          </w:tcPr>
          <w:p>
            <w:pPr>
              <w:spacing w:after="0"/>
              <w:rPr>
                <w:sz w:val="14"/>
                <w:szCs w:val="14"/>
                <w:color w:val="auto"/>
              </w:rPr>
            </w:pPr>
          </w:p>
        </w:tc>
        <w:tc>
          <w:tcPr>
            <w:tcW w:w="382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320" w:type="dxa"/>
            <w:vAlign w:val="bottom"/>
            <w:shd w:val="clear" w:color="auto" w:fill="53C072"/>
          </w:tcPr>
          <w:p>
            <w:pPr>
              <w:spacing w:after="0"/>
              <w:rPr>
                <w:sz w:val="14"/>
                <w:szCs w:val="14"/>
                <w:color w:val="auto"/>
              </w:rPr>
            </w:pP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38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3C072"/>
            </w:tcBorders>
            <w:gridSpan w:val="2"/>
            <w:shd w:val="clear" w:color="auto" w:fill="53C072"/>
          </w:tcPr>
          <w:p>
            <w:pPr>
              <w:jc w:val="right"/>
              <w:ind w:right="12"/>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53C072"/>
            </w:tcBorders>
            <w:shd w:val="clear" w:color="auto" w:fill="53C072"/>
          </w:tcPr>
          <w:p>
            <w:pPr>
              <w:ind w:left="40"/>
              <w:spacing w:after="0"/>
              <w:rPr>
                <w:sz w:val="20"/>
                <w:szCs w:val="20"/>
                <w:color w:val="auto"/>
              </w:rPr>
            </w:pPr>
            <w:r>
              <w:rPr>
                <w:rFonts w:ascii="Arial" w:cs="Arial" w:eastAsia="Arial" w:hAnsi="Arial"/>
                <w:sz w:val="14"/>
                <w:szCs w:val="14"/>
                <w:b w:val="1"/>
                <w:bCs w:val="1"/>
                <w:color w:val="FEFEFE"/>
              </w:rPr>
              <w:t>​</w:t>
            </w:r>
          </w:p>
        </w:tc>
        <w:tc>
          <w:tcPr>
            <w:tcW w:w="540" w:type="dxa"/>
            <w:vAlign w:val="bottom"/>
            <w:shd w:val="clear" w:color="auto" w:fill="53C072"/>
          </w:tcPr>
          <w:p>
            <w:pPr>
              <w:spacing w:after="0"/>
              <w:rPr>
                <w:sz w:val="15"/>
                <w:szCs w:val="15"/>
                <w:color w:val="auto"/>
              </w:rPr>
            </w:pPr>
          </w:p>
        </w:tc>
        <w:tc>
          <w:tcPr>
            <w:tcW w:w="3820" w:type="dxa"/>
            <w:vAlign w:val="bottom"/>
            <w:shd w:val="clear" w:color="auto" w:fill="53C072"/>
          </w:tcPr>
          <w:p>
            <w:pPr>
              <w:spacing w:after="0"/>
              <w:rPr>
                <w:sz w:val="15"/>
                <w:szCs w:val="15"/>
                <w:color w:val="auto"/>
              </w:rPr>
            </w:pPr>
          </w:p>
        </w:tc>
        <w:tc>
          <w:tcPr>
            <w:tcW w:w="34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30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80" w:type="dxa"/>
            <w:vAlign w:val="bottom"/>
            <w:shd w:val="clear" w:color="auto" w:fill="53C072"/>
          </w:tcPr>
          <w:p>
            <w:pPr>
              <w:jc w:val="right"/>
              <w:ind w:right="13"/>
              <w:spacing w:after="0"/>
              <w:rPr>
                <w:sz w:val="20"/>
                <w:szCs w:val="20"/>
                <w:color w:val="auto"/>
              </w:rPr>
            </w:pPr>
            <w:r>
              <w:rPr>
                <w:rFonts w:ascii="Arial" w:cs="Arial" w:eastAsia="Arial" w:hAnsi="Arial"/>
                <w:sz w:val="14"/>
                <w:szCs w:val="14"/>
                <w:b w:val="1"/>
                <w:bCs w:val="1"/>
                <w:color w:val="FEFEFE"/>
              </w:rPr>
              <w:t>​ ​</w:t>
            </w: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7"/>
        </w:trPr>
        <w:tc>
          <w:tcPr>
            <w:tcW w:w="700" w:type="dxa"/>
            <w:vAlign w:val="bottom"/>
            <w:tcBorders>
              <w:left w:val="single" w:sz="8" w:color="CBECD5"/>
            </w:tcBorders>
            <w:gridSpan w:val="2"/>
          </w:tcPr>
          <w:p>
            <w:pPr>
              <w:ind w:left="40"/>
              <w:spacing w:after="0"/>
              <w:rPr>
                <w:sz w:val="20"/>
                <w:szCs w:val="20"/>
                <w:color w:val="auto"/>
              </w:rPr>
            </w:pPr>
            <w:r>
              <w:rPr>
                <w:rFonts w:ascii="Arial" w:cs="Arial" w:eastAsia="Arial" w:hAnsi="Arial"/>
                <w:sz w:val="18"/>
                <w:szCs w:val="18"/>
                <w:color w:val="auto"/>
                <w:w w:val="98"/>
              </w:rPr>
              <w:t>Thomas​</w:t>
            </w:r>
          </w:p>
        </w:tc>
        <w:tc>
          <w:tcPr>
            <w:tcW w:w="3820" w:type="dxa"/>
            <w:vAlign w:val="bottom"/>
          </w:tcPr>
          <w:p>
            <w:pPr>
              <w:ind w:left="40"/>
              <w:spacing w:after="0"/>
              <w:rPr>
                <w:sz w:val="20"/>
                <w:szCs w:val="20"/>
                <w:color w:val="auto"/>
              </w:rPr>
            </w:pPr>
            <w:r>
              <w:rPr>
                <w:rFonts w:ascii="Arial" w:cs="Arial" w:eastAsia="Arial" w:hAnsi="Arial"/>
                <w:sz w:val="18"/>
                <w:szCs w:val="18"/>
                <w:color w:val="auto"/>
              </w:rPr>
              <w:t>Liguori</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760" w:type="dxa"/>
            <w:vAlign w:val="bottom"/>
          </w:tcPr>
          <w:p>
            <w:pPr>
              <w:spacing w:after="0"/>
              <w:rPr>
                <w:sz w:val="18"/>
                <w:szCs w:val="18"/>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rPr>
              <w:t>​ ​ ​</w:t>
            </w: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7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Severance</w:t>
            </w:r>
          </w:p>
        </w:tc>
        <w:tc>
          <w:tcPr>
            <w:tcW w:w="34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Borders>
              <w:left w:val="single" w:sz="8" w:color="CBECD5"/>
            </w:tcBorders>
            <w:gridSpan w:val="3"/>
            <w:shd w:val="clear" w:color="auto" w:fill="CBECD5"/>
          </w:tcPr>
          <w:p>
            <w:pPr>
              <w:ind w:left="40"/>
              <w:spacing w:after="0"/>
              <w:rPr>
                <w:sz w:val="20"/>
                <w:szCs w:val="20"/>
                <w:color w:val="auto"/>
              </w:rPr>
            </w:pPr>
            <w:r>
              <w:rPr>
                <w:rFonts w:ascii="Arial" w:cs="Arial" w:eastAsia="Arial" w:hAnsi="Arial"/>
                <w:sz w:val="18"/>
                <w:szCs w:val="18"/>
                <w:color w:val="auto"/>
              </w:rPr>
              <w:t>​  Settlement of previously vested stock options</w:t>
            </w:r>
          </w:p>
        </w:tc>
        <w:tc>
          <w:tcPr>
            <w:tcW w:w="34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110,554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Borders>
              <w:left w:val="single" w:sz="8" w:color="CBECD5"/>
            </w:tcBorders>
            <w:gridSpan w:val="3"/>
            <w:shd w:val="clear" w:color="auto" w:fill="CBECD5"/>
          </w:tcPr>
          <w:p>
            <w:pPr>
              <w:ind w:left="40"/>
              <w:spacing w:after="0" w:line="243" w:lineRule="exact"/>
              <w:rPr>
                <w:sz w:val="20"/>
                <w:szCs w:val="20"/>
                <w:color w:val="auto"/>
              </w:rPr>
            </w:pPr>
            <w:r>
              <w:rPr>
                <w:rFonts w:ascii="Arial" w:cs="Arial" w:eastAsia="Arial" w:hAnsi="Arial"/>
                <w:sz w:val="18"/>
                <w:szCs w:val="18"/>
                <w:color w:val="auto"/>
              </w:rPr>
              <w:t>​  Settlement of unvested stock</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options</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BECD5"/>
            </w:tcBorders>
            <w:gridSpan w:val="2"/>
            <w:shd w:val="clear" w:color="auto" w:fill="CBECD5"/>
          </w:tcPr>
          <w:p>
            <w:pPr>
              <w:jc w:val="right"/>
              <w:spacing w:after="0"/>
              <w:rPr>
                <w:sz w:val="20"/>
                <w:szCs w:val="20"/>
                <w:color w:val="auto"/>
              </w:rPr>
            </w:pPr>
            <w:r>
              <w:rPr>
                <w:rFonts w:ascii="Arial" w:cs="Arial" w:eastAsia="Arial" w:hAnsi="Arial"/>
                <w:sz w:val="18"/>
                <w:szCs w:val="18"/>
                <w:color w:val="auto"/>
              </w:rPr>
              <w:t>​ 1,430,607​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3"/>
                <w:szCs w:val="23"/>
                <w:color w:val="auto"/>
                <w:vertAlign w:val="superscript"/>
              </w:rPr>
              <w:t>(4)</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826,219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Settlement of PSUs</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BECD5"/>
          </w:tcPr>
          <w:p>
            <w:pPr>
              <w:jc w:val="right"/>
              <w:ind w:right="1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left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gridSpan w:val="2"/>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107,552</w:t>
            </w:r>
          </w:p>
        </w:tc>
        <w:tc>
          <w:tcPr>
            <w:tcW w:w="2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107,552</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107,552</w:t>
            </w:r>
          </w:p>
        </w:tc>
        <w:tc>
          <w:tcPr>
            <w:tcW w:w="102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 ​ 107,552</w:t>
            </w:r>
          </w:p>
        </w:tc>
        <w:tc>
          <w:tcPr>
            <w:tcW w:w="3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107,552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160" w:type="dxa"/>
            <w:vAlign w:val="bottom"/>
            <w:tcBorders>
              <w:left w:val="single" w:sz="8" w:color="CBECD5"/>
              <w:bottom w:val="single" w:sz="8" w:color="CBECD5"/>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CBECD5"/>
            </w:tcBorders>
            <w:gridSpan w:val="2"/>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220" w:type="dxa"/>
            <w:vAlign w:val="bottom"/>
            <w:tcBorders>
              <w:bottom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8"/>
                <w:szCs w:val="18"/>
                <w:color w:val="auto"/>
              </w:rPr>
              <w:t>​ 273,809</w:t>
            </w:r>
          </w:p>
        </w:tc>
        <w:tc>
          <w:tcPr>
            <w:tcW w:w="220" w:type="dxa"/>
            <w:vAlign w:val="bottom"/>
            <w:tcBorders>
              <w:bottom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8"/>
                <w:szCs w:val="18"/>
                <w:color w:val="auto"/>
              </w:rPr>
              <w:t>​ 273,809</w:t>
            </w:r>
          </w:p>
        </w:tc>
        <w:tc>
          <w:tcPr>
            <w:tcW w:w="3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273,809</w:t>
            </w:r>
          </w:p>
        </w:tc>
        <w:tc>
          <w:tcPr>
            <w:tcW w:w="102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 273,809</w:t>
            </w:r>
          </w:p>
        </w:tc>
        <w:tc>
          <w:tcPr>
            <w:tcW w:w="3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bottom w:val="single" w:sz="8" w:color="CBECD5"/>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273,809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0" w:type="dxa"/>
            <w:vAlign w:val="bottom"/>
            <w:tcBorders>
              <w:left w:val="single" w:sz="8" w:color="53C072"/>
            </w:tcBorders>
            <w:shd w:val="clear" w:color="auto" w:fill="53C072"/>
          </w:tcPr>
          <w:p>
            <w:pPr>
              <w:spacing w:after="0"/>
              <w:rPr>
                <w:sz w:val="2"/>
                <w:szCs w:val="2"/>
                <w:color w:val="auto"/>
              </w:rPr>
            </w:pPr>
          </w:p>
        </w:tc>
        <w:tc>
          <w:tcPr>
            <w:tcW w:w="540" w:type="dxa"/>
            <w:vAlign w:val="bottom"/>
            <w:shd w:val="clear" w:color="auto" w:fill="53C072"/>
          </w:tcPr>
          <w:p>
            <w:pPr>
              <w:spacing w:after="0"/>
              <w:rPr>
                <w:sz w:val="2"/>
                <w:szCs w:val="2"/>
                <w:color w:val="auto"/>
              </w:rPr>
            </w:pPr>
          </w:p>
        </w:tc>
        <w:tc>
          <w:tcPr>
            <w:tcW w:w="3820" w:type="dxa"/>
            <w:vAlign w:val="bottom"/>
            <w:shd w:val="clear" w:color="auto" w:fill="53C072"/>
          </w:tcPr>
          <w:p>
            <w:pPr>
              <w:spacing w:after="0"/>
              <w:rPr>
                <w:sz w:val="2"/>
                <w:szCs w:val="2"/>
                <w:color w:val="auto"/>
              </w:rPr>
            </w:pPr>
          </w:p>
        </w:tc>
        <w:tc>
          <w:tcPr>
            <w:tcW w:w="220" w:type="dxa"/>
            <w:vAlign w:val="bottom"/>
            <w:shd w:val="clear" w:color="auto" w:fill="53C072"/>
          </w:tcPr>
          <w:p>
            <w:pPr>
              <w:spacing w:after="0"/>
              <w:rPr>
                <w:sz w:val="2"/>
                <w:szCs w:val="2"/>
                <w:color w:val="auto"/>
              </w:rPr>
            </w:pPr>
          </w:p>
        </w:tc>
        <w:tc>
          <w:tcPr>
            <w:tcW w:w="120" w:type="dxa"/>
            <w:vAlign w:val="bottom"/>
            <w:shd w:val="clear" w:color="auto" w:fill="53C072"/>
          </w:tcPr>
          <w:p>
            <w:pPr>
              <w:spacing w:after="0"/>
              <w:rPr>
                <w:sz w:val="2"/>
                <w:szCs w:val="2"/>
                <w:color w:val="auto"/>
              </w:rPr>
            </w:pPr>
          </w:p>
        </w:tc>
        <w:tc>
          <w:tcPr>
            <w:tcW w:w="680" w:type="dxa"/>
            <w:vAlign w:val="bottom"/>
            <w:shd w:val="clear" w:color="auto" w:fill="53C072"/>
          </w:tcPr>
          <w:p>
            <w:pPr>
              <w:spacing w:after="0"/>
              <w:rPr>
                <w:sz w:val="2"/>
                <w:szCs w:val="2"/>
                <w:color w:val="auto"/>
              </w:rPr>
            </w:pPr>
          </w:p>
        </w:tc>
        <w:tc>
          <w:tcPr>
            <w:tcW w:w="220" w:type="dxa"/>
            <w:vAlign w:val="bottom"/>
            <w:shd w:val="clear" w:color="auto" w:fill="53C072"/>
          </w:tcPr>
          <w:p>
            <w:pPr>
              <w:spacing w:after="0"/>
              <w:rPr>
                <w:sz w:val="2"/>
                <w:szCs w:val="2"/>
                <w:color w:val="auto"/>
              </w:rPr>
            </w:pPr>
          </w:p>
        </w:tc>
        <w:tc>
          <w:tcPr>
            <w:tcW w:w="80" w:type="dxa"/>
            <w:vAlign w:val="bottom"/>
            <w:shd w:val="clear" w:color="auto" w:fill="53C072"/>
          </w:tcPr>
          <w:p>
            <w:pPr>
              <w:spacing w:after="0"/>
              <w:rPr>
                <w:sz w:val="2"/>
                <w:szCs w:val="2"/>
                <w:color w:val="auto"/>
              </w:rPr>
            </w:pPr>
          </w:p>
        </w:tc>
        <w:tc>
          <w:tcPr>
            <w:tcW w:w="700" w:type="dxa"/>
            <w:vAlign w:val="bottom"/>
            <w:shd w:val="clear" w:color="auto" w:fill="53C072"/>
          </w:tcPr>
          <w:p>
            <w:pPr>
              <w:spacing w:after="0"/>
              <w:rPr>
                <w:sz w:val="2"/>
                <w:szCs w:val="2"/>
                <w:color w:val="auto"/>
              </w:rPr>
            </w:pPr>
          </w:p>
        </w:tc>
        <w:tc>
          <w:tcPr>
            <w:tcW w:w="320" w:type="dxa"/>
            <w:vAlign w:val="bottom"/>
            <w:shd w:val="clear" w:color="auto" w:fill="53C072"/>
          </w:tcPr>
          <w:p>
            <w:pPr>
              <w:spacing w:after="0"/>
              <w:rPr>
                <w:sz w:val="2"/>
                <w:szCs w:val="2"/>
                <w:color w:val="auto"/>
              </w:rPr>
            </w:pPr>
          </w:p>
        </w:tc>
        <w:tc>
          <w:tcPr>
            <w:tcW w:w="760" w:type="dxa"/>
            <w:vAlign w:val="bottom"/>
            <w:shd w:val="clear" w:color="auto" w:fill="53C072"/>
          </w:tcPr>
          <w:p>
            <w:pPr>
              <w:spacing w:after="0"/>
              <w:rPr>
                <w:sz w:val="2"/>
                <w:szCs w:val="2"/>
                <w:color w:val="auto"/>
              </w:rPr>
            </w:pPr>
          </w:p>
        </w:tc>
        <w:tc>
          <w:tcPr>
            <w:tcW w:w="380" w:type="dxa"/>
            <w:vAlign w:val="bottom"/>
            <w:shd w:val="clear" w:color="auto" w:fill="53C072"/>
          </w:tcPr>
          <w:p>
            <w:pPr>
              <w:spacing w:after="0"/>
              <w:rPr>
                <w:sz w:val="2"/>
                <w:szCs w:val="2"/>
                <w:color w:val="auto"/>
              </w:rPr>
            </w:pPr>
          </w:p>
        </w:tc>
        <w:tc>
          <w:tcPr>
            <w:tcW w:w="640" w:type="dxa"/>
            <w:vAlign w:val="bottom"/>
            <w:shd w:val="clear" w:color="auto" w:fill="53C072"/>
          </w:tcPr>
          <w:p>
            <w:pPr>
              <w:spacing w:after="0"/>
              <w:rPr>
                <w:sz w:val="2"/>
                <w:szCs w:val="2"/>
                <w:color w:val="auto"/>
              </w:rPr>
            </w:pPr>
          </w:p>
        </w:tc>
        <w:tc>
          <w:tcPr>
            <w:tcW w:w="320" w:type="dxa"/>
            <w:vAlign w:val="bottom"/>
            <w:shd w:val="clear" w:color="auto" w:fill="53C072"/>
          </w:tcPr>
          <w:p>
            <w:pPr>
              <w:spacing w:after="0"/>
              <w:rPr>
                <w:sz w:val="2"/>
                <w:szCs w:val="2"/>
                <w:color w:val="auto"/>
              </w:rPr>
            </w:pPr>
          </w:p>
        </w:tc>
        <w:tc>
          <w:tcPr>
            <w:tcW w:w="760" w:type="dxa"/>
            <w:vAlign w:val="bottom"/>
            <w:tcBorders>
              <w:right w:val="single" w:sz="8" w:color="53C072"/>
            </w:tcBorders>
            <w:shd w:val="clear" w:color="auto" w:fill="53C07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-1508125</wp:posOffset>
            </wp:positionV>
            <wp:extent cx="6180455"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80455" cy="146050"/>
                    </a:xfrm>
                    <a:prstGeom prst="rect">
                      <a:avLst/>
                    </a:prstGeom>
                    <a:noFill/>
                  </pic:spPr>
                </pic:pic>
              </a:graphicData>
            </a:graphic>
          </wp:anchor>
        </w:drawing>
      </w:r>
    </w:p>
    <w:p>
      <w:pPr>
        <w:spacing w:after="0" w:line="116" w:lineRule="exact"/>
        <w:rPr>
          <w:sz w:val="20"/>
          <w:szCs w:val="20"/>
          <w:color w:val="auto"/>
        </w:rPr>
      </w:pPr>
    </w:p>
    <w:p>
      <w:pPr>
        <w:ind w:left="1220" w:right="440" w:hanging="365"/>
        <w:spacing w:after="0" w:line="275" w:lineRule="auto"/>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Severance payments for Gallagher, Jacobson, Arnold, McCoy and Obregon-Jimenez are covered under their employment agreements and such amount includes their target incentive for fiscal year 2023.</w:t>
      </w:r>
    </w:p>
    <w:p>
      <w:pPr>
        <w:spacing w:after="0" w:line="106" w:lineRule="exact"/>
        <w:rPr>
          <w:rFonts w:ascii="Arial" w:cs="Arial" w:eastAsia="Arial" w:hAnsi="Arial"/>
          <w:sz w:val="18"/>
          <w:szCs w:val="18"/>
          <w:color w:val="auto"/>
        </w:rPr>
      </w:pPr>
    </w:p>
    <w:p>
      <w:pPr>
        <w:ind w:left="1220" w:right="300" w:hanging="365"/>
        <w:spacing w:after="0" w:line="275" w:lineRule="auto"/>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value of RSUs reflected in the table above under death and change of control equals the value of all RSUs allocated to the NEOs but not yet vested at July 1, 2023.</w:t>
      </w:r>
    </w:p>
    <w:p>
      <w:pPr>
        <w:spacing w:after="0" w:line="92" w:lineRule="exact"/>
        <w:rPr>
          <w:rFonts w:ascii="Arial" w:cs="Arial" w:eastAsia="Arial" w:hAnsi="Arial"/>
          <w:sz w:val="18"/>
          <w:szCs w:val="18"/>
          <w:color w:val="auto"/>
        </w:rPr>
      </w:pPr>
    </w:p>
    <w:p>
      <w:pPr>
        <w:ind w:left="1220" w:right="120" w:hanging="365"/>
        <w:spacing w:after="0" w:line="258" w:lineRule="auto"/>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value of PSUs in the table above for Messrs. Gallagher, Jacobson, Arnold and McCoy are for the performance period covering FY 2023 to FY 2025 and include the PSUs earned for the first tranche for the performance applicable to fiscal 2023, as discussed in the CD&amp;A. For the remaining second and third tranches of the grant we have assumed performance at target.</w:t>
      </w:r>
    </w:p>
    <w:p>
      <w:pPr>
        <w:spacing w:after="0" w:line="122" w:lineRule="exact"/>
        <w:rPr>
          <w:rFonts w:ascii="Arial" w:cs="Arial" w:eastAsia="Arial" w:hAnsi="Arial"/>
          <w:sz w:val="18"/>
          <w:szCs w:val="18"/>
          <w:color w:val="auto"/>
        </w:rPr>
      </w:pPr>
    </w:p>
    <w:p>
      <w:pPr>
        <w:ind w:left="1220" w:right="80" w:hanging="365"/>
        <w:spacing w:after="0" w:line="254" w:lineRule="auto"/>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Because Mr. Gallagher and Mr. Arnold are retirement eligible under the applicable equity compensation plans, the amount of potential payouts regarding RSUs and Stock Options in the event of a disability or termination by the Company without cause is the same as that under Retirement because the amount received upon retirement is greater than would be received upon a disability or termination without cause. Mr. Liguori was also retirement eligible at the time of his departure and as such his unvested Stock Options will continue to vest and be exercisable through March 31, 2028 and his RSUs will continue to vest pursuant to the vesting schedule in the grant agreements.</w:t>
      </w:r>
    </w:p>
    <w:p>
      <w:pPr>
        <w:spacing w:after="0" w:line="127" w:lineRule="exact"/>
        <w:rPr>
          <w:rFonts w:ascii="Arial" w:cs="Arial" w:eastAsia="Arial" w:hAnsi="Arial"/>
          <w:sz w:val="18"/>
          <w:szCs w:val="18"/>
          <w:color w:val="auto"/>
        </w:rPr>
      </w:pPr>
    </w:p>
    <w:p>
      <w:pPr>
        <w:ind w:left="1220" w:right="160" w:hanging="365"/>
        <w:spacing w:after="0" w:line="263" w:lineRule="auto"/>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Gallagher has received all of his supplemental retirement benefits under the SERP during fiscal 2023. The amount included above is for the death benefit provided under the SERP as discussed above relating to Pension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Arial" w:cs="Arial" w:eastAsia="Arial" w:hAnsi="Arial"/>
          <w:sz w:val="40"/>
          <w:szCs w:val="40"/>
          <w:b w:val="1"/>
          <w:bCs w:val="1"/>
          <w:color w:val="FEFEFE"/>
        </w:rPr>
        <w:t>CEO PAY RATIO</w:t>
      </w:r>
      <w:r>
        <w:rPr>
          <w:rFonts w:ascii="Arial" w:cs="Arial" w:eastAsia="Arial" w:hAnsi="Arial"/>
          <w:sz w:val="17"/>
          <w:szCs w:val="17"/>
          <w:color w:val="FEFEFE"/>
        </w:rPr>
        <w:t>​</w:t>
      </w:r>
    </w:p>
    <w:p>
      <w:pPr>
        <w:spacing w:after="0" w:line="354" w:lineRule="exact"/>
        <w:rPr>
          <w:sz w:val="20"/>
          <w:szCs w:val="20"/>
          <w:color w:val="auto"/>
        </w:rPr>
      </w:pPr>
    </w:p>
    <w:p>
      <w:pPr>
        <w:ind w:left="1000" w:right="179"/>
        <w:spacing w:after="0" w:line="255" w:lineRule="auto"/>
        <w:rPr>
          <w:sz w:val="20"/>
          <w:szCs w:val="20"/>
          <w:color w:val="auto"/>
        </w:rPr>
      </w:pPr>
      <w:r>
        <w:rPr>
          <w:rFonts w:ascii="Arial" w:cs="Arial" w:eastAsia="Arial" w:hAnsi="Arial"/>
          <w:sz w:val="18"/>
          <w:szCs w:val="18"/>
          <w:color w:val="auto"/>
        </w:rPr>
        <w:t>The following is information about the relationship of the annual total compensation paid to the individual identified as its median paid employee and the annual total compensation of the CEO, Mr. Gallagher. The company determined a new median employee for fiscal 2021 and since there were no significant changes in fiscal 2022 or 2023, the company is using the same median employee identified in fiscal 2021. The fiscal 2023 total compensation of the individual identified as the median paid employee, other than the Company’s CEO, was $47,512. Mr. Gallagher’s fiscal 2023 total compensation was $9,716,827.</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ratio of CEO to median employee pay was 205 to 1.</w:t>
      </w:r>
    </w:p>
    <w:p>
      <w:pPr>
        <w:spacing w:after="0" w:line="158" w:lineRule="exact"/>
        <w:rPr>
          <w:sz w:val="20"/>
          <w:szCs w:val="20"/>
          <w:color w:val="auto"/>
        </w:rPr>
      </w:pPr>
    </w:p>
    <w:p>
      <w:pPr>
        <w:ind w:left="1000" w:right="279"/>
        <w:spacing w:after="0" w:line="275"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in calculating the CEO pay ratio for fiscal 2022:</w:t>
      </w:r>
    </w:p>
    <w:p>
      <w:pPr>
        <w:spacing w:after="0" w:line="96" w:lineRule="exact"/>
        <w:rPr>
          <w:sz w:val="20"/>
          <w:szCs w:val="20"/>
          <w:color w:val="auto"/>
        </w:rPr>
      </w:pPr>
    </w:p>
    <w:p>
      <w:pPr>
        <w:ind w:left="1720" w:right="579" w:hanging="370"/>
        <w:spacing w:after="0" w:line="287" w:lineRule="auto"/>
        <w:tabs>
          <w:tab w:leader="none" w:pos="1720" w:val="left"/>
        </w:tabs>
        <w:numPr>
          <w:ilvl w:val="0"/>
          <w:numId w:val="81"/>
        </w:numPr>
        <w:rPr>
          <w:rFonts w:ascii="Arial" w:cs="Arial" w:eastAsia="Arial" w:hAnsi="Arial"/>
          <w:sz w:val="18"/>
          <w:szCs w:val="18"/>
          <w:color w:val="53C072"/>
        </w:rPr>
      </w:pPr>
      <w:r>
        <w:rPr>
          <w:rFonts w:ascii="Arial" w:cs="Arial" w:eastAsia="Arial" w:hAnsi="Arial"/>
          <w:sz w:val="18"/>
          <w:szCs w:val="18"/>
          <w:b w:val="1"/>
          <w:bCs w:val="1"/>
          <w:color w:val="53C072"/>
        </w:rPr>
        <w:t xml:space="preserve">Compensation Time Period: </w:t>
      </w:r>
      <w:r>
        <w:rPr>
          <w:rFonts w:ascii="Arial" w:cs="Arial" w:eastAsia="Arial" w:hAnsi="Arial"/>
          <w:sz w:val="18"/>
          <w:szCs w:val="18"/>
          <w:color w:val="000000"/>
        </w:rPr>
        <w:t>The Company measured compensation for the above employee</w:t>
      </w:r>
      <w:r>
        <w:rPr>
          <w:rFonts w:ascii="Arial" w:cs="Arial" w:eastAsia="Arial" w:hAnsi="Arial"/>
          <w:sz w:val="18"/>
          <w:szCs w:val="18"/>
          <w:b w:val="1"/>
          <w:bCs w:val="1"/>
          <w:color w:val="53C072"/>
        </w:rPr>
        <w:t xml:space="preserve"> </w:t>
      </w:r>
      <w:r>
        <w:rPr>
          <w:rFonts w:ascii="Arial" w:cs="Arial" w:eastAsia="Arial" w:hAnsi="Arial"/>
          <w:sz w:val="18"/>
          <w:szCs w:val="18"/>
          <w:color w:val="000000"/>
        </w:rPr>
        <w:t>using the 12-month fiscal period of July 3, 2022 through July 1, 2023.</w:t>
      </w:r>
    </w:p>
    <w:p>
      <w:pPr>
        <w:spacing w:after="0" w:line="85" w:lineRule="exact"/>
        <w:rPr>
          <w:rFonts w:ascii="Arial" w:cs="Arial" w:eastAsia="Arial" w:hAnsi="Arial"/>
          <w:sz w:val="18"/>
          <w:szCs w:val="18"/>
          <w:color w:val="53C072"/>
        </w:rPr>
      </w:pPr>
    </w:p>
    <w:p>
      <w:pPr>
        <w:ind w:left="1720" w:right="139" w:hanging="370"/>
        <w:spacing w:after="0" w:line="268" w:lineRule="auto"/>
        <w:tabs>
          <w:tab w:leader="none" w:pos="1720" w:val="left"/>
        </w:tabs>
        <w:numPr>
          <w:ilvl w:val="0"/>
          <w:numId w:val="81"/>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Median Paid Employee’s Pay for CEO Ratio: </w:t>
      </w:r>
      <w:r>
        <w:rPr>
          <w:rFonts w:ascii="Arial" w:cs="Arial" w:eastAsia="Arial" w:hAnsi="Arial"/>
          <w:sz w:val="18"/>
          <w:szCs w:val="18"/>
          <w:color w:val="000000"/>
        </w:rPr>
        <w:t>The individual identified as the median</w:t>
      </w:r>
      <w:r>
        <w:rPr>
          <w:rFonts w:ascii="Arial" w:cs="Arial" w:eastAsia="Arial" w:hAnsi="Arial"/>
          <w:sz w:val="18"/>
          <w:szCs w:val="18"/>
          <w:b w:val="1"/>
          <w:bCs w:val="1"/>
          <w:color w:val="53C072"/>
        </w:rPr>
        <w:t xml:space="preserve"> </w:t>
      </w:r>
      <w:r>
        <w:rPr>
          <w:rFonts w:ascii="Arial" w:cs="Arial" w:eastAsia="Arial" w:hAnsi="Arial"/>
          <w:sz w:val="18"/>
          <w:szCs w:val="18"/>
          <w:color w:val="000000"/>
        </w:rPr>
        <w:t>paid employee received actual earnings in the amount of for fiscal 2023, calculated in accordance with the requirements of Item 402(c)(2)(x) of Regulation S-K.</w:t>
      </w:r>
    </w:p>
    <w:p>
      <w:pPr>
        <w:spacing w:after="0" w:line="89" w:lineRule="exact"/>
        <w:rPr>
          <w:rFonts w:ascii="Arial" w:cs="Arial" w:eastAsia="Arial" w:hAnsi="Arial"/>
          <w:sz w:val="18"/>
          <w:szCs w:val="18"/>
          <w:color w:val="53C072"/>
        </w:rPr>
      </w:pPr>
    </w:p>
    <w:p>
      <w:pPr>
        <w:ind w:left="1720" w:right="619" w:hanging="370"/>
        <w:spacing w:after="0" w:line="268" w:lineRule="auto"/>
        <w:tabs>
          <w:tab w:leader="none" w:pos="1720" w:val="left"/>
        </w:tabs>
        <w:numPr>
          <w:ilvl w:val="0"/>
          <w:numId w:val="81"/>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CEO’s Pay for CEO Ratio: </w:t>
      </w:r>
      <w:r>
        <w:rPr>
          <w:rFonts w:ascii="Arial" w:cs="Arial" w:eastAsia="Arial" w:hAnsi="Arial"/>
          <w:sz w:val="18"/>
          <w:szCs w:val="18"/>
          <w:color w:val="000000"/>
        </w:rPr>
        <w:t>With respect to the annual total compensation of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CEO, the Company used the amount reported in the “Total” column of the 2023 Summary Compensation Table included in this Proxy Statement.</w:t>
      </w:r>
    </w:p>
    <w:p>
      <w:pPr>
        <w:spacing w:after="0" w:line="113" w:lineRule="exact"/>
        <w:rPr>
          <w:sz w:val="20"/>
          <w:szCs w:val="20"/>
          <w:color w:val="auto"/>
        </w:rPr>
      </w:pPr>
    </w:p>
    <w:p>
      <w:pPr>
        <w:ind w:left="1000" w:right="319"/>
        <w:spacing w:after="0" w:line="258" w:lineRule="auto"/>
        <w:rPr>
          <w:sz w:val="20"/>
          <w:szCs w:val="20"/>
          <w:color w:val="auto"/>
        </w:rPr>
      </w:pPr>
      <w:r>
        <w:rPr>
          <w:rFonts w:ascii="Arial" w:cs="Arial" w:eastAsia="Arial" w:hAnsi="Arial"/>
          <w:sz w:val="18"/>
          <w:szCs w:val="18"/>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64     </w:t>
      </w:r>
      <w:r>
        <w:rPr>
          <w:sz w:val="1"/>
          <w:szCs w:val="1"/>
          <w:color w:val="auto"/>
        </w:rPr>
        <w:drawing>
          <wp:inline distT="0" distB="0" distL="0" distR="0">
            <wp:extent cx="1242695" cy="24003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60"/>
        <w:spacing w:after="0"/>
        <w:rPr>
          <w:sz w:val="20"/>
          <w:szCs w:val="20"/>
          <w:color w:val="auto"/>
        </w:rPr>
      </w:pPr>
      <w:r>
        <w:rPr>
          <w:rFonts w:ascii="Arial" w:cs="Arial" w:eastAsia="Arial" w:hAnsi="Arial"/>
          <w:sz w:val="40"/>
          <w:szCs w:val="40"/>
          <w:b w:val="1"/>
          <w:bCs w:val="1"/>
          <w:color w:val="FEFEFE"/>
        </w:rPr>
        <w:t>PAY VERSUS PERFORMANCE</w:t>
      </w:r>
    </w:p>
    <w:p>
      <w:pPr>
        <w:spacing w:after="0" w:line="354" w:lineRule="exact"/>
        <w:rPr>
          <w:sz w:val="20"/>
          <w:szCs w:val="20"/>
          <w:color w:val="auto"/>
        </w:rPr>
      </w:pPr>
    </w:p>
    <w:p>
      <w:pPr>
        <w:ind w:left="1000" w:right="239"/>
        <w:spacing w:after="0" w:line="275" w:lineRule="auto"/>
        <w:rPr>
          <w:sz w:val="20"/>
          <w:szCs w:val="20"/>
          <w:color w:val="auto"/>
        </w:rPr>
      </w:pPr>
      <w:r>
        <w:rPr>
          <w:rFonts w:ascii="Arial" w:cs="Arial" w:eastAsia="Arial" w:hAnsi="Arial"/>
          <w:sz w:val="18"/>
          <w:szCs w:val="18"/>
          <w:color w:val="auto"/>
        </w:rPr>
        <w:t>Compensation Actually Paid (“CAP”) and certain Company financial performance measures for the past three fiscal years are set forth below.</w:t>
      </w:r>
    </w:p>
    <w:p>
      <w:pPr>
        <w:spacing w:after="0" w:line="106" w:lineRule="exact"/>
        <w:rPr>
          <w:sz w:val="20"/>
          <w:szCs w:val="20"/>
          <w:color w:val="auto"/>
        </w:rPr>
      </w:pPr>
    </w:p>
    <w:p>
      <w:pPr>
        <w:ind w:left="1000" w:right="319"/>
        <w:spacing w:after="0" w:line="256" w:lineRule="auto"/>
        <w:rPr>
          <w:sz w:val="20"/>
          <w:szCs w:val="20"/>
          <w:color w:val="auto"/>
        </w:rPr>
      </w:pPr>
      <w:r>
        <w:rPr>
          <w:rFonts w:ascii="Arial" w:cs="Arial" w:eastAsia="Arial" w:hAnsi="Arial"/>
          <w:sz w:val="18"/>
          <w:szCs w:val="18"/>
          <w:color w:val="auto"/>
        </w:rPr>
        <w:t>CAP is calculated as required under applicable SEC rules and presented on an individual basis for each principal executive officer of the Company (“PEO”) and as an average for the other NEOs of the Company serving during the presented years. CAP does not reflect the actual amount of compensation earned or realized by such NEO during a covered year. Please see the footnotes to the Pay Versus Performance Table below for more detailed information on the calculation of CAP.</w:t>
      </w:r>
    </w:p>
    <w:p>
      <w:pPr>
        <w:spacing w:after="0" w:line="111" w:lineRule="exact"/>
        <w:rPr>
          <w:sz w:val="20"/>
          <w:szCs w:val="20"/>
          <w:color w:val="auto"/>
        </w:rPr>
      </w:pPr>
    </w:p>
    <w:p>
      <w:pPr>
        <w:ind w:left="1000" w:right="139"/>
        <w:spacing w:after="0" w:line="258" w:lineRule="auto"/>
        <w:rPr>
          <w:sz w:val="20"/>
          <w:szCs w:val="20"/>
          <w:color w:val="auto"/>
        </w:rPr>
      </w:pPr>
      <w:r>
        <w:rPr>
          <w:rFonts w:ascii="Arial" w:cs="Arial" w:eastAsia="Arial" w:hAnsi="Arial"/>
          <w:sz w:val="18"/>
          <w:szCs w:val="18"/>
          <w:color w:val="auto"/>
        </w:rPr>
        <w:t>Neither the Compensation and Leadership Development Committee nor the Board used CAP or net income as the basis for making compensation decisions. For more information concerning the Company’s pay-for-performance philosophy and how it aligns executive compensation with the Company’s performance, please see “Compensation Discussion and Analysis.”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PAY VERSUS PERFORMANCE TABLE</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150"/>
        </w:trPr>
        <w:tc>
          <w:tcPr>
            <w:tcW w:w="460" w:type="dxa"/>
            <w:vAlign w:val="bottom"/>
            <w:shd w:val="clear" w:color="auto" w:fill="53C072"/>
          </w:tcPr>
          <w:p>
            <w:pPr>
              <w:spacing w:after="0"/>
              <w:rPr>
                <w:sz w:val="13"/>
                <w:szCs w:val="13"/>
                <w:color w:val="auto"/>
              </w:rPr>
            </w:pPr>
          </w:p>
        </w:tc>
        <w:tc>
          <w:tcPr>
            <w:tcW w:w="820" w:type="dxa"/>
            <w:vAlign w:val="bottom"/>
            <w:shd w:val="clear" w:color="auto" w:fill="53C072"/>
          </w:tcPr>
          <w:p>
            <w:pPr>
              <w:spacing w:after="0"/>
              <w:rPr>
                <w:sz w:val="13"/>
                <w:szCs w:val="13"/>
                <w:color w:val="auto"/>
              </w:rPr>
            </w:pPr>
          </w:p>
        </w:tc>
        <w:tc>
          <w:tcPr>
            <w:tcW w:w="2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780" w:type="dxa"/>
            <w:vAlign w:val="bottom"/>
            <w:shd w:val="clear" w:color="auto" w:fill="53C072"/>
          </w:tcPr>
          <w:p>
            <w:pPr>
              <w:jc w:val="right"/>
              <w:ind w:right="140"/>
              <w:spacing w:after="0"/>
              <w:rPr>
                <w:sz w:val="20"/>
                <w:szCs w:val="20"/>
                <w:color w:val="auto"/>
              </w:rPr>
            </w:pPr>
            <w:r>
              <w:rPr>
                <w:rFonts w:ascii="Arial" w:cs="Arial" w:eastAsia="Arial" w:hAnsi="Arial"/>
                <w:sz w:val="12"/>
                <w:szCs w:val="12"/>
                <w:b w:val="1"/>
                <w:bCs w:val="1"/>
                <w:color w:val="FEFEFE"/>
              </w:rPr>
              <w:t>Summary</w:t>
            </w:r>
          </w:p>
        </w:tc>
        <w:tc>
          <w:tcPr>
            <w:tcW w:w="1420" w:type="dxa"/>
            <w:vAlign w:val="bottom"/>
            <w:gridSpan w:val="2"/>
            <w:shd w:val="clear" w:color="auto" w:fill="53C072"/>
          </w:tcPr>
          <w:p>
            <w:pPr>
              <w:jc w:val="right"/>
              <w:spacing w:after="0"/>
              <w:rPr>
                <w:sz w:val="20"/>
                <w:szCs w:val="20"/>
                <w:color w:val="auto"/>
              </w:rPr>
            </w:pPr>
            <w:r>
              <w:rPr>
                <w:rFonts w:ascii="Arial" w:cs="Arial" w:eastAsia="Arial" w:hAnsi="Arial"/>
                <w:sz w:val="12"/>
                <w:szCs w:val="12"/>
                <w:b w:val="1"/>
                <w:bCs w:val="1"/>
                <w:color w:val="FEFEFE"/>
              </w:rPr>
              <w:t>Avg. Summary</w:t>
            </w:r>
          </w:p>
        </w:tc>
        <w:tc>
          <w:tcPr>
            <w:tcW w:w="860" w:type="dxa"/>
            <w:vAlign w:val="bottom"/>
            <w:shd w:val="clear" w:color="auto" w:fill="53C072"/>
          </w:tcPr>
          <w:p>
            <w:pPr>
              <w:spacing w:after="0"/>
              <w:rPr>
                <w:sz w:val="13"/>
                <w:szCs w:val="13"/>
                <w:color w:val="auto"/>
              </w:rPr>
            </w:pPr>
          </w:p>
        </w:tc>
        <w:tc>
          <w:tcPr>
            <w:tcW w:w="1580" w:type="dxa"/>
            <w:vAlign w:val="bottom"/>
            <w:gridSpan w:val="3"/>
            <w:shd w:val="clear" w:color="auto" w:fill="53C072"/>
          </w:tcPr>
          <w:p>
            <w:pPr>
              <w:ind w:left="120"/>
              <w:spacing w:after="0"/>
              <w:rPr>
                <w:sz w:val="20"/>
                <w:szCs w:val="20"/>
                <w:color w:val="auto"/>
              </w:rPr>
            </w:pPr>
            <w:r>
              <w:rPr>
                <w:rFonts w:ascii="Arial" w:cs="Arial" w:eastAsia="Arial" w:hAnsi="Arial"/>
                <w:sz w:val="12"/>
                <w:szCs w:val="12"/>
                <w:b w:val="1"/>
                <w:bCs w:val="1"/>
                <w:color w:val="FEFEFE"/>
                <w:w w:val="98"/>
              </w:rPr>
              <w:t>Value of Initial Fixed $100</w:t>
            </w:r>
          </w:p>
        </w:tc>
        <w:tc>
          <w:tcPr>
            <w:tcW w:w="4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300" w:type="dxa"/>
            <w:vAlign w:val="bottom"/>
            <w:shd w:val="clear" w:color="auto" w:fill="53C072"/>
          </w:tcPr>
          <w:p>
            <w:pPr>
              <w:spacing w:after="0"/>
              <w:rPr>
                <w:sz w:val="13"/>
                <w:szCs w:val="13"/>
                <w:color w:val="auto"/>
              </w:rPr>
            </w:pPr>
          </w:p>
        </w:tc>
        <w:tc>
          <w:tcPr>
            <w:tcW w:w="50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 w:type="dxa"/>
            <w:vAlign w:val="bottom"/>
            <w:shd w:val="clear" w:color="auto" w:fill="53C072"/>
          </w:tcPr>
          <w:p>
            <w:pPr>
              <w:spacing w:after="0"/>
              <w:rPr>
                <w:sz w:val="11"/>
                <w:szCs w:val="11"/>
                <w:color w:val="auto"/>
              </w:rPr>
            </w:pPr>
          </w:p>
        </w:tc>
        <w:tc>
          <w:tcPr>
            <w:tcW w:w="1040" w:type="dxa"/>
            <w:vAlign w:val="bottom"/>
            <w:gridSpan w:val="2"/>
            <w:shd w:val="clear" w:color="auto" w:fill="53C072"/>
          </w:tcPr>
          <w:p>
            <w:pPr>
              <w:jc w:val="right"/>
              <w:ind w:right="157"/>
              <w:spacing w:after="0" w:line="135" w:lineRule="exact"/>
              <w:rPr>
                <w:sz w:val="20"/>
                <w:szCs w:val="20"/>
                <w:color w:val="auto"/>
              </w:rPr>
            </w:pPr>
            <w:r>
              <w:rPr>
                <w:rFonts w:ascii="Arial" w:cs="Arial" w:eastAsia="Arial" w:hAnsi="Arial"/>
                <w:sz w:val="12"/>
                <w:szCs w:val="12"/>
                <w:b w:val="1"/>
                <w:bCs w:val="1"/>
                <w:color w:val="FEFEFE"/>
              </w:rPr>
              <w:t>Summary</w:t>
            </w:r>
          </w:p>
        </w:tc>
        <w:tc>
          <w:tcPr>
            <w:tcW w:w="640" w:type="dxa"/>
            <w:vAlign w:val="bottom"/>
            <w:shd w:val="clear" w:color="auto" w:fill="53C072"/>
          </w:tcPr>
          <w:p>
            <w:pPr>
              <w:spacing w:after="0"/>
              <w:rPr>
                <w:sz w:val="11"/>
                <w:szCs w:val="11"/>
                <w:color w:val="auto"/>
              </w:rPr>
            </w:pPr>
          </w:p>
        </w:tc>
        <w:tc>
          <w:tcPr>
            <w:tcW w:w="980" w:type="dxa"/>
            <w:vAlign w:val="bottom"/>
            <w:gridSpan w:val="2"/>
            <w:shd w:val="clear" w:color="auto" w:fill="53C072"/>
          </w:tcPr>
          <w:p>
            <w:pPr>
              <w:jc w:val="right"/>
              <w:ind w:right="140"/>
              <w:spacing w:after="0" w:line="135" w:lineRule="exact"/>
              <w:rPr>
                <w:sz w:val="20"/>
                <w:szCs w:val="20"/>
                <w:color w:val="auto"/>
              </w:rPr>
            </w:pPr>
            <w:r>
              <w:rPr>
                <w:rFonts w:ascii="Arial" w:cs="Arial" w:eastAsia="Arial" w:hAnsi="Arial"/>
                <w:sz w:val="12"/>
                <w:szCs w:val="12"/>
                <w:b w:val="1"/>
                <w:bCs w:val="1"/>
                <w:color w:val="FEFEFE"/>
              </w:rPr>
              <w:t>Comp. Table</w:t>
            </w:r>
          </w:p>
        </w:tc>
        <w:tc>
          <w:tcPr>
            <w:tcW w:w="620" w:type="dxa"/>
            <w:vAlign w:val="bottom"/>
            <w:vMerge w:val="restart"/>
            <w:shd w:val="clear" w:color="auto" w:fill="53C072"/>
          </w:tcPr>
          <w:p>
            <w:pPr>
              <w:jc w:val="right"/>
              <w:ind w:right="120"/>
              <w:spacing w:after="0"/>
              <w:rPr>
                <w:sz w:val="20"/>
                <w:szCs w:val="20"/>
                <w:color w:val="auto"/>
              </w:rPr>
            </w:pPr>
            <w:r>
              <w:rPr>
                <w:rFonts w:ascii="Arial" w:cs="Arial" w:eastAsia="Arial" w:hAnsi="Arial"/>
                <w:sz w:val="12"/>
                <w:szCs w:val="12"/>
                <w:b w:val="1"/>
                <w:bCs w:val="1"/>
                <w:color w:val="FEFEFE"/>
              </w:rPr>
              <w:t>CAP to</w:t>
            </w:r>
          </w:p>
        </w:tc>
        <w:tc>
          <w:tcPr>
            <w:tcW w:w="80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Comp. Table</w:t>
            </w:r>
          </w:p>
        </w:tc>
        <w:tc>
          <w:tcPr>
            <w:tcW w:w="860" w:type="dxa"/>
            <w:vAlign w:val="bottom"/>
            <w:vMerge w:val="restart"/>
            <w:shd w:val="clear" w:color="auto" w:fill="53C072"/>
          </w:tcPr>
          <w:p>
            <w:pPr>
              <w:jc w:val="right"/>
              <w:ind w:right="19"/>
              <w:spacing w:after="0"/>
              <w:rPr>
                <w:sz w:val="20"/>
                <w:szCs w:val="20"/>
                <w:color w:val="auto"/>
              </w:rPr>
            </w:pPr>
            <w:r>
              <w:rPr>
                <w:rFonts w:ascii="Arial" w:cs="Arial" w:eastAsia="Arial" w:hAnsi="Arial"/>
                <w:sz w:val="12"/>
                <w:szCs w:val="12"/>
                <w:b w:val="1"/>
                <w:bCs w:val="1"/>
                <w:color w:val="FEFEFE"/>
              </w:rPr>
              <w:t>Avg. CAP to</w:t>
            </w:r>
          </w:p>
        </w:tc>
        <w:tc>
          <w:tcPr>
            <w:tcW w:w="1580" w:type="dxa"/>
            <w:vAlign w:val="bottom"/>
            <w:gridSpan w:val="3"/>
            <w:shd w:val="clear" w:color="auto" w:fill="53C072"/>
          </w:tcPr>
          <w:p>
            <w:pPr>
              <w:ind w:left="360"/>
              <w:spacing w:after="0" w:line="135" w:lineRule="exact"/>
              <w:rPr>
                <w:sz w:val="20"/>
                <w:szCs w:val="20"/>
                <w:color w:val="auto"/>
              </w:rPr>
            </w:pPr>
            <w:r>
              <w:rPr>
                <w:rFonts w:ascii="Arial" w:cs="Arial" w:eastAsia="Arial" w:hAnsi="Arial"/>
                <w:sz w:val="12"/>
                <w:szCs w:val="12"/>
                <w:b w:val="1"/>
                <w:bCs w:val="1"/>
                <w:color w:val="FEFEFE"/>
                <w:w w:val="96"/>
              </w:rPr>
              <w:t>Investment Based on:</w:t>
            </w:r>
          </w:p>
        </w:tc>
        <w:tc>
          <w:tcPr>
            <w:tcW w:w="40" w:type="dxa"/>
            <w:vAlign w:val="bottom"/>
            <w:shd w:val="clear" w:color="auto" w:fill="53C072"/>
          </w:tcPr>
          <w:p>
            <w:pPr>
              <w:spacing w:after="0"/>
              <w:rPr>
                <w:sz w:val="11"/>
                <w:szCs w:val="11"/>
                <w:color w:val="auto"/>
              </w:rPr>
            </w:pPr>
          </w:p>
        </w:tc>
        <w:tc>
          <w:tcPr>
            <w:tcW w:w="760" w:type="dxa"/>
            <w:vAlign w:val="bottom"/>
            <w:vMerge w:val="restart"/>
            <w:shd w:val="clear" w:color="auto" w:fill="53C072"/>
          </w:tcPr>
          <w:p>
            <w:pPr>
              <w:jc w:val="right"/>
              <w:spacing w:after="0"/>
              <w:rPr>
                <w:sz w:val="20"/>
                <w:szCs w:val="20"/>
                <w:color w:val="auto"/>
              </w:rPr>
            </w:pPr>
            <w:r>
              <w:rPr>
                <w:rFonts w:ascii="Arial" w:cs="Arial" w:eastAsia="Arial" w:hAnsi="Arial"/>
                <w:sz w:val="12"/>
                <w:szCs w:val="12"/>
                <w:b w:val="1"/>
                <w:bCs w:val="1"/>
                <w:color w:val="FEFEFE"/>
              </w:rPr>
              <w:t>Net</w:t>
            </w:r>
          </w:p>
        </w:tc>
        <w:tc>
          <w:tcPr>
            <w:tcW w:w="80" w:type="dxa"/>
            <w:vAlign w:val="bottom"/>
            <w:shd w:val="clear" w:color="auto" w:fill="53C072"/>
          </w:tcPr>
          <w:p>
            <w:pPr>
              <w:spacing w:after="0"/>
              <w:rPr>
                <w:sz w:val="11"/>
                <w:szCs w:val="11"/>
                <w:color w:val="auto"/>
              </w:rPr>
            </w:pPr>
          </w:p>
        </w:tc>
        <w:tc>
          <w:tcPr>
            <w:tcW w:w="300" w:type="dxa"/>
            <w:vAlign w:val="bottom"/>
            <w:shd w:val="clear" w:color="auto" w:fill="53C072"/>
          </w:tcPr>
          <w:p>
            <w:pPr>
              <w:spacing w:after="0"/>
              <w:rPr>
                <w:sz w:val="11"/>
                <w:szCs w:val="11"/>
                <w:color w:val="auto"/>
              </w:rPr>
            </w:pPr>
          </w:p>
        </w:tc>
        <w:tc>
          <w:tcPr>
            <w:tcW w:w="500" w:type="dxa"/>
            <w:vAlign w:val="bottom"/>
            <w:shd w:val="clear" w:color="auto" w:fill="53C072"/>
          </w:tcPr>
          <w:p>
            <w:pPr>
              <w:spacing w:after="0"/>
              <w:rPr>
                <w:sz w:val="11"/>
                <w:szCs w:val="11"/>
                <w:color w:val="auto"/>
              </w:rPr>
            </w:pPr>
          </w:p>
        </w:tc>
        <w:tc>
          <w:tcPr>
            <w:tcW w:w="100" w:type="dxa"/>
            <w:vAlign w:val="bottom"/>
            <w:shd w:val="clear" w:color="auto" w:fill="53C072"/>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shd w:val="clear" w:color="auto" w:fill="53C072"/>
          </w:tcPr>
          <w:p>
            <w:pPr>
              <w:spacing w:after="0"/>
              <w:rPr>
                <w:sz w:val="10"/>
                <w:szCs w:val="10"/>
                <w:color w:val="auto"/>
              </w:rPr>
            </w:pPr>
          </w:p>
        </w:tc>
        <w:tc>
          <w:tcPr>
            <w:tcW w:w="1040" w:type="dxa"/>
            <w:vAlign w:val="bottom"/>
            <w:gridSpan w:val="2"/>
            <w:shd w:val="clear" w:color="auto" w:fill="53C072"/>
          </w:tcPr>
          <w:p>
            <w:pPr>
              <w:jc w:val="right"/>
              <w:ind w:right="157"/>
              <w:spacing w:after="0" w:line="122" w:lineRule="exact"/>
              <w:rPr>
                <w:sz w:val="20"/>
                <w:szCs w:val="20"/>
                <w:color w:val="auto"/>
              </w:rPr>
            </w:pPr>
            <w:r>
              <w:rPr>
                <w:rFonts w:ascii="Arial" w:cs="Arial" w:eastAsia="Arial" w:hAnsi="Arial"/>
                <w:sz w:val="12"/>
                <w:szCs w:val="12"/>
                <w:b w:val="1"/>
                <w:bCs w:val="1"/>
                <w:color w:val="FEFEFE"/>
              </w:rPr>
              <w:t>Comp. Table</w:t>
            </w:r>
          </w:p>
        </w:tc>
        <w:tc>
          <w:tcPr>
            <w:tcW w:w="640" w:type="dxa"/>
            <w:vAlign w:val="bottom"/>
            <w:shd w:val="clear" w:color="auto" w:fill="53C072"/>
          </w:tcPr>
          <w:p>
            <w:pPr>
              <w:spacing w:after="0"/>
              <w:rPr>
                <w:sz w:val="10"/>
                <w:szCs w:val="10"/>
                <w:color w:val="auto"/>
              </w:rPr>
            </w:pPr>
          </w:p>
        </w:tc>
        <w:tc>
          <w:tcPr>
            <w:tcW w:w="200" w:type="dxa"/>
            <w:vAlign w:val="bottom"/>
            <w:shd w:val="clear" w:color="auto" w:fill="53C072"/>
          </w:tcPr>
          <w:p>
            <w:pPr>
              <w:spacing w:after="0"/>
              <w:rPr>
                <w:sz w:val="10"/>
                <w:szCs w:val="10"/>
                <w:color w:val="auto"/>
              </w:rPr>
            </w:pPr>
          </w:p>
        </w:tc>
        <w:tc>
          <w:tcPr>
            <w:tcW w:w="780" w:type="dxa"/>
            <w:vAlign w:val="bottom"/>
            <w:shd w:val="clear" w:color="auto" w:fill="53C072"/>
          </w:tcPr>
          <w:p>
            <w:pPr>
              <w:jc w:val="right"/>
              <w:ind w:right="140"/>
              <w:spacing w:after="0" w:line="122" w:lineRule="exact"/>
              <w:rPr>
                <w:sz w:val="20"/>
                <w:szCs w:val="20"/>
                <w:color w:val="auto"/>
              </w:rPr>
            </w:pPr>
            <w:r>
              <w:rPr>
                <w:rFonts w:ascii="Arial" w:cs="Arial" w:eastAsia="Arial" w:hAnsi="Arial"/>
                <w:sz w:val="12"/>
                <w:szCs w:val="12"/>
                <w:b w:val="1"/>
                <w:bCs w:val="1"/>
                <w:color w:val="FEFEFE"/>
              </w:rPr>
              <w:t>Total For</w:t>
            </w:r>
          </w:p>
        </w:tc>
        <w:tc>
          <w:tcPr>
            <w:tcW w:w="620" w:type="dxa"/>
            <w:vAlign w:val="bottom"/>
            <w:vMerge w:val="continue"/>
            <w:shd w:val="clear" w:color="auto" w:fill="53C072"/>
          </w:tcPr>
          <w:p>
            <w:pPr>
              <w:spacing w:after="0"/>
              <w:rPr>
                <w:sz w:val="10"/>
                <w:szCs w:val="10"/>
                <w:color w:val="auto"/>
              </w:rPr>
            </w:pPr>
          </w:p>
        </w:tc>
        <w:tc>
          <w:tcPr>
            <w:tcW w:w="800" w:type="dxa"/>
            <w:vAlign w:val="bottom"/>
            <w:shd w:val="clear" w:color="auto" w:fill="53C072"/>
          </w:tcPr>
          <w:p>
            <w:pPr>
              <w:jc w:val="right"/>
              <w:spacing w:after="0" w:line="122" w:lineRule="exact"/>
              <w:rPr>
                <w:sz w:val="20"/>
                <w:szCs w:val="20"/>
                <w:color w:val="auto"/>
              </w:rPr>
            </w:pPr>
            <w:r>
              <w:rPr>
                <w:rFonts w:ascii="Arial" w:cs="Arial" w:eastAsia="Arial" w:hAnsi="Arial"/>
                <w:sz w:val="12"/>
                <w:szCs w:val="12"/>
                <w:b w:val="1"/>
                <w:bCs w:val="1"/>
                <w:color w:val="FEFEFE"/>
              </w:rPr>
              <w:t>Total For</w:t>
            </w:r>
          </w:p>
        </w:tc>
        <w:tc>
          <w:tcPr>
            <w:tcW w:w="860" w:type="dxa"/>
            <w:vAlign w:val="bottom"/>
            <w:vMerge w:val="continue"/>
            <w:shd w:val="clear" w:color="auto" w:fill="53C072"/>
          </w:tcPr>
          <w:p>
            <w:pPr>
              <w:spacing w:after="0"/>
              <w:rPr>
                <w:sz w:val="10"/>
                <w:szCs w:val="10"/>
                <w:color w:val="auto"/>
              </w:rPr>
            </w:pPr>
          </w:p>
        </w:tc>
        <w:tc>
          <w:tcPr>
            <w:tcW w:w="72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760" w:type="dxa"/>
            <w:vAlign w:val="bottom"/>
            <w:shd w:val="clear" w:color="auto" w:fill="53C072"/>
          </w:tcPr>
          <w:p>
            <w:pPr>
              <w:spacing w:after="0"/>
              <w:rPr>
                <w:sz w:val="10"/>
                <w:szCs w:val="10"/>
                <w:color w:val="auto"/>
              </w:rPr>
            </w:pPr>
          </w:p>
        </w:tc>
        <w:tc>
          <w:tcPr>
            <w:tcW w:w="40" w:type="dxa"/>
            <w:vAlign w:val="bottom"/>
            <w:shd w:val="clear" w:color="auto" w:fill="53C072"/>
          </w:tcPr>
          <w:p>
            <w:pPr>
              <w:spacing w:after="0"/>
              <w:rPr>
                <w:sz w:val="10"/>
                <w:szCs w:val="10"/>
                <w:color w:val="auto"/>
              </w:rPr>
            </w:pPr>
          </w:p>
        </w:tc>
        <w:tc>
          <w:tcPr>
            <w:tcW w:w="760" w:type="dxa"/>
            <w:vAlign w:val="bottom"/>
            <w:vMerge w:val="continue"/>
            <w:shd w:val="clear" w:color="auto" w:fill="53C072"/>
          </w:tcPr>
          <w:p>
            <w:pPr>
              <w:spacing w:after="0"/>
              <w:rPr>
                <w:sz w:val="10"/>
                <w:szCs w:val="10"/>
                <w:color w:val="auto"/>
              </w:rPr>
            </w:pPr>
          </w:p>
        </w:tc>
        <w:tc>
          <w:tcPr>
            <w:tcW w:w="80" w:type="dxa"/>
            <w:vAlign w:val="bottom"/>
            <w:shd w:val="clear" w:color="auto" w:fill="53C072"/>
          </w:tcPr>
          <w:p>
            <w:pPr>
              <w:spacing w:after="0"/>
              <w:rPr>
                <w:sz w:val="10"/>
                <w:szCs w:val="10"/>
                <w:color w:val="auto"/>
              </w:rPr>
            </w:pPr>
          </w:p>
        </w:tc>
        <w:tc>
          <w:tcPr>
            <w:tcW w:w="300" w:type="dxa"/>
            <w:vAlign w:val="bottom"/>
            <w:shd w:val="clear" w:color="auto" w:fill="53C072"/>
          </w:tcPr>
          <w:p>
            <w:pPr>
              <w:spacing w:after="0"/>
              <w:rPr>
                <w:sz w:val="10"/>
                <w:szCs w:val="10"/>
                <w:color w:val="auto"/>
              </w:rPr>
            </w:pPr>
          </w:p>
        </w:tc>
        <w:tc>
          <w:tcPr>
            <w:tcW w:w="50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 w:type="dxa"/>
            <w:vAlign w:val="bottom"/>
            <w:shd w:val="clear" w:color="auto" w:fill="53C072"/>
          </w:tcPr>
          <w:p>
            <w:pPr>
              <w:ind w:left="80"/>
              <w:spacing w:after="0" w:line="135" w:lineRule="exact"/>
              <w:rPr>
                <w:sz w:val="20"/>
                <w:szCs w:val="20"/>
                <w:color w:val="auto"/>
              </w:rPr>
            </w:pPr>
            <w:r>
              <w:rPr>
                <w:rFonts w:ascii="Arial" w:cs="Arial" w:eastAsia="Arial" w:hAnsi="Arial"/>
                <w:sz w:val="12"/>
                <w:szCs w:val="12"/>
                <w:b w:val="1"/>
                <w:bCs w:val="1"/>
                <w:color w:val="FEFEFE"/>
              </w:rPr>
              <w:t>Fiscal</w:t>
            </w:r>
          </w:p>
        </w:tc>
        <w:tc>
          <w:tcPr>
            <w:tcW w:w="1040" w:type="dxa"/>
            <w:vAlign w:val="bottom"/>
            <w:gridSpan w:val="2"/>
            <w:shd w:val="clear" w:color="auto" w:fill="53C072"/>
          </w:tcPr>
          <w:p>
            <w:pPr>
              <w:jc w:val="right"/>
              <w:ind w:right="157"/>
              <w:spacing w:after="0" w:line="135" w:lineRule="exact"/>
              <w:rPr>
                <w:sz w:val="20"/>
                <w:szCs w:val="20"/>
                <w:color w:val="auto"/>
              </w:rPr>
            </w:pPr>
            <w:r>
              <w:rPr>
                <w:rFonts w:ascii="Arial" w:cs="Arial" w:eastAsia="Arial" w:hAnsi="Arial"/>
                <w:sz w:val="12"/>
                <w:szCs w:val="12"/>
                <w:b w:val="1"/>
                <w:bCs w:val="1"/>
                <w:color w:val="FEFEFE"/>
              </w:rPr>
              <w:t>Total For</w:t>
            </w:r>
          </w:p>
        </w:tc>
        <w:tc>
          <w:tcPr>
            <w:tcW w:w="64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CAP to</w:t>
            </w:r>
          </w:p>
        </w:tc>
        <w:tc>
          <w:tcPr>
            <w:tcW w:w="200" w:type="dxa"/>
            <w:vAlign w:val="bottom"/>
            <w:shd w:val="clear" w:color="auto" w:fill="53C072"/>
          </w:tcPr>
          <w:p>
            <w:pPr>
              <w:spacing w:after="0"/>
              <w:rPr>
                <w:sz w:val="11"/>
                <w:szCs w:val="11"/>
                <w:color w:val="auto"/>
              </w:rPr>
            </w:pPr>
          </w:p>
        </w:tc>
        <w:tc>
          <w:tcPr>
            <w:tcW w:w="780" w:type="dxa"/>
            <w:vAlign w:val="bottom"/>
            <w:shd w:val="clear" w:color="auto" w:fill="53C072"/>
          </w:tcPr>
          <w:p>
            <w:pPr>
              <w:jc w:val="right"/>
              <w:ind w:right="140"/>
              <w:spacing w:after="0" w:line="135" w:lineRule="exact"/>
              <w:rPr>
                <w:sz w:val="20"/>
                <w:szCs w:val="20"/>
                <w:color w:val="auto"/>
              </w:rPr>
            </w:pPr>
            <w:r>
              <w:rPr>
                <w:rFonts w:ascii="Arial" w:cs="Arial" w:eastAsia="Arial" w:hAnsi="Arial"/>
                <w:sz w:val="12"/>
                <w:szCs w:val="12"/>
                <w:b w:val="1"/>
                <w:bCs w:val="1"/>
                <w:color w:val="FEFEFE"/>
              </w:rPr>
              <w:t>Former</w:t>
            </w:r>
          </w:p>
        </w:tc>
        <w:tc>
          <w:tcPr>
            <w:tcW w:w="620" w:type="dxa"/>
            <w:vAlign w:val="bottom"/>
            <w:shd w:val="clear" w:color="auto" w:fill="53C072"/>
          </w:tcPr>
          <w:p>
            <w:pPr>
              <w:jc w:val="right"/>
              <w:ind w:right="120"/>
              <w:spacing w:after="0" w:line="135" w:lineRule="exact"/>
              <w:rPr>
                <w:sz w:val="20"/>
                <w:szCs w:val="20"/>
                <w:color w:val="auto"/>
              </w:rPr>
            </w:pPr>
            <w:r>
              <w:rPr>
                <w:rFonts w:ascii="Arial" w:cs="Arial" w:eastAsia="Arial" w:hAnsi="Arial"/>
                <w:sz w:val="12"/>
                <w:szCs w:val="12"/>
                <w:b w:val="1"/>
                <w:bCs w:val="1"/>
                <w:color w:val="FEFEFE"/>
              </w:rPr>
              <w:t>Former</w:t>
            </w:r>
          </w:p>
        </w:tc>
        <w:tc>
          <w:tcPr>
            <w:tcW w:w="80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non-PEO</w:t>
            </w:r>
          </w:p>
        </w:tc>
        <w:tc>
          <w:tcPr>
            <w:tcW w:w="860" w:type="dxa"/>
            <w:vAlign w:val="bottom"/>
            <w:shd w:val="clear" w:color="auto" w:fill="53C072"/>
          </w:tcPr>
          <w:p>
            <w:pPr>
              <w:jc w:val="right"/>
              <w:ind w:right="19"/>
              <w:spacing w:after="0" w:line="135" w:lineRule="exact"/>
              <w:rPr>
                <w:sz w:val="20"/>
                <w:szCs w:val="20"/>
                <w:color w:val="auto"/>
              </w:rPr>
            </w:pPr>
            <w:r>
              <w:rPr>
                <w:rFonts w:ascii="Arial" w:cs="Arial" w:eastAsia="Arial" w:hAnsi="Arial"/>
                <w:sz w:val="12"/>
                <w:szCs w:val="12"/>
                <w:b w:val="1"/>
                <w:bCs w:val="1"/>
                <w:color w:val="FEFEFE"/>
              </w:rPr>
              <w:t>non-PEO</w:t>
            </w:r>
          </w:p>
        </w:tc>
        <w:tc>
          <w:tcPr>
            <w:tcW w:w="720" w:type="dxa"/>
            <w:vAlign w:val="bottom"/>
            <w:shd w:val="clear" w:color="auto" w:fill="53C072"/>
          </w:tcPr>
          <w:p>
            <w:pPr>
              <w:ind w:left="160"/>
              <w:spacing w:after="0" w:line="135" w:lineRule="exact"/>
              <w:rPr>
                <w:sz w:val="20"/>
                <w:szCs w:val="20"/>
                <w:color w:val="auto"/>
              </w:rPr>
            </w:pPr>
            <w:r>
              <w:rPr>
                <w:rFonts w:ascii="Arial" w:cs="Arial" w:eastAsia="Arial" w:hAnsi="Arial"/>
                <w:sz w:val="12"/>
                <w:szCs w:val="12"/>
                <w:b w:val="1"/>
                <w:bCs w:val="1"/>
                <w:color w:val="FEFEFE"/>
                <w:w w:val="98"/>
              </w:rPr>
              <w:t>Company</w:t>
            </w:r>
          </w:p>
        </w:tc>
        <w:tc>
          <w:tcPr>
            <w:tcW w:w="100" w:type="dxa"/>
            <w:vAlign w:val="bottom"/>
            <w:shd w:val="clear" w:color="auto" w:fill="53C072"/>
          </w:tcPr>
          <w:p>
            <w:pPr>
              <w:spacing w:after="0"/>
              <w:rPr>
                <w:sz w:val="11"/>
                <w:szCs w:val="11"/>
                <w:color w:val="auto"/>
              </w:rPr>
            </w:pPr>
          </w:p>
        </w:tc>
        <w:tc>
          <w:tcPr>
            <w:tcW w:w="760" w:type="dxa"/>
            <w:vAlign w:val="bottom"/>
            <w:shd w:val="clear" w:color="auto" w:fill="53C072"/>
          </w:tcPr>
          <w:p>
            <w:pPr>
              <w:jc w:val="center"/>
              <w:spacing w:after="0" w:line="135" w:lineRule="exact"/>
              <w:rPr>
                <w:sz w:val="20"/>
                <w:szCs w:val="20"/>
                <w:color w:val="auto"/>
              </w:rPr>
            </w:pPr>
            <w:r>
              <w:rPr>
                <w:rFonts w:ascii="Arial" w:cs="Arial" w:eastAsia="Arial" w:hAnsi="Arial"/>
                <w:sz w:val="12"/>
                <w:szCs w:val="12"/>
                <w:b w:val="1"/>
                <w:bCs w:val="1"/>
                <w:color w:val="FEFEFE"/>
                <w:w w:val="97"/>
              </w:rPr>
              <w:t>Peer Group</w:t>
            </w:r>
          </w:p>
        </w:tc>
        <w:tc>
          <w:tcPr>
            <w:tcW w:w="40" w:type="dxa"/>
            <w:vAlign w:val="bottom"/>
            <w:shd w:val="clear" w:color="auto" w:fill="53C072"/>
          </w:tcPr>
          <w:p>
            <w:pPr>
              <w:spacing w:after="0"/>
              <w:rPr>
                <w:sz w:val="11"/>
                <w:szCs w:val="11"/>
                <w:color w:val="auto"/>
              </w:rPr>
            </w:pPr>
          </w:p>
        </w:tc>
        <w:tc>
          <w:tcPr>
            <w:tcW w:w="76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Income</w:t>
            </w:r>
          </w:p>
        </w:tc>
        <w:tc>
          <w:tcPr>
            <w:tcW w:w="80" w:type="dxa"/>
            <w:vAlign w:val="bottom"/>
            <w:shd w:val="clear" w:color="auto" w:fill="53C072"/>
          </w:tcPr>
          <w:p>
            <w:pPr>
              <w:spacing w:after="0"/>
              <w:rPr>
                <w:sz w:val="11"/>
                <w:szCs w:val="11"/>
                <w:color w:val="auto"/>
              </w:rPr>
            </w:pPr>
          </w:p>
        </w:tc>
        <w:tc>
          <w:tcPr>
            <w:tcW w:w="800" w:type="dxa"/>
            <w:vAlign w:val="bottom"/>
            <w:gridSpan w:val="2"/>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w w:val="99"/>
              </w:rPr>
              <w:t>Adjusted OI$</w:t>
            </w:r>
          </w:p>
        </w:tc>
        <w:tc>
          <w:tcPr>
            <w:tcW w:w="100" w:type="dxa"/>
            <w:vAlign w:val="bottom"/>
            <w:shd w:val="clear" w:color="auto" w:fill="53C072"/>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0" w:type="dxa"/>
            <w:vAlign w:val="bottom"/>
            <w:tcBorders>
              <w:bottom w:val="single" w:sz="8" w:color="53C072"/>
            </w:tcBorders>
            <w:shd w:val="clear" w:color="auto" w:fill="53C072"/>
          </w:tcPr>
          <w:p>
            <w:pPr>
              <w:jc w:val="center"/>
              <w:spacing w:after="0"/>
              <w:rPr>
                <w:sz w:val="20"/>
                <w:szCs w:val="20"/>
                <w:color w:val="auto"/>
              </w:rPr>
            </w:pPr>
            <w:r>
              <w:rPr>
                <w:rFonts w:ascii="Arial" w:cs="Arial" w:eastAsia="Arial" w:hAnsi="Arial"/>
                <w:sz w:val="12"/>
                <w:szCs w:val="12"/>
                <w:b w:val="1"/>
                <w:bCs w:val="1"/>
                <w:color w:val="FEFEFE"/>
                <w:w w:val="92"/>
              </w:rPr>
              <w:t>Year</w:t>
            </w:r>
          </w:p>
        </w:tc>
        <w:tc>
          <w:tcPr>
            <w:tcW w:w="1040" w:type="dxa"/>
            <w:vAlign w:val="bottom"/>
            <w:tcBorders>
              <w:bottom w:val="single" w:sz="8" w:color="53C072"/>
            </w:tcBorders>
            <w:gridSpan w:val="2"/>
            <w:shd w:val="clear" w:color="auto" w:fill="53C072"/>
          </w:tcPr>
          <w:p>
            <w:pPr>
              <w:ind w:left="460"/>
              <w:spacing w:after="0"/>
              <w:rPr>
                <w:sz w:val="20"/>
                <w:szCs w:val="20"/>
                <w:color w:val="auto"/>
              </w:rPr>
            </w:pPr>
            <w:r>
              <w:rPr>
                <w:rFonts w:ascii="Arial" w:cs="Arial" w:eastAsia="Arial" w:hAnsi="Arial"/>
                <w:sz w:val="12"/>
                <w:szCs w:val="12"/>
                <w:b w:val="1"/>
                <w:bCs w:val="1"/>
                <w:color w:val="FEFEFE"/>
              </w:rPr>
              <w:t>PEO(1)</w:t>
            </w:r>
          </w:p>
        </w:tc>
        <w:tc>
          <w:tcPr>
            <w:tcW w:w="6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PEO(1)(2)</w:t>
            </w:r>
          </w:p>
        </w:tc>
        <w:tc>
          <w:tcPr>
            <w:tcW w:w="200" w:type="dxa"/>
            <w:vAlign w:val="bottom"/>
            <w:tcBorders>
              <w:bottom w:val="single" w:sz="8" w:color="53C072"/>
            </w:tcBorders>
            <w:shd w:val="clear" w:color="auto" w:fill="53C072"/>
          </w:tcPr>
          <w:p>
            <w:pPr>
              <w:spacing w:after="0"/>
              <w:rPr>
                <w:sz w:val="15"/>
                <w:szCs w:val="15"/>
                <w:color w:val="auto"/>
              </w:rPr>
            </w:pPr>
          </w:p>
        </w:tc>
        <w:tc>
          <w:tcPr>
            <w:tcW w:w="1400" w:type="dxa"/>
            <w:vAlign w:val="bottom"/>
            <w:tcBorders>
              <w:bottom w:val="single" w:sz="8" w:color="53C072"/>
            </w:tcBorders>
            <w:gridSpan w:val="2"/>
            <w:shd w:val="clear" w:color="auto" w:fill="53C072"/>
          </w:tcPr>
          <w:p>
            <w:pPr>
              <w:jc w:val="right"/>
              <w:ind w:right="80"/>
              <w:spacing w:after="0"/>
              <w:rPr>
                <w:sz w:val="20"/>
                <w:szCs w:val="20"/>
                <w:color w:val="auto"/>
              </w:rPr>
            </w:pPr>
            <w:r>
              <w:rPr>
                <w:rFonts w:ascii="Arial" w:cs="Arial" w:eastAsia="Arial" w:hAnsi="Arial"/>
                <w:sz w:val="12"/>
                <w:szCs w:val="12"/>
                <w:b w:val="1"/>
                <w:bCs w:val="1"/>
                <w:color w:val="FEFEFE"/>
              </w:rPr>
              <w:t>PEO(3)  PEO(3)(4)</w:t>
            </w:r>
          </w:p>
        </w:tc>
        <w:tc>
          <w:tcPr>
            <w:tcW w:w="8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NEOs(5)</w:t>
            </w:r>
          </w:p>
        </w:tc>
        <w:tc>
          <w:tcPr>
            <w:tcW w:w="860" w:type="dxa"/>
            <w:vAlign w:val="bottom"/>
            <w:tcBorders>
              <w:bottom w:val="single" w:sz="8" w:color="53C072"/>
            </w:tcBorders>
            <w:shd w:val="clear" w:color="auto" w:fill="53C072"/>
          </w:tcPr>
          <w:p>
            <w:pPr>
              <w:ind w:left="200"/>
              <w:spacing w:after="0"/>
              <w:rPr>
                <w:sz w:val="20"/>
                <w:szCs w:val="20"/>
                <w:color w:val="auto"/>
              </w:rPr>
            </w:pPr>
            <w:r>
              <w:rPr>
                <w:rFonts w:ascii="Arial" w:cs="Arial" w:eastAsia="Arial" w:hAnsi="Arial"/>
                <w:sz w:val="12"/>
                <w:szCs w:val="12"/>
                <w:b w:val="1"/>
                <w:bCs w:val="1"/>
                <w:color w:val="FEFEFE"/>
              </w:rPr>
              <w:t>NEOs(5)(6)</w:t>
            </w:r>
          </w:p>
        </w:tc>
        <w:tc>
          <w:tcPr>
            <w:tcW w:w="720" w:type="dxa"/>
            <w:vAlign w:val="bottom"/>
            <w:tcBorders>
              <w:bottom w:val="single" w:sz="8" w:color="53C072"/>
            </w:tcBorders>
            <w:shd w:val="clear" w:color="auto" w:fill="53C072"/>
          </w:tcPr>
          <w:p>
            <w:pPr>
              <w:ind w:left="340"/>
              <w:spacing w:after="0"/>
              <w:rPr>
                <w:sz w:val="20"/>
                <w:szCs w:val="20"/>
                <w:color w:val="auto"/>
              </w:rPr>
            </w:pPr>
            <w:r>
              <w:rPr>
                <w:rFonts w:ascii="Arial" w:cs="Arial" w:eastAsia="Arial" w:hAnsi="Arial"/>
                <w:sz w:val="12"/>
                <w:szCs w:val="12"/>
                <w:b w:val="1"/>
                <w:bCs w:val="1"/>
                <w:color w:val="FEFEFE"/>
                <w:w w:val="92"/>
              </w:rPr>
              <w:t>TSR(7)</w:t>
            </w:r>
          </w:p>
        </w:tc>
        <w:tc>
          <w:tcPr>
            <w:tcW w:w="10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240"/>
              <w:spacing w:after="0"/>
              <w:rPr>
                <w:sz w:val="20"/>
                <w:szCs w:val="20"/>
                <w:color w:val="auto"/>
              </w:rPr>
            </w:pPr>
            <w:r>
              <w:rPr>
                <w:rFonts w:ascii="Arial" w:cs="Arial" w:eastAsia="Arial" w:hAnsi="Arial"/>
                <w:sz w:val="12"/>
                <w:szCs w:val="12"/>
                <w:b w:val="1"/>
                <w:bCs w:val="1"/>
                <w:color w:val="FEFEFE"/>
                <w:w w:val="93"/>
              </w:rPr>
              <w:t>TSR(7)(8)</w:t>
            </w:r>
          </w:p>
        </w:tc>
        <w:tc>
          <w:tcPr>
            <w:tcW w:w="4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100"/>
              <w:spacing w:after="0"/>
              <w:rPr>
                <w:sz w:val="20"/>
                <w:szCs w:val="20"/>
                <w:color w:val="auto"/>
              </w:rPr>
            </w:pPr>
            <w:r>
              <w:rPr>
                <w:rFonts w:ascii="Arial" w:cs="Arial" w:eastAsia="Arial" w:hAnsi="Arial"/>
                <w:sz w:val="12"/>
                <w:szCs w:val="12"/>
                <w:b w:val="1"/>
                <w:bCs w:val="1"/>
                <w:color w:val="FEFEFE"/>
                <w:w w:val="94"/>
              </w:rPr>
              <w:t>(Millions)(9)</w:t>
            </w:r>
          </w:p>
        </w:tc>
        <w:tc>
          <w:tcPr>
            <w:tcW w:w="80" w:type="dxa"/>
            <w:vAlign w:val="bottom"/>
            <w:tcBorders>
              <w:bottom w:val="single" w:sz="8" w:color="53C072"/>
            </w:tcBorders>
            <w:shd w:val="clear" w:color="auto" w:fill="53C072"/>
          </w:tcPr>
          <w:p>
            <w:pPr>
              <w:spacing w:after="0"/>
              <w:rPr>
                <w:sz w:val="15"/>
                <w:szCs w:val="15"/>
                <w:color w:val="auto"/>
              </w:rPr>
            </w:pPr>
          </w:p>
        </w:tc>
        <w:tc>
          <w:tcPr>
            <w:tcW w:w="80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2"/>
                <w:szCs w:val="12"/>
                <w:b w:val="1"/>
                <w:bCs w:val="1"/>
                <w:color w:val="FEFEFE"/>
              </w:rPr>
              <w:t>(Millions)(10)</w:t>
            </w:r>
          </w:p>
        </w:tc>
        <w:tc>
          <w:tcPr>
            <w:tcW w:w="100" w:type="dxa"/>
            <w:vAlign w:val="bottom"/>
            <w:tcBorders>
              <w:bottom w:val="single" w:sz="8" w:color="53C072"/>
            </w:tcBorders>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2023</w:t>
            </w:r>
          </w:p>
        </w:tc>
        <w:tc>
          <w:tcPr>
            <w:tcW w:w="82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$9,716,827</w:t>
            </w:r>
          </w:p>
        </w:tc>
        <w:tc>
          <w:tcPr>
            <w:tcW w:w="220" w:type="dxa"/>
            <w:vAlign w:val="bottom"/>
          </w:tcPr>
          <w:p>
            <w:pPr>
              <w:ind w:left="2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13,428,971</w:t>
            </w:r>
          </w:p>
        </w:tc>
        <w:tc>
          <w:tcPr>
            <w:tcW w:w="200" w:type="dxa"/>
            <w:vAlign w:val="bottom"/>
          </w:tcPr>
          <w:p>
            <w:pPr>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2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00" w:type="dxa"/>
            <w:vAlign w:val="bottom"/>
          </w:tcPr>
          <w:p>
            <w:pPr>
              <w:jc w:val="right"/>
              <w:ind w:right="40"/>
              <w:spacing w:after="0" w:line="216" w:lineRule="exact"/>
              <w:rPr>
                <w:sz w:val="20"/>
                <w:szCs w:val="20"/>
                <w:color w:val="auto"/>
              </w:rPr>
            </w:pPr>
            <w:r>
              <w:rPr>
                <w:rFonts w:ascii="Arial" w:cs="Arial" w:eastAsia="Arial" w:hAnsi="Arial"/>
                <w:sz w:val="25"/>
                <w:szCs w:val="25"/>
                <w:color w:val="auto"/>
                <w:w w:val="98"/>
                <w:vertAlign w:val="subscript"/>
              </w:rPr>
              <w:t>​</w:t>
            </w:r>
            <w:r>
              <w:rPr>
                <w:rFonts w:ascii="Arial" w:cs="Arial" w:eastAsia="Arial" w:hAnsi="Arial"/>
                <w:sz w:val="13"/>
                <w:szCs w:val="13"/>
                <w:color w:val="auto"/>
                <w:w w:val="98"/>
              </w:rPr>
              <w:t>$ 1,928,181</w:t>
            </w:r>
          </w:p>
        </w:tc>
        <w:tc>
          <w:tcPr>
            <w:tcW w:w="860" w:type="dxa"/>
            <w:vAlign w:val="bottom"/>
          </w:tcPr>
          <w:p>
            <w:pP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$1,950,485 </w:t>
            </w:r>
            <w:r>
              <w:rPr>
                <w:rFonts w:ascii="Arial" w:cs="Arial" w:eastAsia="Arial" w:hAnsi="Arial"/>
                <w:sz w:val="25"/>
                <w:szCs w:val="25"/>
                <w:color w:val="auto"/>
                <w:vertAlign w:val="subscript"/>
              </w:rPr>
              <w:t>​</w:t>
            </w:r>
          </w:p>
        </w:tc>
        <w:tc>
          <w:tcPr>
            <w:tcW w:w="720" w:type="dxa"/>
            <w:vAlign w:val="bottom"/>
          </w:tcPr>
          <w:p>
            <w:pPr>
              <w:ind w:left="1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$208.95</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$218.46</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$770.8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77"/>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$1,220.9</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46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2022</w:t>
            </w:r>
          </w:p>
        </w:tc>
        <w:tc>
          <w:tcPr>
            <w:tcW w:w="820" w:type="dxa"/>
            <w:vAlign w:val="bottom"/>
            <w:shd w:val="clear" w:color="auto" w:fill="CBECD5"/>
          </w:tcPr>
          <w:p>
            <w:pPr>
              <w:jc w:val="right"/>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$8,129,900</w:t>
            </w:r>
          </w:p>
        </w:tc>
        <w:tc>
          <w:tcPr>
            <w:tcW w:w="220" w:type="dxa"/>
            <w:vAlign w:val="bottom"/>
            <w:shd w:val="clear" w:color="auto" w:fill="CBECD5"/>
          </w:tcPr>
          <w:p>
            <w:pPr>
              <w:ind w:left="2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9,883,510</w:t>
            </w:r>
          </w:p>
        </w:tc>
        <w:tc>
          <w:tcPr>
            <w:tcW w:w="2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780" w:type="dxa"/>
            <w:vAlign w:val="bottom"/>
            <w:shd w:val="clear" w:color="auto" w:fill="CBECD5"/>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20" w:type="dxa"/>
            <w:vAlign w:val="bottom"/>
            <w:shd w:val="clear" w:color="auto" w:fill="CBECD5"/>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00" w:type="dxa"/>
            <w:vAlign w:val="bottom"/>
            <w:shd w:val="clear" w:color="auto" w:fill="CBECD5"/>
          </w:tcPr>
          <w:p>
            <w:pPr>
              <w:jc w:val="right"/>
              <w:ind w:right="40"/>
              <w:spacing w:after="0" w:line="216" w:lineRule="exact"/>
              <w:rPr>
                <w:sz w:val="20"/>
                <w:szCs w:val="20"/>
                <w:color w:val="auto"/>
              </w:rPr>
            </w:pPr>
            <w:r>
              <w:rPr>
                <w:rFonts w:ascii="Arial" w:cs="Arial" w:eastAsia="Arial" w:hAnsi="Arial"/>
                <w:sz w:val="25"/>
                <w:szCs w:val="25"/>
                <w:color w:val="auto"/>
                <w:w w:val="98"/>
                <w:vertAlign w:val="subscript"/>
              </w:rPr>
              <w:t>​</w:t>
            </w:r>
            <w:r>
              <w:rPr>
                <w:rFonts w:ascii="Arial" w:cs="Arial" w:eastAsia="Arial" w:hAnsi="Arial"/>
                <w:sz w:val="13"/>
                <w:szCs w:val="13"/>
                <w:color w:val="auto"/>
                <w:w w:val="98"/>
              </w:rPr>
              <w:t>$ 2,031,221</w:t>
            </w:r>
          </w:p>
        </w:tc>
        <w:tc>
          <w:tcPr>
            <w:tcW w:w="860" w:type="dxa"/>
            <w:vAlign w:val="bottom"/>
            <w:shd w:val="clear" w:color="auto" w:fill="CBECD5"/>
          </w:tcPr>
          <w:p>
            <w:pPr>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$1,912,506 </w:t>
            </w:r>
            <w:r>
              <w:rPr>
                <w:rFonts w:ascii="Arial" w:cs="Arial" w:eastAsia="Arial" w:hAnsi="Arial"/>
                <w:sz w:val="25"/>
                <w:szCs w:val="25"/>
                <w:color w:val="auto"/>
                <w:vertAlign w:val="subscript"/>
              </w:rPr>
              <w:t>​</w:t>
            </w:r>
          </w:p>
        </w:tc>
        <w:tc>
          <w:tcPr>
            <w:tcW w:w="720" w:type="dxa"/>
            <w:vAlign w:val="bottom"/>
            <w:shd w:val="clear" w:color="auto" w:fill="CBECD5"/>
          </w:tcPr>
          <w:p>
            <w:pPr>
              <w:ind w:left="1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$170.48</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$177.30</w:t>
            </w:r>
          </w:p>
        </w:tc>
        <w:tc>
          <w:tcPr>
            <w:tcW w:w="4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ind w:left="20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$692.4</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300" w:type="dxa"/>
            <w:vAlign w:val="bottom"/>
            <w:shd w:val="clear" w:color="auto" w:fill="CBECD5"/>
          </w:tcPr>
          <w:p>
            <w:pPr>
              <w:ind w:left="16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500" w:type="dxa"/>
            <w:vAlign w:val="bottom"/>
            <w:shd w:val="clear" w:color="auto" w:fill="CBECD5"/>
          </w:tcPr>
          <w:p>
            <w:pPr>
              <w:jc w:val="right"/>
              <w:ind w:right="77"/>
              <w:spacing w:after="0"/>
              <w:rPr>
                <w:sz w:val="20"/>
                <w:szCs w:val="20"/>
                <w:color w:val="auto"/>
              </w:rPr>
            </w:pPr>
            <w:r>
              <w:rPr>
                <w:rFonts w:ascii="Arial" w:cs="Arial" w:eastAsia="Arial" w:hAnsi="Arial"/>
                <w:sz w:val="13"/>
                <w:szCs w:val="13"/>
                <w:color w:val="auto"/>
              </w:rPr>
              <w:t>985.6</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50"/>
        </w:trPr>
        <w:tc>
          <w:tcPr>
            <w:tcW w:w="460" w:type="dxa"/>
            <w:vAlign w:val="bottom"/>
            <w:tcBorders>
              <w:bottom w:val="single" w:sz="8" w:color="53C072"/>
            </w:tcBorders>
          </w:tcPr>
          <w:p>
            <w:pPr>
              <w:jc w:val="center"/>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2021</w:t>
            </w:r>
          </w:p>
        </w:tc>
        <w:tc>
          <w:tcPr>
            <w:tcW w:w="820" w:type="dxa"/>
            <w:vAlign w:val="bottom"/>
            <w:tcBorders>
              <w:bottom w:val="single" w:sz="8" w:color="53C072"/>
            </w:tcBorders>
          </w:tcPr>
          <w:p>
            <w:pPr>
              <w:jc w:val="right"/>
              <w:spacing w:after="0" w:line="242"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$6,151,987</w:t>
            </w:r>
          </w:p>
        </w:tc>
        <w:tc>
          <w:tcPr>
            <w:tcW w:w="220" w:type="dxa"/>
            <w:vAlign w:val="bottom"/>
            <w:tcBorders>
              <w:bottom w:val="single" w:sz="8" w:color="53C072"/>
            </w:tcBorders>
          </w:tcPr>
          <w:p>
            <w:pPr>
              <w:ind w:left="20"/>
              <w:spacing w:after="0" w:line="242"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8,577,743</w:t>
            </w:r>
          </w:p>
        </w:tc>
        <w:tc>
          <w:tcPr>
            <w:tcW w:w="1600" w:type="dxa"/>
            <w:vAlign w:val="bottom"/>
            <w:tcBorders>
              <w:bottom w:val="single" w:sz="8" w:color="53C072"/>
            </w:tcBorders>
            <w:gridSpan w:val="3"/>
          </w:tcPr>
          <w:p>
            <w:pPr>
              <w:jc w:val="right"/>
              <w:spacing w:after="0" w:line="242"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$2,910,076 </w:t>
            </w:r>
            <w:r>
              <w:rPr>
                <w:rFonts w:ascii="Arial" w:cs="Arial" w:eastAsia="Arial" w:hAnsi="Arial"/>
                <w:sz w:val="25"/>
                <w:szCs w:val="25"/>
                <w:color w:val="auto"/>
                <w:vertAlign w:val="subscript"/>
              </w:rPr>
              <w:t>​​​​</w:t>
            </w:r>
            <w:r>
              <w:rPr>
                <w:rFonts w:ascii="Arial" w:cs="Arial" w:eastAsia="Arial" w:hAnsi="Arial"/>
                <w:sz w:val="13"/>
                <w:szCs w:val="13"/>
                <w:color w:val="auto"/>
              </w:rPr>
              <w:t>$377,147</w:t>
            </w:r>
            <w:r>
              <w:rPr>
                <w:rFonts w:ascii="Arial" w:cs="Arial" w:eastAsia="Arial" w:hAnsi="Arial"/>
                <w:sz w:val="25"/>
                <w:szCs w:val="25"/>
                <w:color w:val="auto"/>
                <w:vertAlign w:val="subscript"/>
              </w:rPr>
              <w:t>​​​</w:t>
            </w:r>
          </w:p>
        </w:tc>
        <w:tc>
          <w:tcPr>
            <w:tcW w:w="800" w:type="dxa"/>
            <w:vAlign w:val="bottom"/>
            <w:tcBorders>
              <w:bottom w:val="single" w:sz="8" w:color="53C072"/>
            </w:tcBorders>
          </w:tcPr>
          <w:p>
            <w:pPr>
              <w:jc w:val="right"/>
              <w:ind w:right="40"/>
              <w:spacing w:after="0" w:line="242" w:lineRule="exact"/>
              <w:rPr>
                <w:sz w:val="20"/>
                <w:szCs w:val="20"/>
                <w:color w:val="auto"/>
              </w:rPr>
            </w:pPr>
            <w:r>
              <w:rPr>
                <w:rFonts w:ascii="Arial" w:cs="Arial" w:eastAsia="Arial" w:hAnsi="Arial"/>
                <w:sz w:val="25"/>
                <w:szCs w:val="25"/>
                <w:color w:val="auto"/>
                <w:w w:val="98"/>
                <w:vertAlign w:val="subscript"/>
              </w:rPr>
              <w:t>​</w:t>
            </w:r>
            <w:r>
              <w:rPr>
                <w:rFonts w:ascii="Arial" w:cs="Arial" w:eastAsia="Arial" w:hAnsi="Arial"/>
                <w:sz w:val="13"/>
                <w:szCs w:val="13"/>
                <w:color w:val="auto"/>
                <w:w w:val="98"/>
              </w:rPr>
              <w:t>$ 1,862,076</w:t>
            </w:r>
          </w:p>
        </w:tc>
        <w:tc>
          <w:tcPr>
            <w:tcW w:w="860" w:type="dxa"/>
            <w:vAlign w:val="bottom"/>
            <w:tcBorders>
              <w:bottom w:val="single" w:sz="8" w:color="53C072"/>
            </w:tcBorders>
          </w:tcPr>
          <w:p>
            <w:pPr>
              <w:spacing w:after="0" w:line="242"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$1,527,825 </w:t>
            </w:r>
            <w:r>
              <w:rPr>
                <w:rFonts w:ascii="Arial" w:cs="Arial" w:eastAsia="Arial" w:hAnsi="Arial"/>
                <w:sz w:val="25"/>
                <w:szCs w:val="25"/>
                <w:color w:val="auto"/>
                <w:vertAlign w:val="subscript"/>
              </w:rPr>
              <w:t>​</w:t>
            </w:r>
          </w:p>
        </w:tc>
        <w:tc>
          <w:tcPr>
            <w:tcW w:w="720" w:type="dxa"/>
            <w:vAlign w:val="bottom"/>
            <w:tcBorders>
              <w:bottom w:val="single" w:sz="8" w:color="53C072"/>
            </w:tcBorders>
          </w:tcPr>
          <w:p>
            <w:pPr>
              <w:ind w:left="160"/>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$157.58</w:t>
            </w:r>
          </w:p>
        </w:tc>
        <w:tc>
          <w:tcPr>
            <w:tcW w:w="10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tcPr>
          <w:p>
            <w:pPr>
              <w:jc w:val="center"/>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$199.58</w:t>
            </w:r>
          </w:p>
        </w:tc>
        <w:tc>
          <w:tcPr>
            <w:tcW w:w="4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tcPr>
          <w:p>
            <w:pPr>
              <w:ind w:left="200"/>
              <w:spacing w:after="0" w:line="242"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$193.1</w:t>
            </w:r>
          </w:p>
        </w:tc>
        <w:tc>
          <w:tcPr>
            <w:tcW w:w="8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53C072"/>
            </w:tcBorders>
          </w:tcPr>
          <w:p>
            <w:pPr>
              <w:ind w:left="160"/>
              <w:spacing w:after="0" w:line="242"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tcBorders>
              <w:bottom w:val="single" w:sz="8" w:color="53C072"/>
            </w:tcBorders>
          </w:tcPr>
          <w:p>
            <w:pPr>
              <w:jc w:val="right"/>
              <w:ind w:right="77"/>
              <w:spacing w:after="0"/>
              <w:rPr>
                <w:sz w:val="20"/>
                <w:szCs w:val="20"/>
                <w:color w:val="auto"/>
              </w:rPr>
            </w:pPr>
            <w:r>
              <w:rPr>
                <w:rFonts w:ascii="Arial" w:cs="Arial" w:eastAsia="Arial" w:hAnsi="Arial"/>
                <w:sz w:val="13"/>
                <w:szCs w:val="13"/>
                <w:color w:val="auto"/>
              </w:rPr>
              <w:t>407.0</w:t>
            </w:r>
          </w:p>
        </w:tc>
        <w:tc>
          <w:tcPr>
            <w:tcW w:w="10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80" w:hanging="718"/>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Gallagher is the PEO for each of the years shown in the table.</w:t>
      </w:r>
    </w:p>
    <w:p>
      <w:pPr>
        <w:spacing w:after="0" w:line="144" w:lineRule="exact"/>
        <w:rPr>
          <w:rFonts w:ascii="Arial" w:cs="Arial" w:eastAsia="Arial" w:hAnsi="Arial"/>
          <w:sz w:val="18"/>
          <w:szCs w:val="18"/>
          <w:color w:val="auto"/>
        </w:rPr>
      </w:pPr>
    </w:p>
    <w:p>
      <w:pPr>
        <w:ind w:left="1780" w:right="379" w:hanging="718"/>
        <w:spacing w:after="0" w:line="275" w:lineRule="auto"/>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calculate CAP for Gallagher, the following amounts were deducted from and added to the Total Compensation reported in the Summary Compensation Table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101600</wp:posOffset>
            </wp:positionV>
            <wp:extent cx="5554980"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FEFEFE"/>
        </w:rPr>
        <w:t>Year</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​SCT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26670</wp:posOffset>
            </wp:positionV>
            <wp:extent cx="555498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39" w:lineRule="exact"/>
        <w:rPr>
          <w:sz w:val="20"/>
          <w:szCs w:val="20"/>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Minus: Grant-date fair value of awards reported in the SCT</w:t>
      </w:r>
    </w:p>
    <w:p>
      <w:pPr>
        <w:spacing w:after="0" w:line="72"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Plus: Vesting-date fair value of awards granted and vested in the</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covered year</w:t>
      </w:r>
    </w:p>
    <w:p>
      <w:pPr>
        <w:spacing w:after="0" w:line="60"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Plus: Year-end fair value of awards granted but remain unvested in</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covered year</w:t>
      </w:r>
    </w:p>
    <w:p>
      <w:pPr>
        <w:spacing w:after="0" w:line="60"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Plus: Change in fair value of awards granted in prior year(s) that</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vested in the covered year</w:t>
      </w:r>
    </w:p>
    <w:p>
      <w:pPr>
        <w:spacing w:after="0" w:line="74"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Plus: Change in fair value of awards granted in prior year(s) that</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remain unvested in covered year</w:t>
      </w:r>
    </w:p>
    <w:p>
      <w:pPr>
        <w:spacing w:after="0" w:line="60"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Minus: Fair value of awards forfeited during the covered year</w:t>
      </w:r>
    </w:p>
    <w:p>
      <w:pPr>
        <w:spacing w:after="0" w:line="8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Minus: Aggregate change in actuarial present value of accumulated</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benefit under pension plans</w:t>
      </w:r>
    </w:p>
    <w:p>
      <w:pPr>
        <w:spacing w:after="0" w:line="74"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Plus: Aggregate service costs and prior service costs for pension</w:t>
      </w:r>
    </w:p>
    <w:p>
      <w:pPr>
        <w:spacing w:after="0" w:line="17" w:lineRule="exact"/>
        <w:rPr>
          <w:rFonts w:ascii="Arial" w:cs="Arial" w:eastAsia="Arial" w:hAnsi="Arial"/>
          <w:sz w:val="16"/>
          <w:szCs w:val="16"/>
          <w:color w:val="auto"/>
        </w:rPr>
      </w:pPr>
    </w:p>
    <w:p>
      <w:pPr>
        <w:ind w:left="1440" w:hanging="403"/>
        <w:spacing w:after="0"/>
        <w:tabs>
          <w:tab w:leader="none" w:pos="1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-1583055</wp:posOffset>
            </wp:positionV>
            <wp:extent cx="5554980" cy="282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54980" cy="28257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-1017270</wp:posOffset>
            </wp:positionV>
            <wp:extent cx="5554980" cy="291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54980" cy="29146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-563245</wp:posOffset>
            </wp:positionV>
            <wp:extent cx="5554980" cy="291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54980" cy="29146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19050</wp:posOffset>
            </wp:positionV>
            <wp:extent cx="5554980" cy="1974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54980" cy="197485"/>
                    </a:xfrm>
                    <a:prstGeom prst="rect">
                      <a:avLst/>
                    </a:prstGeom>
                    <a:noFill/>
                  </pic:spPr>
                </pic:pic>
              </a:graphicData>
            </a:graphic>
          </wp:anchor>
        </w:drawing>
      </w:r>
    </w:p>
    <w:p>
      <w:pPr>
        <w:ind w:left="1040"/>
        <w:spacing w:after="0" w:line="217" w:lineRule="auto"/>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Compensation Actually Paid (CAP)</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500"/>
        <w:spacing w:after="0"/>
        <w:tabs>
          <w:tab w:leader="none" w:pos="1540" w:val="left"/>
          <w:tab w:leader="none" w:pos="2680" w:val="left"/>
        </w:tabs>
        <w:rPr>
          <w:sz w:val="20"/>
          <w:szCs w:val="20"/>
          <w:color w:val="auto"/>
        </w:rPr>
      </w:pPr>
      <w:r>
        <w:rPr>
          <w:rFonts w:ascii="Arial" w:cs="Arial" w:eastAsia="Arial" w:hAnsi="Arial"/>
          <w:sz w:val="14"/>
          <w:szCs w:val="14"/>
          <w:b w:val="1"/>
          <w:bCs w:val="1"/>
          <w:color w:val="FEFEFE"/>
        </w:rPr>
        <w:t>2021</w:t>
      </w:r>
      <w:r>
        <w:rPr>
          <w:sz w:val="20"/>
          <w:szCs w:val="20"/>
          <w:color w:val="auto"/>
        </w:rPr>
        <w:tab/>
      </w:r>
      <w:r>
        <w:rPr>
          <w:rFonts w:ascii="Arial" w:cs="Arial" w:eastAsia="Arial" w:hAnsi="Arial"/>
          <w:sz w:val="14"/>
          <w:szCs w:val="14"/>
          <w:b w:val="1"/>
          <w:bCs w:val="1"/>
          <w:color w:val="FEFEFE"/>
        </w:rPr>
        <w:t>2022</w:t>
      </w:r>
      <w:r>
        <w:rPr>
          <w:sz w:val="20"/>
          <w:szCs w:val="20"/>
          <w:color w:val="auto"/>
        </w:rPr>
        <w:tab/>
      </w:r>
      <w:r>
        <w:rPr>
          <w:rFonts w:ascii="Arial" w:cs="Arial" w:eastAsia="Arial" w:hAnsi="Arial"/>
          <w:sz w:val="14"/>
          <w:szCs w:val="14"/>
          <w:b w:val="1"/>
          <w:bCs w:val="1"/>
          <w:color w:val="FEFEFE"/>
        </w:rPr>
        <w:t>2023</w:t>
      </w:r>
    </w:p>
    <w:p>
      <w:pPr>
        <w:spacing w:after="0" w:line="58" w:lineRule="exact"/>
        <w:rPr>
          <w:sz w:val="20"/>
          <w:szCs w:val="20"/>
          <w:color w:val="auto"/>
        </w:rPr>
      </w:pPr>
    </w:p>
    <w:p>
      <w:pPr>
        <w:spacing w:after="0"/>
        <w:tabs>
          <w:tab w:leader="none" w:pos="1040" w:val="left"/>
          <w:tab w:leader="none" w:pos="2080" w:val="left"/>
        </w:tabs>
        <w:rPr>
          <w:sz w:val="20"/>
          <w:szCs w:val="20"/>
          <w:color w:val="auto"/>
        </w:rPr>
      </w:pPr>
      <w:r>
        <w:rPr>
          <w:rFonts w:ascii="Arial" w:cs="Arial" w:eastAsia="Arial" w:hAnsi="Arial"/>
          <w:sz w:val="16"/>
          <w:szCs w:val="16"/>
          <w:color w:val="auto"/>
        </w:rPr>
        <w:t>​$6,151,987</w:t>
        <w:tab/>
        <w:t>​$8,129,900</w:t>
        <w:tab/>
        <w:t>​$ 9,716,827</w:t>
      </w:r>
    </w:p>
    <w:p>
      <w:pPr>
        <w:spacing w:after="0" w:line="59" w:lineRule="exact"/>
        <w:rPr>
          <w:sz w:val="20"/>
          <w:szCs w:val="20"/>
          <w:color w:val="auto"/>
        </w:rPr>
      </w:pPr>
    </w:p>
    <w:p>
      <w:pPr>
        <w:spacing w:after="0"/>
        <w:tabs>
          <w:tab w:leader="none" w:pos="1040" w:val="left"/>
          <w:tab w:leader="none" w:pos="2080" w:val="left"/>
        </w:tabs>
        <w:rPr>
          <w:sz w:val="20"/>
          <w:szCs w:val="20"/>
          <w:color w:val="auto"/>
        </w:rPr>
      </w:pPr>
      <w:r>
        <w:rPr>
          <w:rFonts w:ascii="Arial" w:cs="Arial" w:eastAsia="Arial" w:hAnsi="Arial"/>
          <w:sz w:val="16"/>
          <w:szCs w:val="16"/>
          <w:color w:val="auto"/>
        </w:rPr>
        <w:t>​$2,858,059</w:t>
        <w:tab/>
        <w:t>​$4,216,444</w:t>
        <w:tab/>
        <w:t>​$ 6,078,268</w:t>
      </w:r>
    </w:p>
    <w:p>
      <w:pPr>
        <w:spacing w:after="0" w:line="275" w:lineRule="exact"/>
        <w:rPr>
          <w:sz w:val="20"/>
          <w:szCs w:val="20"/>
          <w:color w:val="auto"/>
        </w:rPr>
      </w:pPr>
    </w:p>
    <w:p>
      <w:pPr>
        <w:spacing w:after="0"/>
        <w:tabs>
          <w:tab w:leader="none" w:pos="220" w:val="left"/>
          <w:tab w:leader="none" w:pos="1040" w:val="left"/>
          <w:tab w:leader="none" w:pos="1280" w:val="left"/>
          <w:tab w:leader="none" w:pos="2080" w:val="left"/>
          <w:tab w:leader="none" w:pos="2420" w:val="left"/>
        </w:tabs>
        <w:rPr>
          <w:sz w:val="20"/>
          <w:szCs w:val="20"/>
          <w:color w:val="auto"/>
        </w:rPr>
      </w:pPr>
      <w:r>
        <w:rPr>
          <w:rFonts w:ascii="Arial" w:cs="Arial" w:eastAsia="Arial" w:hAnsi="Arial"/>
          <w:sz w:val="16"/>
          <w:szCs w:val="16"/>
          <w:color w:val="auto"/>
        </w:rPr>
        <w:t>​$</w:t>
        <w:tab/>
        <w:t>508,172</w:t>
        <w:tab/>
        <w:t>​$</w:t>
        <w:tab/>
        <w:t>624,058</w:t>
        <w:tab/>
        <w:t>​$</w:t>
        <w:tab/>
        <w:t>736,281</w:t>
      </w:r>
    </w:p>
    <w:p>
      <w:pPr>
        <w:spacing w:after="0" w:line="262" w:lineRule="exact"/>
        <w:rPr>
          <w:sz w:val="20"/>
          <w:szCs w:val="20"/>
          <w:color w:val="auto"/>
        </w:rPr>
      </w:pPr>
    </w:p>
    <w:p>
      <w:pPr>
        <w:spacing w:after="0"/>
        <w:tabs>
          <w:tab w:leader="none" w:pos="1040" w:val="left"/>
          <w:tab w:leader="none" w:pos="2080" w:val="left"/>
        </w:tabs>
        <w:rPr>
          <w:sz w:val="20"/>
          <w:szCs w:val="20"/>
          <w:color w:val="auto"/>
        </w:rPr>
      </w:pPr>
      <w:r>
        <w:rPr>
          <w:rFonts w:ascii="Arial" w:cs="Arial" w:eastAsia="Arial" w:hAnsi="Arial"/>
          <w:sz w:val="16"/>
          <w:szCs w:val="16"/>
          <w:color w:val="auto"/>
        </w:rPr>
        <w:t>​$4,344,273</w:t>
        <w:tab/>
        <w:t>​$4,349,379</w:t>
        <w:tab/>
        <w:t>​$ 6,808,722</w:t>
      </w:r>
    </w:p>
    <w:p>
      <w:pPr>
        <w:spacing w:after="0" w:line="262" w:lineRule="exact"/>
        <w:rPr>
          <w:sz w:val="20"/>
          <w:szCs w:val="20"/>
          <w:color w:val="auto"/>
        </w:rPr>
      </w:pPr>
    </w:p>
    <w:p>
      <w:pPr>
        <w:spacing w:after="0"/>
        <w:tabs>
          <w:tab w:leader="none" w:pos="320" w:val="left"/>
          <w:tab w:leader="none" w:pos="1040" w:val="left"/>
          <w:tab w:leader="none" w:pos="1280" w:val="left"/>
          <w:tab w:leader="none" w:pos="2080" w:val="left"/>
          <w:tab w:leader="none" w:pos="2420" w:val="left"/>
        </w:tabs>
        <w:rPr>
          <w:sz w:val="20"/>
          <w:szCs w:val="20"/>
          <w:color w:val="auto"/>
        </w:rPr>
      </w:pPr>
      <w:r>
        <w:rPr>
          <w:rFonts w:ascii="Arial" w:cs="Arial" w:eastAsia="Arial" w:hAnsi="Arial"/>
          <w:sz w:val="16"/>
          <w:szCs w:val="16"/>
          <w:color w:val="auto"/>
        </w:rPr>
        <w:t>​$</w:t>
        <w:tab/>
        <w:t>70,402</w:t>
        <w:tab/>
        <w:t>​$</w:t>
        <w:tab/>
        <w:t>457,714</w:t>
        <w:tab/>
        <w:t>​$</w:t>
        <w:tab/>
        <w:t>164,293</w:t>
      </w:r>
    </w:p>
    <w:p>
      <w:pPr>
        <w:spacing w:after="0" w:line="275" w:lineRule="exact"/>
        <w:rPr>
          <w:sz w:val="20"/>
          <w:szCs w:val="20"/>
          <w:color w:val="auto"/>
        </w:rPr>
      </w:pPr>
    </w:p>
    <w:p>
      <w:pPr>
        <w:spacing w:after="0"/>
        <w:tabs>
          <w:tab w:leader="none" w:pos="220" w:val="left"/>
          <w:tab w:leader="none" w:pos="1040" w:val="left"/>
          <w:tab w:leader="none" w:pos="1280" w:val="left"/>
          <w:tab w:leader="none" w:pos="2080" w:val="left"/>
        </w:tabs>
        <w:rPr>
          <w:sz w:val="20"/>
          <w:szCs w:val="20"/>
          <w:color w:val="auto"/>
        </w:rPr>
      </w:pPr>
      <w:r>
        <w:rPr>
          <w:rFonts w:ascii="Arial" w:cs="Arial" w:eastAsia="Arial" w:hAnsi="Arial"/>
          <w:sz w:val="16"/>
          <w:szCs w:val="16"/>
          <w:color w:val="auto"/>
        </w:rPr>
        <w:t>​$</w:t>
        <w:tab/>
        <w:t>363,638</w:t>
        <w:tab/>
        <w:t>​$</w:t>
        <w:tab/>
        <w:t>535,110</w:t>
        <w:tab/>
        <w:t>​$ 2,089,549</w:t>
      </w:r>
    </w:p>
    <w:p>
      <w:pPr>
        <w:spacing w:after="0" w:line="59" w:lineRule="exact"/>
        <w:rPr>
          <w:sz w:val="20"/>
          <w:szCs w:val="20"/>
          <w:color w:val="auto"/>
        </w:rPr>
      </w:pPr>
    </w:p>
    <w:p>
      <w:pPr>
        <w:spacing w:after="0"/>
        <w:tabs>
          <w:tab w:leader="none" w:pos="640" w:val="left"/>
          <w:tab w:leader="none" w:pos="1040" w:val="left"/>
          <w:tab w:leader="none" w:pos="1700" w:val="left"/>
          <w:tab w:leader="none" w:pos="2080" w:val="left"/>
          <w:tab w:leader="none" w:pos="2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r>
    </w:p>
    <w:p>
      <w:pPr>
        <w:spacing w:after="0" w:line="289" w:lineRule="exact"/>
        <w:rPr>
          <w:sz w:val="20"/>
          <w:szCs w:val="20"/>
          <w:color w:val="auto"/>
        </w:rPr>
      </w:pPr>
    </w:p>
    <w:p>
      <w:pPr>
        <w:spacing w:after="0"/>
        <w:tabs>
          <w:tab w:leader="none" w:pos="320" w:val="left"/>
          <w:tab w:leader="none" w:pos="1040" w:val="left"/>
          <w:tab w:leader="none" w:pos="1380" w:val="left"/>
          <w:tab w:leader="none" w:pos="2080" w:val="left"/>
          <w:tab w:leader="none" w:pos="2520" w:val="left"/>
        </w:tabs>
        <w:rPr>
          <w:sz w:val="20"/>
          <w:szCs w:val="20"/>
          <w:color w:val="auto"/>
        </w:rPr>
      </w:pPr>
      <w:r>
        <w:rPr>
          <w:rFonts w:ascii="Arial" w:cs="Arial" w:eastAsia="Arial" w:hAnsi="Arial"/>
          <w:sz w:val="16"/>
          <w:szCs w:val="16"/>
          <w:color w:val="auto"/>
        </w:rPr>
        <w:t>​$</w:t>
        <w:tab/>
        <w:t>23,145</w:t>
        <w:tab/>
        <w:t>​$</w:t>
        <w:tab/>
        <w:t>17,711</w:t>
        <w:tab/>
        <w:t>​$</w:t>
      </w:r>
      <w:r>
        <w:rPr>
          <w:sz w:val="20"/>
          <w:szCs w:val="20"/>
          <w:color w:val="auto"/>
        </w:rPr>
        <w:tab/>
      </w:r>
      <w:r>
        <w:rPr>
          <w:rFonts w:ascii="Arial" w:cs="Arial" w:eastAsia="Arial" w:hAnsi="Arial"/>
          <w:sz w:val="16"/>
          <w:szCs w:val="16"/>
          <w:color w:val="auto"/>
        </w:rPr>
        <w:t>27,780</w:t>
      </w:r>
    </w:p>
    <w:p>
      <w:pPr>
        <w:spacing w:after="0" w:line="275" w:lineRule="exact"/>
        <w:rPr>
          <w:sz w:val="20"/>
          <w:szCs w:val="20"/>
          <w:color w:val="auto"/>
        </w:rPr>
      </w:pPr>
    </w:p>
    <w:p>
      <w:pPr>
        <w:spacing w:after="0"/>
        <w:tabs>
          <w:tab w:leader="none" w:pos="320" w:val="left"/>
          <w:tab w:leader="none" w:pos="1040" w:val="left"/>
          <w:tab w:leader="none" w:pos="1360" w:val="left"/>
          <w:tab w:leader="none" w:pos="2080" w:val="left"/>
          <w:tab w:leader="none" w:pos="2520" w:val="left"/>
        </w:tabs>
        <w:rPr>
          <w:sz w:val="20"/>
          <w:szCs w:val="20"/>
          <w:color w:val="auto"/>
        </w:rPr>
      </w:pPr>
      <w:r>
        <w:rPr>
          <w:rFonts w:ascii="Arial" w:cs="Arial" w:eastAsia="Arial" w:hAnsi="Arial"/>
          <w:sz w:val="16"/>
          <w:szCs w:val="16"/>
          <w:color w:val="auto"/>
        </w:rPr>
        <w:t>​$</w:t>
        <w:tab/>
        <w:t>20,475</w:t>
        <w:tab/>
        <w:t>​$</w:t>
        <w:tab/>
        <w:t>21,504</w:t>
        <w:tab/>
        <w:t>​$</w:t>
      </w:r>
      <w:r>
        <w:rPr>
          <w:sz w:val="20"/>
          <w:szCs w:val="20"/>
          <w:color w:val="auto"/>
        </w:rPr>
        <w:tab/>
      </w:r>
      <w:r>
        <w:rPr>
          <w:rFonts w:ascii="Arial" w:cs="Arial" w:eastAsia="Arial" w:hAnsi="Arial"/>
          <w:sz w:val="16"/>
          <w:szCs w:val="16"/>
          <w:color w:val="auto"/>
        </w:rPr>
        <w:t>19,347</w:t>
      </w:r>
    </w:p>
    <w:p>
      <w:pPr>
        <w:spacing w:after="0"/>
        <w:tabs>
          <w:tab w:leader="none" w:pos="1040" w:val="left"/>
        </w:tabs>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$8,577,743</w:t>
      </w:r>
      <w:r>
        <w:rPr>
          <w:sz w:val="20"/>
          <w:szCs w:val="20"/>
          <w:color w:val="auto"/>
        </w:rPr>
        <w:tab/>
      </w:r>
      <w:r>
        <w:rPr>
          <w:rFonts w:ascii="Arial" w:cs="Arial" w:eastAsia="Arial" w:hAnsi="Arial"/>
          <w:sz w:val="21"/>
          <w:szCs w:val="21"/>
          <w:b w:val="1"/>
          <w:bCs w:val="1"/>
          <w:color w:val="auto"/>
          <w:vertAlign w:val="subscript"/>
        </w:rPr>
        <w:t>​</w:t>
      </w:r>
      <w:r>
        <w:rPr>
          <w:rFonts w:ascii="Arial" w:cs="Arial" w:eastAsia="Arial" w:hAnsi="Arial"/>
          <w:sz w:val="21"/>
          <w:szCs w:val="21"/>
          <w:b w:val="1"/>
          <w:bCs w:val="1"/>
          <w:color w:val="auto"/>
        </w:rPr>
        <w:t xml:space="preserve">$9,883,510   </w:t>
      </w: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$13,428,971</w:t>
      </w:r>
    </w:p>
    <w:p>
      <w:pPr>
        <w:spacing w:after="0" w:line="63" w:lineRule="exact"/>
        <w:rPr>
          <w:sz w:val="20"/>
          <w:szCs w:val="20"/>
          <w:color w:val="auto"/>
        </w:rPr>
      </w:pPr>
    </w:p>
    <w:p>
      <w:pPr>
        <w:sectPr>
          <w:pgSz w:w="11900" w:h="16838" w:orient="portrait"/>
          <w:cols w:equalWidth="0" w:num="2">
            <w:col w:w="6260" w:space="340"/>
            <w:col w:w="3279"/>
          </w:cols>
          <w:pgMar w:left="580" w:top="90" w:right="1440" w:bottom="1440" w:gutter="0" w:footer="0" w:header="0"/>
          <w:type w:val="continuous"/>
        </w:sectPr>
      </w:pPr>
    </w:p>
    <w:p>
      <w:pPr>
        <w:ind w:left="1780" w:right="559" w:hanging="718"/>
        <w:spacing w:after="0" w:line="275" w:lineRule="auto"/>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William J. Amelio, who ceased to be the Chief Executive Officer on July 31, 2020, is the Former PEO for Fiscal 2021.</w:t>
      </w:r>
    </w:p>
    <w:p>
      <w:pPr>
        <w:sectPr>
          <w:pgSz w:w="11900" w:h="16838" w:orient="portrait"/>
          <w:cols w:equalWidth="0" w:num="1">
            <w:col w:w="9879"/>
          </w:cols>
          <w:pgMar w:left="580" w:top="90" w:right="1440" w:bottom="1440" w:gutter="0" w:footer="0" w:header="0"/>
          <w:type w:val="continuous"/>
        </w:sectPr>
      </w:pPr>
    </w:p>
    <w:p>
      <w:pPr>
        <w:spacing w:after="0" w:line="12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Arial" w:cs="Arial" w:eastAsia="Arial" w:hAnsi="Arial"/>
                <w:sz w:val="14"/>
                <w:szCs w:val="14"/>
                <w:color w:val="003366"/>
              </w:rPr>
              <w:t>TABLE OF CONTENTS</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80" w:type="dxa"/>
            <w:vAlign w:val="bottom"/>
            <w:vMerge w:val="restart"/>
          </w:tcPr>
          <w:p>
            <w:pPr>
              <w:ind w:left="2900"/>
              <w:spacing w:after="0"/>
              <w:rPr>
                <w:sz w:val="20"/>
                <w:szCs w:val="20"/>
                <w:color w:val="auto"/>
              </w:rPr>
            </w:pPr>
            <w:r>
              <w:rPr>
                <w:rFonts w:ascii="Arial" w:cs="Arial" w:eastAsia="Arial" w:hAnsi="Arial"/>
                <w:sz w:val="14"/>
                <w:szCs w:val="14"/>
                <w:color w:val="auto"/>
              </w:rPr>
              <w:t>Pay Versus Performance</w:t>
            </w:r>
          </w:p>
        </w:tc>
        <w:tc>
          <w:tcPr>
            <w:tcW w:w="0" w:type="dxa"/>
            <w:vAlign w:val="bottom"/>
          </w:tcPr>
          <w:p>
            <w:pPr>
              <w:spacing w:after="0"/>
              <w:rPr>
                <w:sz w:val="1"/>
                <w:szCs w:val="1"/>
                <w:color w:val="auto"/>
              </w:rPr>
            </w:pPr>
          </w:p>
        </w:tc>
      </w:tr>
      <w:tr>
        <w:trPr>
          <w:trHeight w:val="85"/>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780" w:right="299" w:hanging="718"/>
        <w:spacing w:after="0" w:line="275" w:lineRule="auto"/>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calculate CAP for Amelio for Fiscal 2021, the following amounts were deducted from and added to the Total Compensation reported in the SCT:</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100" w:type="dxa"/>
            <w:vAlign w:val="bottom"/>
            <w:shd w:val="clear" w:color="auto" w:fill="53C072"/>
          </w:tcPr>
          <w:p>
            <w:pPr>
              <w:spacing w:after="0"/>
              <w:rPr>
                <w:sz w:val="19"/>
                <w:szCs w:val="19"/>
                <w:color w:val="auto"/>
              </w:rPr>
            </w:pPr>
          </w:p>
        </w:tc>
        <w:tc>
          <w:tcPr>
            <w:tcW w:w="74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Year</w:t>
            </w:r>
          </w:p>
        </w:tc>
        <w:tc>
          <w:tcPr>
            <w:tcW w:w="44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41"/>
              <w:spacing w:after="0"/>
              <w:rPr>
                <w:sz w:val="20"/>
                <w:szCs w:val="20"/>
                <w:color w:val="auto"/>
              </w:rPr>
            </w:pPr>
            <w:r>
              <w:rPr>
                <w:rFonts w:ascii="Arial" w:cs="Arial" w:eastAsia="Arial" w:hAnsi="Arial"/>
                <w:sz w:val="14"/>
                <w:szCs w:val="14"/>
                <w:b w:val="1"/>
                <w:bCs w:val="1"/>
                <w:color w:val="FEFEFE"/>
              </w:rPr>
              <w:t>2021</w:t>
            </w:r>
          </w:p>
        </w:tc>
      </w:tr>
      <w:tr>
        <w:trPr>
          <w:trHeight w:val="243"/>
        </w:trPr>
        <w:tc>
          <w:tcPr>
            <w:tcW w:w="7560" w:type="dxa"/>
            <w:vAlign w:val="bottom"/>
            <w:gridSpan w:val="2"/>
          </w:tcPr>
          <w:p>
            <w:pPr>
              <w:ind w:left="60"/>
              <w:spacing w:after="0"/>
              <w:rPr>
                <w:sz w:val="20"/>
                <w:szCs w:val="20"/>
                <w:color w:val="auto"/>
              </w:rPr>
            </w:pPr>
            <w:r>
              <w:rPr>
                <w:rFonts w:ascii="Arial" w:cs="Arial" w:eastAsia="Arial" w:hAnsi="Arial"/>
                <w:sz w:val="16"/>
                <w:szCs w:val="16"/>
                <w:color w:val="auto"/>
              </w:rPr>
              <w:t>​SCT Total Compensation</w:t>
            </w:r>
          </w:p>
        </w:tc>
        <w:tc>
          <w:tcPr>
            <w:tcW w:w="1200" w:type="dxa"/>
            <w:vAlign w:val="bottom"/>
            <w:gridSpan w:val="2"/>
          </w:tcPr>
          <w:p>
            <w:pPr>
              <w:jc w:val="right"/>
              <w:ind w:right="21"/>
              <w:spacing w:after="0"/>
              <w:rPr>
                <w:sz w:val="20"/>
                <w:szCs w:val="20"/>
                <w:color w:val="auto"/>
              </w:rPr>
            </w:pPr>
            <w:r>
              <w:rPr>
                <w:rFonts w:ascii="Arial" w:cs="Arial" w:eastAsia="Arial" w:hAnsi="Arial"/>
                <w:sz w:val="16"/>
                <w:szCs w:val="16"/>
                <w:color w:val="auto"/>
              </w:rPr>
              <w:t>​$2,910,076</w:t>
            </w:r>
          </w:p>
        </w:tc>
      </w:tr>
      <w:tr>
        <w:trPr>
          <w:trHeight w:val="243"/>
        </w:trPr>
        <w:tc>
          <w:tcPr>
            <w:tcW w:w="10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460" w:type="dxa"/>
            <w:vAlign w:val="bottom"/>
            <w:shd w:val="clear" w:color="auto" w:fill="CBECD5"/>
          </w:tcPr>
          <w:p>
            <w:pPr>
              <w:ind w:left="360"/>
              <w:spacing w:after="0"/>
              <w:rPr>
                <w:sz w:val="20"/>
                <w:szCs w:val="20"/>
                <w:color w:val="auto"/>
              </w:rPr>
            </w:pPr>
            <w:r>
              <w:rPr>
                <w:rFonts w:ascii="Arial" w:cs="Arial" w:eastAsia="Arial" w:hAnsi="Arial"/>
                <w:sz w:val="16"/>
                <w:szCs w:val="16"/>
                <w:color w:val="auto"/>
              </w:rPr>
              <w:t>Minus: Fair value of awards forfeited during the covered year</w:t>
            </w:r>
          </w:p>
        </w:tc>
        <w:tc>
          <w:tcPr>
            <w:tcW w:w="1200" w:type="dxa"/>
            <w:vAlign w:val="bottom"/>
            <w:gridSpan w:val="2"/>
            <w:shd w:val="clear" w:color="auto" w:fill="CBECD5"/>
          </w:tcPr>
          <w:p>
            <w:pPr>
              <w:jc w:val="right"/>
              <w:ind w:right="21"/>
              <w:spacing w:after="0"/>
              <w:rPr>
                <w:sz w:val="20"/>
                <w:szCs w:val="20"/>
                <w:color w:val="auto"/>
              </w:rPr>
            </w:pPr>
            <w:r>
              <w:rPr>
                <w:rFonts w:ascii="Arial" w:cs="Arial" w:eastAsia="Arial" w:hAnsi="Arial"/>
                <w:sz w:val="16"/>
                <w:szCs w:val="16"/>
                <w:color w:val="auto"/>
              </w:rPr>
              <w:t>​$2,641,141</w:t>
            </w:r>
          </w:p>
        </w:tc>
      </w:tr>
      <w:tr>
        <w:trPr>
          <w:trHeight w:val="243"/>
        </w:trPr>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7460" w:type="dxa"/>
            <w:vAlign w:val="bottom"/>
          </w:tcPr>
          <w:p>
            <w:pPr>
              <w:ind w:left="360"/>
              <w:spacing w:after="0"/>
              <w:rPr>
                <w:sz w:val="20"/>
                <w:szCs w:val="20"/>
                <w:color w:val="auto"/>
              </w:rPr>
            </w:pPr>
            <w:r>
              <w:rPr>
                <w:rFonts w:ascii="Arial" w:cs="Arial" w:eastAsia="Arial" w:hAnsi="Arial"/>
                <w:sz w:val="16"/>
                <w:szCs w:val="16"/>
                <w:color w:val="auto"/>
              </w:rPr>
              <w:t>Minus: Aggregate change in actuarial present value of accumulated benefit under pension plans</w:t>
            </w:r>
          </w:p>
        </w:tc>
        <w:tc>
          <w:tcPr>
            <w:tcW w:w="4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88,339</w:t>
            </w:r>
          </w:p>
        </w:tc>
      </w:tr>
      <w:tr>
        <w:trPr>
          <w:trHeight w:val="243"/>
        </w:trPr>
        <w:tc>
          <w:tcPr>
            <w:tcW w:w="10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460" w:type="dxa"/>
            <w:vAlign w:val="bottom"/>
            <w:shd w:val="clear" w:color="auto" w:fill="CBECD5"/>
          </w:tcPr>
          <w:p>
            <w:pPr>
              <w:ind w:left="360"/>
              <w:spacing w:after="0"/>
              <w:rPr>
                <w:sz w:val="20"/>
                <w:szCs w:val="20"/>
                <w:color w:val="auto"/>
              </w:rPr>
            </w:pPr>
            <w:r>
              <w:rPr>
                <w:rFonts w:ascii="Arial" w:cs="Arial" w:eastAsia="Arial" w:hAnsi="Arial"/>
                <w:sz w:val="16"/>
                <w:szCs w:val="16"/>
                <w:color w:val="auto"/>
              </w:rPr>
              <w:t>Plus: Aggregate service costs and prior service costs for pension plans</w:t>
            </w:r>
          </w:p>
        </w:tc>
        <w:tc>
          <w:tcPr>
            <w:tcW w:w="440" w:type="dxa"/>
            <w:vAlign w:val="bottom"/>
            <w:shd w:val="clear" w:color="auto" w:fill="CBECD5"/>
          </w:tcPr>
          <w:p>
            <w:pPr>
              <w:ind w:lef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1"/>
              <w:spacing w:after="0"/>
              <w:rPr>
                <w:sz w:val="20"/>
                <w:szCs w:val="20"/>
                <w:color w:val="auto"/>
              </w:rPr>
            </w:pPr>
            <w:r>
              <w:rPr>
                <w:rFonts w:ascii="Arial" w:cs="Arial" w:eastAsia="Arial" w:hAnsi="Arial"/>
                <w:sz w:val="16"/>
                <w:szCs w:val="16"/>
                <w:color w:val="auto"/>
              </w:rPr>
              <w:t>196,551</w:t>
            </w:r>
          </w:p>
        </w:tc>
      </w:tr>
      <w:tr>
        <w:trPr>
          <w:trHeight w:val="277"/>
        </w:trPr>
        <w:tc>
          <w:tcPr>
            <w:tcW w:w="7560" w:type="dxa"/>
            <w:vAlign w:val="bottom"/>
            <w:tcBorders>
              <w:bottom w:val="single" w:sz="8" w:color="53C072"/>
            </w:tcBorders>
            <w:gridSpan w:val="2"/>
          </w:tcPr>
          <w:p>
            <w:pPr>
              <w:ind w:left="6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Compensation Actually Paid (CAP)</w:t>
            </w:r>
          </w:p>
        </w:tc>
        <w:tc>
          <w:tcPr>
            <w:tcW w:w="440" w:type="dxa"/>
            <w:vAlign w:val="bottom"/>
            <w:tcBorders>
              <w:bottom w:val="single" w:sz="8" w:color="53C072"/>
            </w:tcBorders>
          </w:tcPr>
          <w:p>
            <w:pPr>
              <w:ind w:left="26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t>
            </w:r>
          </w:p>
        </w:tc>
        <w:tc>
          <w:tcPr>
            <w:tcW w:w="760" w:type="dxa"/>
            <w:vAlign w:val="bottom"/>
            <w:tcBorders>
              <w:bottom w:val="single" w:sz="8" w:color="53C072"/>
            </w:tcBorders>
          </w:tcPr>
          <w:p>
            <w:pPr>
              <w:jc w:val="right"/>
              <w:ind w:right="21"/>
              <w:spacing w:after="0"/>
              <w:rPr>
                <w:sz w:val="20"/>
                <w:szCs w:val="20"/>
                <w:color w:val="auto"/>
              </w:rPr>
            </w:pPr>
            <w:r>
              <w:rPr>
                <w:rFonts w:ascii="Arial" w:cs="Arial" w:eastAsia="Arial" w:hAnsi="Arial"/>
                <w:sz w:val="16"/>
                <w:szCs w:val="16"/>
                <w:b w:val="1"/>
                <w:bCs w:val="1"/>
                <w:color w:val="auto"/>
              </w:rPr>
              <w:t>377,147</w:t>
            </w:r>
          </w:p>
        </w:tc>
      </w:tr>
    </w:tbl>
    <w:p>
      <w:pPr>
        <w:spacing w:after="0" w:line="95" w:lineRule="exact"/>
        <w:rPr>
          <w:sz w:val="20"/>
          <w:szCs w:val="20"/>
          <w:color w:val="auto"/>
        </w:rPr>
      </w:pPr>
    </w:p>
    <w:p>
      <w:pPr>
        <w:ind w:left="1780" w:hanging="718"/>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are the non-PEO NEOs included for each year shown in the table:</w:t>
      </w:r>
    </w:p>
    <w:p>
      <w:pPr>
        <w:spacing w:after="0" w:line="157" w:lineRule="exact"/>
        <w:rPr>
          <w:rFonts w:ascii="Arial" w:cs="Arial" w:eastAsia="Arial" w:hAnsi="Arial"/>
          <w:sz w:val="18"/>
          <w:szCs w:val="18"/>
          <w:color w:val="auto"/>
        </w:rPr>
      </w:pPr>
    </w:p>
    <w:p>
      <w:pPr>
        <w:ind w:left="1780" w:right="779"/>
        <w:spacing w:after="0" w:line="275" w:lineRule="auto"/>
        <w:rPr>
          <w:rFonts w:ascii="Arial" w:cs="Arial" w:eastAsia="Arial" w:hAnsi="Arial"/>
          <w:sz w:val="18"/>
          <w:szCs w:val="18"/>
          <w:color w:val="auto"/>
        </w:rPr>
      </w:pPr>
      <w:r>
        <w:rPr>
          <w:rFonts w:ascii="Arial" w:cs="Arial" w:eastAsia="Arial" w:hAnsi="Arial"/>
          <w:sz w:val="18"/>
          <w:szCs w:val="18"/>
          <w:u w:val="single" w:color="auto"/>
          <w:color w:val="auto"/>
        </w:rPr>
        <w:t>Fiscal 2023</w:t>
      </w:r>
      <w:r>
        <w:rPr>
          <w:rFonts w:ascii="Arial" w:cs="Arial" w:eastAsia="Arial" w:hAnsi="Arial"/>
          <w:sz w:val="18"/>
          <w:szCs w:val="18"/>
          <w:color w:val="auto"/>
        </w:rPr>
        <w:t>: Messrs. Liguori (former CFO), Jacobson, Arnold, and McCoy and Ms. Obregon-Jimenez.</w:t>
      </w:r>
    </w:p>
    <w:p>
      <w:pPr>
        <w:spacing w:after="0" w:line="10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u w:val="single" w:color="auto"/>
          <w:color w:val="auto"/>
        </w:rPr>
        <w:t>Fiscal 2022</w:t>
      </w:r>
      <w:r>
        <w:rPr>
          <w:rFonts w:ascii="Arial" w:cs="Arial" w:eastAsia="Arial" w:hAnsi="Arial"/>
          <w:sz w:val="18"/>
          <w:szCs w:val="18"/>
          <w:color w:val="auto"/>
        </w:rPr>
        <w:t>: Messrs. Liguori, Arnold, Chan, and McCoy.</w:t>
      </w:r>
    </w:p>
    <w:p>
      <w:pPr>
        <w:spacing w:after="0" w:line="144" w:lineRule="exact"/>
        <w:rPr>
          <w:rFonts w:ascii="Arial" w:cs="Arial" w:eastAsia="Arial" w:hAnsi="Arial"/>
          <w:sz w:val="18"/>
          <w:szCs w:val="18"/>
          <w:color w:val="auto"/>
        </w:rPr>
      </w:pPr>
    </w:p>
    <w:p>
      <w:pPr>
        <w:ind w:left="1780" w:right="339"/>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Fiscal 2021</w:t>
      </w:r>
      <w:r>
        <w:rPr>
          <w:rFonts w:ascii="Arial" w:cs="Arial" w:eastAsia="Arial" w:hAnsi="Arial"/>
          <w:sz w:val="18"/>
          <w:szCs w:val="18"/>
          <w:color w:val="auto"/>
        </w:rPr>
        <w:t>: Messrs. Liguori, Arnold, Chan, and McCoy as well as Peter G Bartolotta (who ceased serving as President, Business Transformation on October 1, 2020) and MaryAnn G. Miller (who ceased serving as SVP, Chief Administrative Officer on October 16, 2020).</w:t>
      </w:r>
    </w:p>
    <w:p>
      <w:pPr>
        <w:spacing w:after="0" w:line="116" w:lineRule="exact"/>
        <w:rPr>
          <w:rFonts w:ascii="Arial" w:cs="Arial" w:eastAsia="Arial" w:hAnsi="Arial"/>
          <w:sz w:val="18"/>
          <w:szCs w:val="18"/>
          <w:color w:val="auto"/>
        </w:rPr>
      </w:pPr>
    </w:p>
    <w:p>
      <w:pPr>
        <w:ind w:left="1780" w:right="399" w:hanging="718"/>
        <w:spacing w:after="0" w:line="275" w:lineRule="auto"/>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calculate the Average CAP for the non-PEO NEOs, the following amounts were deducted from and added to the average Total Compensation reported in the SCT:</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55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Year</w:t>
            </w:r>
          </w:p>
        </w:tc>
        <w:tc>
          <w:tcPr>
            <w:tcW w:w="380" w:type="dxa"/>
            <w:vAlign w:val="bottom"/>
            <w:shd w:val="clear" w:color="auto" w:fill="53C072"/>
          </w:tcPr>
          <w:p>
            <w:pPr>
              <w:spacing w:after="0"/>
              <w:rPr>
                <w:sz w:val="19"/>
                <w:szCs w:val="19"/>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2021</w:t>
            </w:r>
          </w:p>
        </w:tc>
        <w:tc>
          <w:tcPr>
            <w:tcW w:w="120" w:type="dxa"/>
            <w:vAlign w:val="bottom"/>
            <w:shd w:val="clear" w:color="auto" w:fill="53C072"/>
          </w:tcPr>
          <w:p>
            <w:pPr>
              <w:spacing w:after="0"/>
              <w:rPr>
                <w:sz w:val="19"/>
                <w:szCs w:val="19"/>
                <w:color w:val="auto"/>
              </w:rPr>
            </w:pPr>
          </w:p>
        </w:tc>
        <w:tc>
          <w:tcPr>
            <w:tcW w:w="24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20"/>
              <w:spacing w:after="0"/>
              <w:rPr>
                <w:sz w:val="20"/>
                <w:szCs w:val="20"/>
                <w:color w:val="auto"/>
              </w:rPr>
            </w:pPr>
            <w:r>
              <w:rPr>
                <w:rFonts w:ascii="Arial" w:cs="Arial" w:eastAsia="Arial" w:hAnsi="Arial"/>
                <w:sz w:val="14"/>
                <w:szCs w:val="14"/>
                <w:b w:val="1"/>
                <w:bCs w:val="1"/>
                <w:color w:val="FEFEFE"/>
              </w:rPr>
              <w:t>2022</w:t>
            </w:r>
          </w:p>
        </w:tc>
        <w:tc>
          <w:tcPr>
            <w:tcW w:w="30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40"/>
              <w:spacing w:after="0"/>
              <w:rPr>
                <w:sz w:val="20"/>
                <w:szCs w:val="20"/>
                <w:color w:val="auto"/>
              </w:rPr>
            </w:pPr>
            <w:r>
              <w:rPr>
                <w:rFonts w:ascii="Arial" w:cs="Arial" w:eastAsia="Arial" w:hAnsi="Arial"/>
                <w:sz w:val="14"/>
                <w:szCs w:val="14"/>
                <w:b w:val="1"/>
                <w:bCs w:val="1"/>
                <w:color w:val="FEFEFE"/>
              </w:rPr>
              <w:t>2023</w:t>
            </w:r>
          </w:p>
        </w:tc>
      </w:tr>
      <w:tr>
        <w:trPr>
          <w:trHeight w:val="243"/>
        </w:trPr>
        <w:tc>
          <w:tcPr>
            <w:tcW w:w="5520" w:type="dxa"/>
            <w:vAlign w:val="bottom"/>
          </w:tcPr>
          <w:p>
            <w:pPr>
              <w:ind w:left="100"/>
              <w:spacing w:after="0"/>
              <w:rPr>
                <w:sz w:val="20"/>
                <w:szCs w:val="20"/>
                <w:color w:val="auto"/>
              </w:rPr>
            </w:pPr>
            <w:r>
              <w:rPr>
                <w:rFonts w:ascii="Arial" w:cs="Arial" w:eastAsia="Arial" w:hAnsi="Arial"/>
                <w:sz w:val="16"/>
                <w:szCs w:val="16"/>
                <w:color w:val="auto"/>
              </w:rPr>
              <w:t>Average SCT Total Compensation</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 ​​$1,862,076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​$2,031,221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​$1,928,181</w:t>
            </w:r>
          </w:p>
        </w:tc>
      </w:tr>
      <w:tr>
        <w:trPr>
          <w:trHeight w:val="243"/>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Average grant-date fair value of awards reported in the SCT</w:t>
            </w:r>
          </w:p>
        </w:tc>
        <w:tc>
          <w:tcPr>
            <w:tcW w:w="380" w:type="dxa"/>
            <w:vAlign w:val="bottom"/>
            <w:shd w:val="clear" w:color="auto" w:fill="CBECD5"/>
          </w:tcPr>
          <w:p>
            <w:pPr>
              <w:ind w:left="6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739,776</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780,055</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890,867</w:t>
            </w:r>
          </w:p>
        </w:tc>
      </w:tr>
      <w:tr>
        <w:trPr>
          <w:trHeight w:val="233"/>
        </w:trPr>
        <w:tc>
          <w:tcPr>
            <w:tcW w:w="5520" w:type="dxa"/>
            <w:vAlign w:val="bottom"/>
          </w:tcPr>
          <w:p>
            <w:pPr>
              <w:ind w:left="480"/>
              <w:spacing w:after="0"/>
              <w:rPr>
                <w:sz w:val="20"/>
                <w:szCs w:val="20"/>
                <w:color w:val="auto"/>
              </w:rPr>
            </w:pPr>
            <w:r>
              <w:rPr>
                <w:rFonts w:ascii="Arial" w:cs="Arial" w:eastAsia="Arial" w:hAnsi="Arial"/>
                <w:sz w:val="16"/>
                <w:szCs w:val="16"/>
                <w:color w:val="auto"/>
              </w:rPr>
              <w:t>Plus: Average vesting-date fair value of awards granted and vested in</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3"/>
        </w:trPr>
        <w:tc>
          <w:tcPr>
            <w:tcW w:w="5520" w:type="dxa"/>
            <w:vAlign w:val="bottom"/>
          </w:tcPr>
          <w:p>
            <w:pPr>
              <w:ind w:left="480"/>
              <w:spacing w:after="0"/>
              <w:rPr>
                <w:sz w:val="20"/>
                <w:szCs w:val="20"/>
                <w:color w:val="auto"/>
              </w:rPr>
            </w:pPr>
            <w:r>
              <w:rPr>
                <w:rFonts w:ascii="Arial" w:cs="Arial" w:eastAsia="Arial" w:hAnsi="Arial"/>
                <w:sz w:val="16"/>
                <w:szCs w:val="16"/>
                <w:color w:val="auto"/>
              </w:rPr>
              <w:t>the covered year</w:t>
            </w:r>
          </w:p>
        </w:tc>
        <w:tc>
          <w:tcPr>
            <w:tcW w:w="380" w:type="dxa"/>
            <w:vAlign w:val="bottom"/>
          </w:tcPr>
          <w:p>
            <w:pPr>
              <w:ind w:left="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136,771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115,456</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124,990</w:t>
            </w:r>
          </w:p>
        </w:tc>
      </w:tr>
      <w:tr>
        <w:trPr>
          <w:trHeight w:val="233"/>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 Average year-end fair value of awards granted but remain</w:t>
            </w:r>
          </w:p>
        </w:tc>
        <w:tc>
          <w:tcPr>
            <w:tcW w:w="380" w:type="dxa"/>
            <w:vAlign w:val="bottom"/>
            <w:shd w:val="clear" w:color="auto" w:fill="CBECD5"/>
          </w:tcPr>
          <w:p>
            <w:pPr>
              <w:spacing w:after="0"/>
              <w:rPr>
                <w:sz w:val="20"/>
                <w:szCs w:val="20"/>
                <w:color w:val="auto"/>
              </w:rPr>
            </w:pPr>
          </w:p>
        </w:tc>
        <w:tc>
          <w:tcPr>
            <w:tcW w:w="680" w:type="dxa"/>
            <w:vAlign w:val="bottom"/>
            <w:shd w:val="clear" w:color="auto" w:fill="CBECD5"/>
          </w:tcPr>
          <w:p>
            <w:pPr>
              <w:spacing w:after="0"/>
              <w:rPr>
                <w:sz w:val="20"/>
                <w:szCs w:val="20"/>
                <w:color w:val="auto"/>
              </w:rPr>
            </w:pPr>
          </w:p>
        </w:tc>
        <w:tc>
          <w:tcPr>
            <w:tcW w:w="120" w:type="dxa"/>
            <w:vAlign w:val="bottom"/>
            <w:shd w:val="clear" w:color="auto" w:fill="CBECD5"/>
          </w:tcPr>
          <w:p>
            <w:pPr>
              <w:spacing w:after="0"/>
              <w:rPr>
                <w:sz w:val="20"/>
                <w:szCs w:val="20"/>
                <w:color w:val="auto"/>
              </w:rPr>
            </w:pPr>
          </w:p>
        </w:tc>
        <w:tc>
          <w:tcPr>
            <w:tcW w:w="240" w:type="dxa"/>
            <w:vAlign w:val="bottom"/>
            <w:shd w:val="clear" w:color="auto" w:fill="CBECD5"/>
          </w:tcPr>
          <w:p>
            <w:pPr>
              <w:spacing w:after="0"/>
              <w:rPr>
                <w:sz w:val="20"/>
                <w:szCs w:val="20"/>
                <w:color w:val="auto"/>
              </w:rPr>
            </w:pPr>
          </w:p>
        </w:tc>
        <w:tc>
          <w:tcPr>
            <w:tcW w:w="760" w:type="dxa"/>
            <w:vAlign w:val="bottom"/>
            <w:shd w:val="clear" w:color="auto" w:fill="CBECD5"/>
          </w:tcPr>
          <w:p>
            <w:pPr>
              <w:spacing w:after="0"/>
              <w:rPr>
                <w:sz w:val="20"/>
                <w:szCs w:val="20"/>
                <w:color w:val="auto"/>
              </w:rPr>
            </w:pPr>
          </w:p>
        </w:tc>
        <w:tc>
          <w:tcPr>
            <w:tcW w:w="300" w:type="dxa"/>
            <w:vAlign w:val="bottom"/>
            <w:shd w:val="clear" w:color="auto" w:fill="CBECD5"/>
          </w:tcPr>
          <w:p>
            <w:pPr>
              <w:spacing w:after="0"/>
              <w:rPr>
                <w:sz w:val="20"/>
                <w:szCs w:val="20"/>
                <w:color w:val="auto"/>
              </w:rPr>
            </w:pPr>
          </w:p>
        </w:tc>
        <w:tc>
          <w:tcPr>
            <w:tcW w:w="760" w:type="dxa"/>
            <w:vAlign w:val="bottom"/>
            <w:shd w:val="clear" w:color="auto" w:fill="CBECD5"/>
          </w:tcPr>
          <w:p>
            <w:pPr>
              <w:spacing w:after="0"/>
              <w:rPr>
                <w:sz w:val="20"/>
                <w:szCs w:val="20"/>
                <w:color w:val="auto"/>
              </w:rPr>
            </w:pPr>
          </w:p>
        </w:tc>
      </w:tr>
      <w:tr>
        <w:trPr>
          <w:trHeight w:val="213"/>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unvested in the covered year</w:t>
            </w:r>
          </w:p>
        </w:tc>
        <w:tc>
          <w:tcPr>
            <w:tcW w:w="380" w:type="dxa"/>
            <w:vAlign w:val="bottom"/>
            <w:shd w:val="clear" w:color="auto" w:fill="CBECD5"/>
          </w:tcPr>
          <w:p>
            <w:pPr>
              <w:ind w:left="6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591,136</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402,321</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555,985</w:t>
            </w:r>
          </w:p>
        </w:tc>
      </w:tr>
      <w:tr>
        <w:trPr>
          <w:trHeight w:val="233"/>
        </w:trPr>
        <w:tc>
          <w:tcPr>
            <w:tcW w:w="5520" w:type="dxa"/>
            <w:vAlign w:val="bottom"/>
          </w:tcPr>
          <w:p>
            <w:pPr>
              <w:ind w:left="480"/>
              <w:spacing w:after="0"/>
              <w:rPr>
                <w:sz w:val="20"/>
                <w:szCs w:val="20"/>
                <w:color w:val="auto"/>
              </w:rPr>
            </w:pPr>
            <w:r>
              <w:rPr>
                <w:rFonts w:ascii="Arial" w:cs="Arial" w:eastAsia="Arial" w:hAnsi="Arial"/>
                <w:sz w:val="16"/>
                <w:szCs w:val="16"/>
                <w:color w:val="auto"/>
              </w:rPr>
              <w:t>Plus: Average change in fair value of awards granted in prior year(s)</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3"/>
        </w:trPr>
        <w:tc>
          <w:tcPr>
            <w:tcW w:w="5520" w:type="dxa"/>
            <w:vAlign w:val="bottom"/>
          </w:tcPr>
          <w:p>
            <w:pPr>
              <w:ind w:left="480"/>
              <w:spacing w:after="0"/>
              <w:rPr>
                <w:sz w:val="20"/>
                <w:szCs w:val="20"/>
                <w:color w:val="auto"/>
              </w:rPr>
            </w:pPr>
            <w:r>
              <w:rPr>
                <w:rFonts w:ascii="Arial" w:cs="Arial" w:eastAsia="Arial" w:hAnsi="Arial"/>
                <w:sz w:val="16"/>
                <w:szCs w:val="16"/>
                <w:color w:val="auto"/>
              </w:rPr>
              <w:t>that vested in the covered year</w:t>
            </w:r>
          </w:p>
        </w:tc>
        <w:tc>
          <w:tcPr>
            <w:tcW w:w="380" w:type="dxa"/>
            <w:vAlign w:val="bottom"/>
          </w:tcPr>
          <w:p>
            <w:pPr>
              <w:ind w:left="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51,740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78,917</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17,562</w:t>
            </w:r>
          </w:p>
        </w:tc>
      </w:tr>
      <w:tr>
        <w:trPr>
          <w:trHeight w:val="246"/>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 Average change in fair value of awards granted in prior year(s)</w:t>
            </w:r>
          </w:p>
        </w:tc>
        <w:tc>
          <w:tcPr>
            <w:tcW w:w="380" w:type="dxa"/>
            <w:vAlign w:val="bottom"/>
            <w:shd w:val="clear" w:color="auto" w:fill="CBECD5"/>
          </w:tcPr>
          <w:p>
            <w:pPr>
              <w:spacing w:after="0"/>
              <w:rPr>
                <w:sz w:val="21"/>
                <w:szCs w:val="21"/>
                <w:color w:val="auto"/>
              </w:rPr>
            </w:pPr>
          </w:p>
        </w:tc>
        <w:tc>
          <w:tcPr>
            <w:tcW w:w="68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1"/>
                <w:szCs w:val="21"/>
                <w:color w:val="auto"/>
              </w:rPr>
            </w:pPr>
          </w:p>
        </w:tc>
        <w:tc>
          <w:tcPr>
            <w:tcW w:w="240" w:type="dxa"/>
            <w:vAlign w:val="bottom"/>
            <w:shd w:val="clear" w:color="auto" w:fill="CBECD5"/>
          </w:tcPr>
          <w:p>
            <w:pPr>
              <w:spacing w:after="0"/>
              <w:rPr>
                <w:sz w:val="21"/>
                <w:szCs w:val="21"/>
                <w:color w:val="auto"/>
              </w:rPr>
            </w:pPr>
          </w:p>
        </w:tc>
        <w:tc>
          <w:tcPr>
            <w:tcW w:w="760" w:type="dxa"/>
            <w:vAlign w:val="bottom"/>
            <w:shd w:val="clear" w:color="auto" w:fill="CBECD5"/>
          </w:tcPr>
          <w:p>
            <w:pPr>
              <w:spacing w:after="0"/>
              <w:rPr>
                <w:sz w:val="21"/>
                <w:szCs w:val="21"/>
                <w:color w:val="auto"/>
              </w:rPr>
            </w:pPr>
          </w:p>
        </w:tc>
        <w:tc>
          <w:tcPr>
            <w:tcW w:w="300" w:type="dxa"/>
            <w:vAlign w:val="bottom"/>
            <w:shd w:val="clear" w:color="auto" w:fill="CBECD5"/>
          </w:tcPr>
          <w:p>
            <w:pPr>
              <w:spacing w:after="0"/>
              <w:rPr>
                <w:sz w:val="21"/>
                <w:szCs w:val="21"/>
                <w:color w:val="auto"/>
              </w:rPr>
            </w:pPr>
          </w:p>
        </w:tc>
        <w:tc>
          <w:tcPr>
            <w:tcW w:w="760" w:type="dxa"/>
            <w:vAlign w:val="bottom"/>
            <w:shd w:val="clear" w:color="auto" w:fill="CBECD5"/>
          </w:tcPr>
          <w:p>
            <w:pPr>
              <w:spacing w:after="0"/>
              <w:rPr>
                <w:sz w:val="21"/>
                <w:szCs w:val="21"/>
                <w:color w:val="auto"/>
              </w:rPr>
            </w:pPr>
          </w:p>
        </w:tc>
      </w:tr>
      <w:tr>
        <w:trPr>
          <w:trHeight w:val="213"/>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that remain unvested</w:t>
            </w:r>
          </w:p>
        </w:tc>
        <w:tc>
          <w:tcPr>
            <w:tcW w:w="380" w:type="dxa"/>
            <w:vAlign w:val="bottom"/>
            <w:shd w:val="clear" w:color="auto" w:fill="CBECD5"/>
          </w:tcPr>
          <w:p>
            <w:pPr>
              <w:ind w:left="6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155,548</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69,871</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224,960</w:t>
            </w:r>
          </w:p>
        </w:tc>
      </w:tr>
      <w:tr>
        <w:trPr>
          <w:trHeight w:val="256"/>
        </w:trPr>
        <w:tc>
          <w:tcPr>
            <w:tcW w:w="5520" w:type="dxa"/>
            <w:vAlign w:val="bottom"/>
          </w:tcPr>
          <w:p>
            <w:pPr>
              <w:ind w:left="480"/>
              <w:spacing w:after="0"/>
              <w:rPr>
                <w:sz w:val="20"/>
                <w:szCs w:val="20"/>
                <w:color w:val="auto"/>
              </w:rPr>
            </w:pPr>
            <w:r>
              <w:rPr>
                <w:rFonts w:ascii="Arial" w:cs="Arial" w:eastAsia="Arial" w:hAnsi="Arial"/>
                <w:sz w:val="16"/>
                <w:szCs w:val="16"/>
                <w:color w:val="auto"/>
              </w:rPr>
              <w:t>Minus: Average fair value of awards forfeited during the covered year</w:t>
            </w:r>
          </w:p>
        </w:tc>
        <w:tc>
          <w:tcPr>
            <w:tcW w:w="380" w:type="dxa"/>
            <w:vAlign w:val="bottom"/>
          </w:tcPr>
          <w:p>
            <w:pPr>
              <w:ind w:left="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433,248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6"/>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Average aggregate change in actuarial present value of</w:t>
            </w:r>
          </w:p>
        </w:tc>
        <w:tc>
          <w:tcPr>
            <w:tcW w:w="380" w:type="dxa"/>
            <w:vAlign w:val="bottom"/>
            <w:shd w:val="clear" w:color="auto" w:fill="CBECD5"/>
          </w:tcPr>
          <w:p>
            <w:pPr>
              <w:spacing w:after="0"/>
              <w:rPr>
                <w:sz w:val="21"/>
                <w:szCs w:val="21"/>
                <w:color w:val="auto"/>
              </w:rPr>
            </w:pPr>
          </w:p>
        </w:tc>
        <w:tc>
          <w:tcPr>
            <w:tcW w:w="68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1"/>
                <w:szCs w:val="21"/>
                <w:color w:val="auto"/>
              </w:rPr>
            </w:pPr>
          </w:p>
        </w:tc>
        <w:tc>
          <w:tcPr>
            <w:tcW w:w="240" w:type="dxa"/>
            <w:vAlign w:val="bottom"/>
            <w:shd w:val="clear" w:color="auto" w:fill="CBECD5"/>
          </w:tcPr>
          <w:p>
            <w:pPr>
              <w:spacing w:after="0"/>
              <w:rPr>
                <w:sz w:val="21"/>
                <w:szCs w:val="21"/>
                <w:color w:val="auto"/>
              </w:rPr>
            </w:pPr>
          </w:p>
        </w:tc>
        <w:tc>
          <w:tcPr>
            <w:tcW w:w="760" w:type="dxa"/>
            <w:vAlign w:val="bottom"/>
            <w:shd w:val="clear" w:color="auto" w:fill="CBECD5"/>
          </w:tcPr>
          <w:p>
            <w:pPr>
              <w:spacing w:after="0"/>
              <w:rPr>
                <w:sz w:val="21"/>
                <w:szCs w:val="21"/>
                <w:color w:val="auto"/>
              </w:rPr>
            </w:pPr>
          </w:p>
        </w:tc>
        <w:tc>
          <w:tcPr>
            <w:tcW w:w="300" w:type="dxa"/>
            <w:vAlign w:val="bottom"/>
            <w:shd w:val="clear" w:color="auto" w:fill="CBECD5"/>
          </w:tcPr>
          <w:p>
            <w:pPr>
              <w:spacing w:after="0"/>
              <w:rPr>
                <w:sz w:val="21"/>
                <w:szCs w:val="21"/>
                <w:color w:val="auto"/>
              </w:rPr>
            </w:pPr>
          </w:p>
        </w:tc>
        <w:tc>
          <w:tcPr>
            <w:tcW w:w="760" w:type="dxa"/>
            <w:vAlign w:val="bottom"/>
            <w:shd w:val="clear" w:color="auto" w:fill="CBECD5"/>
          </w:tcPr>
          <w:p>
            <w:pPr>
              <w:spacing w:after="0"/>
              <w:rPr>
                <w:sz w:val="21"/>
                <w:szCs w:val="21"/>
                <w:color w:val="auto"/>
              </w:rPr>
            </w:pPr>
          </w:p>
        </w:tc>
      </w:tr>
      <w:tr>
        <w:trPr>
          <w:trHeight w:val="213"/>
        </w:trPr>
        <w:tc>
          <w:tcPr>
            <w:tcW w:w="5520" w:type="dxa"/>
            <w:vAlign w:val="bottom"/>
            <w:shd w:val="clear" w:color="auto" w:fill="CBECD5"/>
          </w:tcPr>
          <w:p>
            <w:pPr>
              <w:ind w:left="480"/>
              <w:spacing w:after="0"/>
              <w:rPr>
                <w:sz w:val="20"/>
                <w:szCs w:val="20"/>
                <w:color w:val="auto"/>
              </w:rPr>
            </w:pPr>
            <w:r>
              <w:rPr>
                <w:rFonts w:ascii="Arial" w:cs="Arial" w:eastAsia="Arial" w:hAnsi="Arial"/>
                <w:sz w:val="16"/>
                <w:szCs w:val="16"/>
                <w:color w:val="auto"/>
              </w:rPr>
              <w:t>accumulated benefit under pension plans</w:t>
            </w:r>
          </w:p>
        </w:tc>
        <w:tc>
          <w:tcPr>
            <w:tcW w:w="380" w:type="dxa"/>
            <w:vAlign w:val="bottom"/>
            <w:shd w:val="clear" w:color="auto" w:fill="CBECD5"/>
          </w:tcPr>
          <w:p>
            <w:pPr>
              <w:ind w:left="6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136,997</w:t>
            </w:r>
          </w:p>
        </w:tc>
        <w:tc>
          <w:tcPr>
            <w:tcW w:w="12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43,134</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0"/>
              <w:spacing w:after="0"/>
              <w:rPr>
                <w:sz w:val="20"/>
                <w:szCs w:val="20"/>
                <w:color w:val="auto"/>
              </w:rPr>
            </w:pPr>
            <w:r>
              <w:rPr>
                <w:rFonts w:ascii="Arial" w:cs="Arial" w:eastAsia="Arial" w:hAnsi="Arial"/>
                <w:sz w:val="16"/>
                <w:szCs w:val="16"/>
                <w:color w:val="auto"/>
              </w:rPr>
              <w:t>63,768</w:t>
            </w:r>
          </w:p>
        </w:tc>
      </w:tr>
      <w:tr>
        <w:trPr>
          <w:trHeight w:val="246"/>
        </w:trPr>
        <w:tc>
          <w:tcPr>
            <w:tcW w:w="5520" w:type="dxa"/>
            <w:vAlign w:val="bottom"/>
          </w:tcPr>
          <w:p>
            <w:pPr>
              <w:ind w:left="480"/>
              <w:spacing w:after="0"/>
              <w:rPr>
                <w:sz w:val="20"/>
                <w:szCs w:val="20"/>
                <w:color w:val="auto"/>
              </w:rPr>
            </w:pPr>
            <w:r>
              <w:rPr>
                <w:rFonts w:ascii="Arial" w:cs="Arial" w:eastAsia="Arial" w:hAnsi="Arial"/>
                <w:sz w:val="16"/>
                <w:szCs w:val="16"/>
                <w:color w:val="auto"/>
              </w:rPr>
              <w:t>Plus: Average aggregate service costs and prior service costs for</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3"/>
        </w:trPr>
        <w:tc>
          <w:tcPr>
            <w:tcW w:w="5520" w:type="dxa"/>
            <w:vAlign w:val="bottom"/>
          </w:tcPr>
          <w:p>
            <w:pPr>
              <w:ind w:left="480"/>
              <w:spacing w:after="0"/>
              <w:rPr>
                <w:sz w:val="20"/>
                <w:szCs w:val="20"/>
                <w:color w:val="auto"/>
              </w:rPr>
            </w:pPr>
            <w:r>
              <w:rPr>
                <w:rFonts w:ascii="Arial" w:cs="Arial" w:eastAsia="Arial" w:hAnsi="Arial"/>
                <w:sz w:val="16"/>
                <w:szCs w:val="16"/>
                <w:color w:val="auto"/>
              </w:rPr>
              <w:t>pension plans</w:t>
            </w:r>
          </w:p>
        </w:tc>
        <w:tc>
          <w:tcPr>
            <w:tcW w:w="380" w:type="dxa"/>
            <w:vAlign w:val="bottom"/>
          </w:tcPr>
          <w:p>
            <w:pPr>
              <w:ind w:left="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40,575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37,909</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53,442</w:t>
            </w:r>
          </w:p>
        </w:tc>
      </w:tr>
      <w:tr>
        <w:trPr>
          <w:trHeight w:val="291"/>
        </w:trPr>
        <w:tc>
          <w:tcPr>
            <w:tcW w:w="5520" w:type="dxa"/>
            <w:vAlign w:val="bottom"/>
            <w:tcBorders>
              <w:bottom w:val="single" w:sz="8" w:color="53C072"/>
            </w:tcBorders>
            <w:shd w:val="clear" w:color="auto" w:fill="CBECD5"/>
          </w:tcPr>
          <w:p>
            <w:pPr>
              <w:ind w:left="100"/>
              <w:spacing w:after="0"/>
              <w:rPr>
                <w:sz w:val="20"/>
                <w:szCs w:val="20"/>
                <w:color w:val="auto"/>
              </w:rPr>
            </w:pPr>
            <w:r>
              <w:rPr>
                <w:rFonts w:ascii="Arial" w:cs="Arial" w:eastAsia="Arial" w:hAnsi="Arial"/>
                <w:sz w:val="16"/>
                <w:szCs w:val="16"/>
                <w:b w:val="1"/>
                <w:bCs w:val="1"/>
                <w:color w:val="auto"/>
              </w:rPr>
              <w:t>Average Compensation Actually Paid</w:t>
            </w:r>
          </w:p>
        </w:tc>
        <w:tc>
          <w:tcPr>
            <w:tcW w:w="1180" w:type="dxa"/>
            <w:vAlign w:val="bottom"/>
            <w:tcBorders>
              <w:bottom w:val="single" w:sz="8" w:color="53C072"/>
            </w:tcBorders>
            <w:gridSpan w:val="3"/>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 xml:space="preserve">$1,527,825 </w:t>
            </w:r>
            <w:r>
              <w:rPr>
                <w:rFonts w:ascii="Arial" w:cs="Arial" w:eastAsia="Arial" w:hAnsi="Arial"/>
                <w:sz w:val="32"/>
                <w:szCs w:val="32"/>
                <w:b w:val="1"/>
                <w:bCs w:val="1"/>
                <w:color w:val="auto"/>
                <w:vertAlign w:val="subscript"/>
              </w:rPr>
              <w:t>​</w:t>
            </w:r>
          </w:p>
        </w:tc>
        <w:tc>
          <w:tcPr>
            <w:tcW w:w="1000" w:type="dxa"/>
            <w:vAlign w:val="bottom"/>
            <w:tcBorders>
              <w:bottom w:val="single" w:sz="8" w:color="53C072"/>
            </w:tcBorders>
            <w:gridSpan w:val="2"/>
            <w:shd w:val="clear" w:color="auto" w:fill="CBECD5"/>
          </w:tcPr>
          <w:p>
            <w:pPr>
              <w:jc w:val="right"/>
              <w:ind w:right="20"/>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$1,912,506</w:t>
            </w:r>
          </w:p>
        </w:tc>
        <w:tc>
          <w:tcPr>
            <w:tcW w:w="1060" w:type="dxa"/>
            <w:vAlign w:val="bottom"/>
            <w:tcBorders>
              <w:bottom w:val="single" w:sz="8" w:color="53C072"/>
            </w:tcBorders>
            <w:gridSpan w:val="2"/>
            <w:shd w:val="clear" w:color="auto" w:fill="CBECD5"/>
          </w:tcPr>
          <w:p>
            <w:pPr>
              <w:jc w:val="right"/>
              <w:ind w:right="20"/>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$1,950,485</w:t>
            </w:r>
          </w:p>
        </w:tc>
      </w:tr>
    </w:tbl>
    <w:p>
      <w:pPr>
        <w:spacing w:after="0" w:line="68" w:lineRule="exact"/>
        <w:rPr>
          <w:sz w:val="20"/>
          <w:szCs w:val="20"/>
          <w:color w:val="auto"/>
        </w:rPr>
      </w:pPr>
    </w:p>
    <w:p>
      <w:pPr>
        <w:ind w:left="1780" w:right="319" w:hanging="718"/>
        <w:spacing w:after="0" w:line="275" w:lineRule="auto"/>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Reflects the cumulative value of a $100 investment made on June 26, 2020 through the end of the applicable fiscal year, including the reinvestment of dividends.</w:t>
      </w:r>
    </w:p>
    <w:p>
      <w:pPr>
        <w:spacing w:after="0" w:line="106" w:lineRule="exact"/>
        <w:rPr>
          <w:rFonts w:ascii="Arial" w:cs="Arial" w:eastAsia="Arial" w:hAnsi="Arial"/>
          <w:sz w:val="18"/>
          <w:szCs w:val="18"/>
          <w:color w:val="auto"/>
        </w:rPr>
      </w:pPr>
    </w:p>
    <w:p>
      <w:pPr>
        <w:ind w:left="1780" w:right="279" w:hanging="718"/>
        <w:spacing w:after="0" w:line="258" w:lineRule="auto"/>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Peer Group is the one used in the Annual Reports on Form 10-K pursuant to Item 201(e)(ii) of Regulations S-K for each of the fiscal years noted, which is comprised of the following five companies: Agilysys, Inc.; Arrow Electronics Inc.; Insight Enterprises Inc.; Scansource Inc.; and TD Synnex Corporation.</w:t>
      </w:r>
    </w:p>
    <w:p>
      <w:pPr>
        <w:spacing w:after="0" w:line="108" w:lineRule="exact"/>
        <w:rPr>
          <w:rFonts w:ascii="Arial" w:cs="Arial" w:eastAsia="Arial" w:hAnsi="Arial"/>
          <w:sz w:val="18"/>
          <w:szCs w:val="18"/>
          <w:color w:val="auto"/>
        </w:rPr>
      </w:pPr>
    </w:p>
    <w:p>
      <w:pPr>
        <w:ind w:left="1780" w:right="299" w:hanging="718"/>
        <w:spacing w:after="0" w:line="275" w:lineRule="auto"/>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presented in the Company’s Consolidated Statements of Operations for each of the fiscal years ended, calculated in accordance with GAAP.</w:t>
      </w:r>
    </w:p>
    <w:p>
      <w:pPr>
        <w:spacing w:after="0" w:line="106" w:lineRule="exact"/>
        <w:rPr>
          <w:rFonts w:ascii="Arial" w:cs="Arial" w:eastAsia="Arial" w:hAnsi="Arial"/>
          <w:sz w:val="18"/>
          <w:szCs w:val="18"/>
          <w:color w:val="auto"/>
        </w:rPr>
      </w:pPr>
    </w:p>
    <w:p>
      <w:pPr>
        <w:ind w:left="1780" w:right="179" w:hanging="718"/>
        <w:spacing w:after="0" w:line="306" w:lineRule="auto"/>
        <w:tabs>
          <w:tab w:leader="none" w:pos="1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Company’s selected measure, Adjusted Operating Income Dollars (OI$), is non-GAAP measure and was one of the financial performance metrics used in the fiscal 2023 annual cash incentive</w:t>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66     </w:t>
      </w:r>
      <w:r>
        <w:rPr>
          <w:sz w:val="1"/>
          <w:szCs w:val="1"/>
          <w:color w:val="auto"/>
        </w:rPr>
        <w:drawing>
          <wp:inline distT="0" distB="0" distL="0" distR="0">
            <wp:extent cx="1242695" cy="24003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20"/>
                <w:szCs w:val="20"/>
                <w:color w:val="auto"/>
              </w:rPr>
            </w:pPr>
            <w:r>
              <w:rPr>
                <w:rFonts w:ascii="Arial" w:cs="Arial" w:eastAsia="Arial" w:hAnsi="Arial"/>
                <w:sz w:val="14"/>
                <w:szCs w:val="14"/>
                <w:color w:val="003366"/>
              </w:rPr>
              <w:t>TABLE OF CONTENTS</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480" w:type="dxa"/>
            <w:vAlign w:val="bottom"/>
            <w:vMerge w:val="restart"/>
          </w:tcPr>
          <w:p>
            <w:pPr>
              <w:ind w:left="2900"/>
              <w:spacing w:after="0"/>
              <w:rPr>
                <w:sz w:val="20"/>
                <w:szCs w:val="20"/>
                <w:color w:val="auto"/>
              </w:rPr>
            </w:pPr>
            <w:r>
              <w:rPr>
                <w:rFonts w:ascii="Arial" w:cs="Arial" w:eastAsia="Arial" w:hAnsi="Arial"/>
                <w:sz w:val="14"/>
                <w:szCs w:val="14"/>
                <w:color w:val="auto"/>
              </w:rPr>
              <w:t>Pay Versus Performance</w:t>
            </w:r>
          </w:p>
        </w:tc>
        <w:tc>
          <w:tcPr>
            <w:tcW w:w="0" w:type="dxa"/>
            <w:vAlign w:val="bottom"/>
          </w:tcPr>
          <w:p>
            <w:pPr>
              <w:spacing w:after="0"/>
              <w:rPr>
                <w:sz w:val="1"/>
                <w:szCs w:val="1"/>
                <w:color w:val="auto"/>
              </w:rPr>
            </w:pPr>
          </w:p>
        </w:tc>
      </w:tr>
      <w:tr>
        <w:trPr>
          <w:trHeight w:val="85"/>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780" w:right="279"/>
        <w:spacing w:after="0" w:line="275" w:lineRule="auto"/>
        <w:rPr>
          <w:sz w:val="20"/>
          <w:szCs w:val="20"/>
          <w:color w:val="auto"/>
        </w:rPr>
      </w:pPr>
      <w:r>
        <w:rPr>
          <w:rFonts w:ascii="Arial" w:cs="Arial" w:eastAsia="Arial" w:hAnsi="Arial"/>
          <w:sz w:val="18"/>
          <w:szCs w:val="18"/>
          <w:color w:val="auto"/>
        </w:rPr>
        <w:t xml:space="preserve">plan design for executive officers. Please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information on how this measure was calculated as well as a reconciliation to its most directly comparable GAAP measures.</w:t>
      </w:r>
    </w:p>
    <w:p>
      <w:pPr>
        <w:spacing w:after="0" w:line="154" w:lineRule="exact"/>
        <w:rPr>
          <w:sz w:val="20"/>
          <w:szCs w:val="20"/>
          <w:color w:val="auto"/>
        </w:rPr>
      </w:pPr>
    </w:p>
    <w:p>
      <w:pPr>
        <w:ind w:left="1000" w:right="479"/>
        <w:spacing w:after="0" w:line="289" w:lineRule="auto"/>
        <w:rPr>
          <w:sz w:val="20"/>
          <w:szCs w:val="20"/>
          <w:color w:val="auto"/>
        </w:rPr>
      </w:pPr>
      <w:r>
        <w:rPr>
          <w:rFonts w:ascii="Arial" w:cs="Arial" w:eastAsia="Arial" w:hAnsi="Arial"/>
          <w:sz w:val="22"/>
          <w:szCs w:val="22"/>
          <w:b w:val="1"/>
          <w:bCs w:val="1"/>
          <w:color w:val="53C072"/>
        </w:rPr>
        <w:t>RELATIONSHIP BETWEEN COMPENSATION ACTUALLY PAID AND PERFORMANCE MEASURES</w:t>
      </w:r>
    </w:p>
    <w:p>
      <w:pPr>
        <w:spacing w:after="0" w:line="58" w:lineRule="exact"/>
        <w:rPr>
          <w:sz w:val="20"/>
          <w:szCs w:val="20"/>
          <w:color w:val="auto"/>
        </w:rPr>
      </w:pPr>
    </w:p>
    <w:p>
      <w:pPr>
        <w:ind w:left="1000" w:right="519"/>
        <w:spacing w:after="0" w:line="306" w:lineRule="auto"/>
        <w:rPr>
          <w:sz w:val="20"/>
          <w:szCs w:val="20"/>
          <w:color w:val="auto"/>
        </w:rPr>
      </w:pPr>
      <w:r>
        <w:rPr>
          <w:rFonts w:ascii="Arial" w:cs="Arial" w:eastAsia="Arial" w:hAnsi="Arial"/>
          <w:sz w:val="17"/>
          <w:szCs w:val="17"/>
          <w:color w:val="auto"/>
        </w:rPr>
        <w:t>The following describes the relationship between CAP and the financial performance measures in the Pay Versus Performance Table, as well as the relationship between Company TSR and Peer Group TSR.</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Company TSR</w:t>
      </w:r>
    </w:p>
    <w:p>
      <w:pPr>
        <w:spacing w:after="0" w:line="163" w:lineRule="exact"/>
        <w:rPr>
          <w:sz w:val="20"/>
          <w:szCs w:val="20"/>
          <w:color w:val="auto"/>
        </w:rPr>
      </w:pPr>
    </w:p>
    <w:p>
      <w:pPr>
        <w:ind w:left="1000" w:right="179"/>
        <w:spacing w:after="0" w:line="255" w:lineRule="auto"/>
        <w:rPr>
          <w:sz w:val="20"/>
          <w:szCs w:val="20"/>
          <w:color w:val="auto"/>
        </w:rPr>
      </w:pPr>
      <w:r>
        <w:rPr>
          <w:rFonts w:ascii="Arial" w:cs="Arial" w:eastAsia="Arial" w:hAnsi="Arial"/>
          <w:sz w:val="18"/>
          <w:szCs w:val="18"/>
          <w:color w:val="auto"/>
        </w:rPr>
        <w:t>Increases in CAP values for the PEO and non-PEO NEOs over fiscal-years 2021 through 2023 generally align with increases in the Company’s TSR over this same period. Equity awards in long-term incentive plans represent a significant portion of the NEOs’ total compensation and generally result in the alignment of the fair value of the NEOs’ equity awards with shareholders’ interest. The increases in stock price over this three-fiscal-year period resulted in increases in fair value of the NEOs’ equity awards, which increased CAP values over this period.</w:t>
      </w:r>
    </w:p>
    <w:p>
      <w:pPr>
        <w:spacing w:after="0" w:line="11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Net Income</w:t>
      </w:r>
    </w:p>
    <w:p>
      <w:pPr>
        <w:spacing w:after="0" w:line="163" w:lineRule="exact"/>
        <w:rPr>
          <w:sz w:val="20"/>
          <w:szCs w:val="20"/>
          <w:color w:val="auto"/>
        </w:rPr>
      </w:pPr>
    </w:p>
    <w:p>
      <w:pPr>
        <w:ind w:left="1000" w:right="139"/>
        <w:spacing w:after="0" w:line="258" w:lineRule="auto"/>
        <w:rPr>
          <w:sz w:val="20"/>
          <w:szCs w:val="20"/>
          <w:color w:val="auto"/>
        </w:rPr>
      </w:pPr>
      <w:r>
        <w:rPr>
          <w:rFonts w:ascii="Arial" w:cs="Arial" w:eastAsia="Arial" w:hAnsi="Arial"/>
          <w:sz w:val="18"/>
          <w:szCs w:val="18"/>
          <w:color w:val="auto"/>
        </w:rPr>
        <w:t>The SEC requires net income to be included as a performance measure in the Pay Versus Performance Table. However, the Company does not use net income in its compensation incentive plan design or to determine compensation levels. Increases in CAP values for the PEO and non-PEO NEOs over fiscal-years 2021 through 2023 generally align with increases in the Company’s net income over this same period.</w:t>
      </w:r>
    </w:p>
    <w:p>
      <w:pPr>
        <w:spacing w:after="0" w:line="9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Adjusted Operating Income Dollars</w:t>
      </w:r>
    </w:p>
    <w:p>
      <w:pPr>
        <w:spacing w:after="0" w:line="163"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Adjusted OI$ (the Company-Selected Measure) is a non-GAAP measure, and the achievement of certain Adjusted OI$ targets was one of the metrics used in calculating the NEOs’ annual cash incentive awards for each of the fiscal years 2021, 2022, and 2023. Increases in CAP values for the PEO and non-PEO NEOs over fiscal-years 2021 through 2023 generally align with increases in the Company’s Adjusted OI$ over this same period.</w:t>
      </w:r>
    </w:p>
    <w:p>
      <w:pPr>
        <w:spacing w:after="0" w:line="11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Company TSR vs. Peer Group TSR</w:t>
      </w:r>
    </w:p>
    <w:p>
      <w:pPr>
        <w:spacing w:after="0" w:line="163"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Both the Company TSR and Peer Group TSR generally increased over fiscal-years 2021 through 2023. The design of PSU awards granted in fiscal years 2019, 2020 and 2023 included modifiers based on cumulative three-year Company TSR against a peer group TSR to provide a level of alignment between executive compensation and TSR. However, the peer groups used under these modifiers varied between PSU awards and are different than the selected Peer Group reflected in the Pay Versus Performance Table, which consists of fewer companies. Please see the “Compensation Discussion and Analysis” section of this Proxy Statement and the Proxy Statements for the Annual Shareholder Meetings on November 17, 2020 and November 19, 2019 for more information on the peer groups used under the modifiers.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MOST IMPORTANT FINANCIAL PERFORMANCE MEASURES FOR FISCAL 2023</w:t>
      </w:r>
    </w:p>
    <w:p>
      <w:pPr>
        <w:spacing w:after="0" w:line="158" w:lineRule="exact"/>
        <w:rPr>
          <w:sz w:val="20"/>
          <w:szCs w:val="20"/>
          <w:color w:val="auto"/>
        </w:rPr>
      </w:pPr>
    </w:p>
    <w:p>
      <w:pPr>
        <w:ind w:left="1000" w:right="219"/>
        <w:spacing w:after="0" w:line="258" w:lineRule="auto"/>
        <w:rPr>
          <w:sz w:val="20"/>
          <w:szCs w:val="20"/>
          <w:color w:val="auto"/>
        </w:rPr>
      </w:pPr>
      <w:r>
        <w:rPr>
          <w:rFonts w:ascii="Arial" w:cs="Arial" w:eastAsia="Arial" w:hAnsi="Arial"/>
          <w:sz w:val="18"/>
          <w:szCs w:val="18"/>
          <w:color w:val="auto"/>
        </w:rPr>
        <w:t>Listed below are the most important financial performance measures used by the Company during fiscal 2023 to link NEO compensation to Company performance. These measures are not ranked by relative importance. Please see “Compensation Discussion and Analysis — Elements of Executive Compensation” for additional information regarding these 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94" w:lineRule="exact"/>
        <w:rPr>
          <w:sz w:val="20"/>
          <w:szCs w:val="20"/>
          <w:color w:val="auto"/>
        </w:rPr>
      </w:pPr>
    </w:p>
    <w:tbl>
      <w:tblPr>
        <w:tblLayout w:type="fixed"/>
        <w:tblInd w:w="1000" w:type="dxa"/>
        <w:tblCellMar>
          <w:top w:w="0" w:type="dxa"/>
          <w:left w:w="0" w:type="dxa"/>
          <w:bottom w:w="0" w:type="dxa"/>
          <w:right w:w="0" w:type="dxa"/>
        </w:tblCellMar>
      </w:tblPr>
      <w:tr>
        <w:trPr>
          <w:trHeight w:val="200"/>
        </w:trPr>
        <w:tc>
          <w:tcPr>
            <w:tcW w:w="1060" w:type="dxa"/>
            <w:vAlign w:val="bottom"/>
            <w:gridSpan w:val="2"/>
          </w:tcPr>
          <w:p>
            <w:pPr>
              <w:spacing w:after="0"/>
              <w:rPr>
                <w:sz w:val="20"/>
                <w:szCs w:val="20"/>
                <w:color w:val="auto"/>
              </w:rPr>
            </w:pPr>
            <w:r>
              <w:rPr>
                <w:rFonts w:ascii="Arial" w:cs="Arial" w:eastAsia="Arial" w:hAnsi="Arial"/>
                <w:sz w:val="14"/>
                <w:szCs w:val="14"/>
                <w:b w:val="1"/>
                <w:bCs w:val="1"/>
                <w:color w:val="53C072"/>
                <w:w w:val="98"/>
              </w:rPr>
              <w:t>2023 ANNUAL</w:t>
            </w:r>
            <w:r>
              <w:rPr>
                <w:rFonts w:ascii="Arial" w:cs="Arial" w:eastAsia="Arial" w:hAnsi="Arial"/>
                <w:sz w:val="14"/>
                <w:szCs w:val="14"/>
                <w:b w:val="1"/>
                <w:bCs w:val="1"/>
                <w:color w:val="000000"/>
                <w:w w:val="98"/>
              </w:rPr>
              <w:t xml:space="preserve">  </w:t>
            </w:r>
          </w:p>
        </w:tc>
        <w:tc>
          <w:tcPr>
            <w:tcW w:w="7680" w:type="dxa"/>
            <w:vAlign w:val="bottom"/>
            <w:gridSpan w:val="3"/>
            <w:vMerge w:val="restart"/>
          </w:tcPr>
          <w:p>
            <w:pPr>
              <w:ind w:left="6100"/>
              <w:spacing w:after="0"/>
              <w:rPr>
                <w:sz w:val="20"/>
                <w:szCs w:val="20"/>
                <w:color w:val="auto"/>
              </w:rPr>
            </w:pPr>
            <w:r>
              <w:rPr>
                <w:rFonts w:ascii="Arial" w:cs="Arial" w:eastAsia="Arial" w:hAnsi="Arial"/>
                <w:sz w:val="14"/>
                <w:szCs w:val="14"/>
                <w:color w:val="auto"/>
              </w:rPr>
              <w:t>Pay Versus Performance</w:t>
            </w: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PROXY STATEMENT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700" w:type="dxa"/>
            <w:vAlign w:val="bottom"/>
            <w:shd w:val="clear" w:color="auto" w:fill="53C072"/>
          </w:tcPr>
          <w:p>
            <w:pPr>
              <w:spacing w:after="0"/>
              <w:rPr>
                <w:sz w:val="16"/>
                <w:szCs w:val="16"/>
                <w:color w:val="auto"/>
              </w:rPr>
            </w:pPr>
          </w:p>
        </w:tc>
        <w:tc>
          <w:tcPr>
            <w:tcW w:w="6940" w:type="dxa"/>
            <w:vAlign w:val="bottom"/>
            <w:shd w:val="clear" w:color="auto" w:fill="53C072"/>
          </w:tcPr>
          <w:p>
            <w:pPr>
              <w:jc w:val="center"/>
              <w:ind w:right="296"/>
              <w:spacing w:after="0"/>
              <w:rPr>
                <w:sz w:val="20"/>
                <w:szCs w:val="20"/>
                <w:color w:val="auto"/>
              </w:rPr>
            </w:pPr>
            <w:r>
              <w:rPr>
                <w:rFonts w:ascii="Arial" w:cs="Arial" w:eastAsia="Arial" w:hAnsi="Arial"/>
                <w:sz w:val="14"/>
                <w:szCs w:val="14"/>
                <w:b w:val="1"/>
                <w:bCs w:val="1"/>
                <w:color w:val="FFFFFF"/>
              </w:rPr>
              <w:t>FY23 Most Important Financial Performance Measures</w:t>
            </w:r>
          </w:p>
        </w:tc>
        <w:tc>
          <w:tcPr>
            <w:tcW w:w="380" w:type="dxa"/>
            <w:vAlign w:val="bottom"/>
            <w:shd w:val="clear" w:color="auto" w:fill="53C072"/>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70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FFFFF"/>
              </w:rPr>
              <w:t>​</w:t>
            </w:r>
          </w:p>
        </w:tc>
        <w:tc>
          <w:tcPr>
            <w:tcW w:w="6940" w:type="dxa"/>
            <w:vAlign w:val="bottom"/>
            <w:shd w:val="clear" w:color="auto" w:fill="53C072"/>
          </w:tcPr>
          <w:p>
            <w:pPr>
              <w:jc w:val="center"/>
              <w:ind w:right="256"/>
              <w:spacing w:after="0"/>
              <w:rPr>
                <w:sz w:val="20"/>
                <w:szCs w:val="20"/>
                <w:color w:val="auto"/>
              </w:rPr>
            </w:pPr>
            <w:r>
              <w:rPr>
                <w:rFonts w:ascii="Arial" w:cs="Arial" w:eastAsia="Arial" w:hAnsi="Arial"/>
                <w:sz w:val="14"/>
                <w:szCs w:val="14"/>
                <w:b w:val="1"/>
                <w:bCs w:val="1"/>
                <w:color w:val="FFFFFF"/>
              </w:rPr>
              <w:t>(Unranked)</w:t>
            </w:r>
          </w:p>
        </w:tc>
        <w:tc>
          <w:tcPr>
            <w:tcW w:w="380" w:type="dxa"/>
            <w:vAlign w:val="bottom"/>
            <w:shd w:val="clear" w:color="auto" w:fill="53C072"/>
          </w:tcPr>
          <w:p>
            <w:pPr>
              <w:ind w:left="3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6940" w:type="dxa"/>
            <w:vAlign w:val="bottom"/>
          </w:tcPr>
          <w:p>
            <w:pPr>
              <w:jc w:val="center"/>
              <w:ind w:right="256"/>
              <w:spacing w:after="0"/>
              <w:rPr>
                <w:sz w:val="20"/>
                <w:szCs w:val="20"/>
                <w:color w:val="auto"/>
              </w:rPr>
            </w:pPr>
            <w:r>
              <w:rPr>
                <w:rFonts w:ascii="Arial" w:cs="Arial" w:eastAsia="Arial" w:hAnsi="Arial"/>
                <w:sz w:val="18"/>
                <w:szCs w:val="18"/>
                <w:color w:val="auto"/>
                <w:w w:val="98"/>
              </w:rPr>
              <w:t>Adjusted Operating Income Dollars</w:t>
            </w:r>
            <w:r>
              <w:rPr>
                <w:rFonts w:ascii="Arial" w:cs="Arial" w:eastAsia="Arial" w:hAnsi="Arial"/>
                <w:sz w:val="23"/>
                <w:szCs w:val="23"/>
                <w:color w:val="auto"/>
                <w:w w:val="98"/>
                <w:vertAlign w:val="superscript"/>
              </w:rPr>
              <w:t>(1)</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6940" w:type="dxa"/>
            <w:vAlign w:val="bottom"/>
            <w:shd w:val="clear" w:color="auto" w:fill="CBECD5"/>
          </w:tcPr>
          <w:p>
            <w:pPr>
              <w:jc w:val="center"/>
              <w:ind w:right="256"/>
              <w:spacing w:after="0"/>
              <w:rPr>
                <w:sz w:val="20"/>
                <w:szCs w:val="20"/>
                <w:color w:val="auto"/>
              </w:rPr>
            </w:pPr>
            <w:r>
              <w:rPr>
                <w:rFonts w:ascii="Arial" w:cs="Arial" w:eastAsia="Arial" w:hAnsi="Arial"/>
                <w:sz w:val="18"/>
                <w:szCs w:val="18"/>
                <w:color w:val="auto"/>
                <w:w w:val="97"/>
              </w:rPr>
              <w:t>Return on Working Capital</w:t>
            </w:r>
            <w:r>
              <w:rPr>
                <w:rFonts w:ascii="Arial" w:cs="Arial" w:eastAsia="Arial" w:hAnsi="Arial"/>
                <w:sz w:val="23"/>
                <w:szCs w:val="23"/>
                <w:color w:val="auto"/>
                <w:w w:val="97"/>
                <w:vertAlign w:val="superscript"/>
              </w:rPr>
              <w:t>(1)</w:t>
            </w:r>
          </w:p>
        </w:tc>
        <w:tc>
          <w:tcPr>
            <w:tcW w:w="380" w:type="dxa"/>
            <w:vAlign w:val="bottom"/>
            <w:shd w:val="clear" w:color="auto" w:fill="CBECD5"/>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6940" w:type="dxa"/>
            <w:vAlign w:val="bottom"/>
          </w:tcPr>
          <w:p>
            <w:pPr>
              <w:jc w:val="center"/>
              <w:ind w:right="256"/>
              <w:spacing w:after="0"/>
              <w:rPr>
                <w:sz w:val="20"/>
                <w:szCs w:val="20"/>
                <w:color w:val="auto"/>
              </w:rPr>
            </w:pPr>
            <w:r>
              <w:rPr>
                <w:rFonts w:ascii="Arial" w:cs="Arial" w:eastAsia="Arial" w:hAnsi="Arial"/>
                <w:sz w:val="18"/>
                <w:szCs w:val="18"/>
                <w:color w:val="auto"/>
                <w:w w:val="98"/>
              </w:rPr>
              <w:t>Market Share (Relative Organic Sales Growth of AVT vs ARWC)</w:t>
            </w:r>
            <w:r>
              <w:rPr>
                <w:rFonts w:ascii="Arial" w:cs="Arial" w:eastAsia="Arial" w:hAnsi="Arial"/>
                <w:sz w:val="23"/>
                <w:szCs w:val="23"/>
                <w:color w:val="auto"/>
                <w:w w:val="98"/>
                <w:vertAlign w:val="superscript"/>
              </w:rPr>
              <w:t>(1)</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6940" w:type="dxa"/>
            <w:vAlign w:val="bottom"/>
            <w:shd w:val="clear" w:color="auto" w:fill="CBECD5"/>
          </w:tcPr>
          <w:p>
            <w:pPr>
              <w:jc w:val="center"/>
              <w:ind w:right="256"/>
              <w:spacing w:after="0"/>
              <w:rPr>
                <w:sz w:val="20"/>
                <w:szCs w:val="20"/>
                <w:color w:val="auto"/>
              </w:rPr>
            </w:pPr>
            <w:r>
              <w:rPr>
                <w:rFonts w:ascii="Arial" w:cs="Arial" w:eastAsia="Arial" w:hAnsi="Arial"/>
                <w:sz w:val="18"/>
                <w:szCs w:val="18"/>
                <w:color w:val="auto"/>
                <w:w w:val="97"/>
              </w:rPr>
              <w:t>Relative Adjusted Earnings Per Share Growth</w:t>
            </w:r>
            <w:r>
              <w:rPr>
                <w:rFonts w:ascii="Arial" w:cs="Arial" w:eastAsia="Arial" w:hAnsi="Arial"/>
                <w:sz w:val="23"/>
                <w:szCs w:val="23"/>
                <w:color w:val="auto"/>
                <w:w w:val="97"/>
                <w:vertAlign w:val="superscript"/>
              </w:rPr>
              <w:t>(2)</w:t>
            </w:r>
          </w:p>
        </w:tc>
        <w:tc>
          <w:tcPr>
            <w:tcW w:w="380" w:type="dxa"/>
            <w:vAlign w:val="bottom"/>
            <w:shd w:val="clear" w:color="auto" w:fill="CBECD5"/>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6940" w:type="dxa"/>
            <w:vAlign w:val="bottom"/>
          </w:tcPr>
          <w:p>
            <w:pPr>
              <w:jc w:val="center"/>
              <w:ind w:right="256"/>
              <w:spacing w:after="0"/>
              <w:rPr>
                <w:sz w:val="20"/>
                <w:szCs w:val="20"/>
                <w:color w:val="auto"/>
              </w:rPr>
            </w:pPr>
            <w:r>
              <w:rPr>
                <w:rFonts w:ascii="Arial" w:cs="Arial" w:eastAsia="Arial" w:hAnsi="Arial"/>
                <w:sz w:val="18"/>
                <w:szCs w:val="18"/>
                <w:color w:val="auto"/>
                <w:w w:val="98"/>
              </w:rPr>
              <w:t>Adjusted Return on Invested Capital exceeding Weighted Average Cost of Capital</w:t>
            </w:r>
            <w:r>
              <w:rPr>
                <w:rFonts w:ascii="Arial" w:cs="Arial" w:eastAsia="Arial" w:hAnsi="Arial"/>
                <w:sz w:val="23"/>
                <w:szCs w:val="23"/>
                <w:color w:val="auto"/>
                <w:w w:val="98"/>
                <w:vertAlign w:val="superscript"/>
              </w:rPr>
              <w:t>(2)</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7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6940" w:type="dxa"/>
            <w:vAlign w:val="bottom"/>
            <w:tcBorders>
              <w:bottom w:val="single" w:sz="8" w:color="53C072"/>
            </w:tcBorders>
            <w:shd w:val="clear" w:color="auto" w:fill="CBECD5"/>
          </w:tcPr>
          <w:p>
            <w:pPr>
              <w:jc w:val="center"/>
              <w:ind w:right="256"/>
              <w:spacing w:after="0"/>
              <w:rPr>
                <w:sz w:val="20"/>
                <w:szCs w:val="20"/>
                <w:color w:val="auto"/>
              </w:rPr>
            </w:pPr>
            <w:r>
              <w:rPr>
                <w:rFonts w:ascii="Arial" w:cs="Arial" w:eastAsia="Arial" w:hAnsi="Arial"/>
                <w:sz w:val="18"/>
                <w:szCs w:val="18"/>
                <w:color w:val="auto"/>
                <w:w w:val="97"/>
              </w:rPr>
              <w:t>Relative Total Shareholder Return</w:t>
            </w:r>
            <w:r>
              <w:rPr>
                <w:rFonts w:ascii="Arial" w:cs="Arial" w:eastAsia="Arial" w:hAnsi="Arial"/>
                <w:sz w:val="23"/>
                <w:szCs w:val="23"/>
                <w:color w:val="auto"/>
                <w:w w:val="97"/>
                <w:vertAlign w:val="superscript"/>
              </w:rPr>
              <w:t>(2)</w:t>
            </w:r>
          </w:p>
        </w:tc>
        <w:tc>
          <w:tcPr>
            <w:tcW w:w="380" w:type="dxa"/>
            <w:vAlign w:val="bottom"/>
            <w:tcBorders>
              <w:bottom w:val="single" w:sz="8" w:color="53C072"/>
            </w:tcBorders>
            <w:shd w:val="clear" w:color="auto" w:fill="CBECD5"/>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780" w:hanging="718"/>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 used in the fiscal 2023 annual cash incentive awards for executive officers.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 used in the fiscal 2023 PSU awards 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68     </w:t>
      </w:r>
      <w:r>
        <w:rPr>
          <w:sz w:val="1"/>
          <w:szCs w:val="1"/>
          <w:color w:val="auto"/>
        </w:rPr>
        <w:drawing>
          <wp:inline distT="0" distB="0" distL="0" distR="0">
            <wp:extent cx="1242695" cy="24003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9944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580" w:right="200"/>
        <w:spacing w:after="0" w:line="303" w:lineRule="auto"/>
        <w:rPr>
          <w:sz w:val="20"/>
          <w:szCs w:val="20"/>
          <w:color w:val="auto"/>
        </w:rPr>
      </w:pPr>
      <w:r>
        <w:rPr>
          <w:rFonts w:ascii="Arial" w:cs="Arial" w:eastAsia="Arial" w:hAnsi="Arial"/>
          <w:sz w:val="37"/>
          <w:szCs w:val="37"/>
          <w:b w:val="1"/>
          <w:bCs w:val="1"/>
          <w:color w:val="FEFEFE"/>
        </w:rPr>
        <w:t>PROPOSAL 3: ADVISORY VOTE ON THE FREQUENCY OF FUTURE ADVISORY VOTES ON NAMED EXECUTIVE COMPENSATION</w:t>
      </w:r>
      <w:r>
        <w:rPr>
          <w:rFonts w:ascii="Arial" w:cs="Arial" w:eastAsia="Arial" w:hAnsi="Arial"/>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161925</wp:posOffset>
            </wp:positionV>
            <wp:extent cx="5554980" cy="771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93"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FEFEFE"/>
        </w:rPr>
        <w:t>RECOMMENDATION OF THE BOARD</w:t>
      </w:r>
    </w:p>
    <w:p>
      <w:pPr>
        <w:spacing w:after="0" w:line="318" w:lineRule="exact"/>
        <w:rPr>
          <w:sz w:val="20"/>
          <w:szCs w:val="20"/>
          <w:color w:val="auto"/>
        </w:rPr>
      </w:pPr>
    </w:p>
    <w:p>
      <w:pPr>
        <w:ind w:left="2520" w:right="559"/>
        <w:spacing w:after="0" w:line="301" w:lineRule="auto"/>
        <w:rPr>
          <w:sz w:val="20"/>
          <w:szCs w:val="20"/>
          <w:color w:val="auto"/>
        </w:rPr>
      </w:pPr>
      <w:r>
        <w:rPr>
          <w:rFonts w:ascii="Arial" w:cs="Arial" w:eastAsia="Arial" w:hAnsi="Arial"/>
          <w:sz w:val="18"/>
          <w:szCs w:val="18"/>
          <w:b w:val="1"/>
          <w:bCs w:val="1"/>
          <w:color w:val="auto"/>
        </w:rPr>
        <w:t xml:space="preserve">The Board recommends that shareholders vote to hold future advisory votes on the compensation of named executives every </w:t>
      </w:r>
      <w:r>
        <w:rPr>
          <w:rFonts w:ascii="Arial" w:cs="Arial" w:eastAsia="Arial" w:hAnsi="Arial"/>
          <w:sz w:val="18"/>
          <w:szCs w:val="18"/>
          <w:b w:val="1"/>
          <w:bCs w:val="1"/>
          <w:color w:val="53C072"/>
        </w:rPr>
        <w:t>ONE YEAR</w:t>
      </w:r>
      <w:r>
        <w:rPr>
          <w:rFonts w:ascii="Arial" w:cs="Arial" w:eastAsia="Arial" w:hAnsi="Arial"/>
          <w:sz w:val="18"/>
          <w:szCs w:val="18"/>
          <w:b w:val="1"/>
          <w:bCs w:val="1"/>
          <w:color w:val="auto"/>
        </w:rPr>
        <w:t>.</w:t>
      </w:r>
    </w:p>
    <w:p>
      <w:pPr>
        <w:spacing w:after="0" w:line="29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72" w:lineRule="exact"/>
        <w:rPr>
          <w:sz w:val="20"/>
          <w:szCs w:val="20"/>
          <w:color w:val="auto"/>
        </w:rPr>
      </w:pPr>
    </w:p>
    <w:p>
      <w:pPr>
        <w:ind w:left="1000" w:right="219"/>
        <w:spacing w:after="0" w:line="273" w:lineRule="auto"/>
        <w:rPr>
          <w:sz w:val="20"/>
          <w:szCs w:val="20"/>
          <w:color w:val="auto"/>
        </w:rPr>
      </w:pPr>
      <w:r>
        <w:rPr>
          <w:rFonts w:ascii="Arial" w:cs="Arial" w:eastAsia="Arial" w:hAnsi="Arial"/>
          <w:sz w:val="17"/>
          <w:szCs w:val="17"/>
          <w:color w:val="auto"/>
        </w:rPr>
        <w:t>As required by Section 14A of the Exchange Act, the Board of Directors requests that shareholders vote, on a non-binding advisory basis, on how frequently the Company should conduct future advisory votes on named executive compensation. This proposal, commonly known as a “say on frequency” proposal, gives shareholders the opportunity to express their views on how frequently the advisory “say on pay” vote should be conducted: every one, two, or three years. The Company currently conducts an advisory “say on pay” vote every year. Under the SEC rules, “say on frequency” votes must be conducted at least once every six years.</w:t>
      </w:r>
    </w:p>
    <w:p>
      <w:pPr>
        <w:spacing w:after="0" w:line="97" w:lineRule="exact"/>
        <w:rPr>
          <w:sz w:val="20"/>
          <w:szCs w:val="20"/>
          <w:color w:val="auto"/>
        </w:rPr>
      </w:pPr>
    </w:p>
    <w:p>
      <w:pPr>
        <w:ind w:left="1000" w:right="299"/>
        <w:spacing w:after="0" w:line="258" w:lineRule="auto"/>
        <w:rPr>
          <w:sz w:val="20"/>
          <w:szCs w:val="20"/>
          <w:color w:val="auto"/>
        </w:rPr>
      </w:pPr>
      <w:r>
        <w:rPr>
          <w:rFonts w:ascii="Arial" w:cs="Arial" w:eastAsia="Arial" w:hAnsi="Arial"/>
          <w:sz w:val="18"/>
          <w:szCs w:val="18"/>
          <w:color w:val="auto"/>
        </w:rPr>
        <w:t>As part of the Company’s commitment to high standards of governance, the Board recommends that shareholders approve, on a non-binding basis, that future “say on pay” votes continue to be conducted every year. Although the vote is non-binding, the Compensation and Leadership Development Committee and the Board value shareholder opinions when determining how frequently to hold the “say on pay” vote.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72"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The frequency that receives the highest number of votes cast by the shareholders present in person or by proxy, provided a quorum is present, at the Annual Meeting will be the shareholder approved frequency.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58" w:lineRule="exact"/>
        <w:rPr>
          <w:sz w:val="20"/>
          <w:szCs w:val="20"/>
          <w:color w:val="auto"/>
        </w:rPr>
      </w:pPr>
    </w:p>
    <w:p>
      <w:pPr>
        <w:ind w:left="1000" w:right="259"/>
        <w:spacing w:after="0" w:line="275"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ONE YEAR.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9944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640" w:right="380"/>
        <w:spacing w:after="0" w:line="303" w:lineRule="auto"/>
        <w:rPr>
          <w:sz w:val="20"/>
          <w:szCs w:val="20"/>
          <w:color w:val="auto"/>
        </w:rPr>
      </w:pPr>
      <w:r>
        <w:rPr>
          <w:rFonts w:ascii="Arial" w:cs="Arial" w:eastAsia="Arial" w:hAnsi="Arial"/>
          <w:sz w:val="37"/>
          <w:szCs w:val="37"/>
          <w:b w:val="1"/>
          <w:bCs w:val="1"/>
          <w:color w:val="FEFEFE"/>
        </w:rPr>
        <w:t>PROPOSAL 4: RATIFICATION OF APPOINTMENT OF INDEPENDENT REGISTERED PUBLIC ACCOUNTING FIRM</w:t>
      </w:r>
      <w:r>
        <w:rPr>
          <w:rFonts w:ascii="Arial" w:cs="Arial" w:eastAsia="Arial" w:hAnsi="Arial"/>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161925</wp:posOffset>
            </wp:positionV>
            <wp:extent cx="5554980" cy="7715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9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FEFEFE"/>
        </w:rPr>
        <w:t>RECOMMENDATION OF THE BOARD</w:t>
      </w:r>
    </w:p>
    <w:p>
      <w:pPr>
        <w:spacing w:after="0" w:line="318" w:lineRule="exact"/>
        <w:rPr>
          <w:sz w:val="20"/>
          <w:szCs w:val="20"/>
          <w:color w:val="auto"/>
        </w:rPr>
      </w:pPr>
    </w:p>
    <w:p>
      <w:pPr>
        <w:jc w:val="both"/>
        <w:ind w:left="2480" w:right="479"/>
        <w:spacing w:after="0" w:line="333" w:lineRule="auto"/>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3C072"/>
        </w:rPr>
        <w:t>FOR</w:t>
      </w:r>
      <w:r>
        <w:rPr>
          <w:rFonts w:ascii="Arial" w:cs="Arial" w:eastAsia="Arial" w:hAnsi="Arial"/>
          <w:sz w:val="17"/>
          <w:szCs w:val="17"/>
          <w:b w:val="1"/>
          <w:bCs w:val="1"/>
          <w:color w:val="auto"/>
        </w:rPr>
        <w:t xml:space="preserve"> the ratification of KPMG LLP as the Company’s independent registered public accounting firm for Fiscal 2024.</w:t>
      </w:r>
    </w:p>
    <w:p>
      <w:pPr>
        <w:spacing w:after="0" w:line="2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72" w:lineRule="exact"/>
        <w:rPr>
          <w:sz w:val="20"/>
          <w:szCs w:val="20"/>
          <w:color w:val="auto"/>
        </w:rPr>
      </w:pPr>
    </w:p>
    <w:p>
      <w:pPr>
        <w:ind w:left="1000" w:right="899"/>
        <w:spacing w:after="0" w:line="275" w:lineRule="auto"/>
        <w:rPr>
          <w:sz w:val="20"/>
          <w:szCs w:val="20"/>
          <w:color w:val="auto"/>
        </w:rPr>
      </w:pPr>
      <w:r>
        <w:rPr>
          <w:rFonts w:ascii="Arial" w:cs="Arial" w:eastAsia="Arial" w:hAnsi="Arial"/>
          <w:sz w:val="18"/>
          <w:szCs w:val="18"/>
          <w:color w:val="auto"/>
        </w:rPr>
        <w:t>The Audit Committee has approved the selection of KPMG LLP (“KPMG”) to serve as the Company’s independent registered public accounting firm for the fiscal year ending June 29, 2024.</w:t>
      </w:r>
    </w:p>
    <w:p>
      <w:pPr>
        <w:spacing w:after="0" w:line="93" w:lineRule="exact"/>
        <w:rPr>
          <w:sz w:val="20"/>
          <w:szCs w:val="20"/>
          <w:color w:val="auto"/>
        </w:rPr>
      </w:pPr>
    </w:p>
    <w:p>
      <w:pPr>
        <w:ind w:left="1000" w:right="399"/>
        <w:spacing w:after="0" w:line="275"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106" w:lineRule="exact"/>
        <w:rPr>
          <w:sz w:val="20"/>
          <w:szCs w:val="20"/>
          <w:color w:val="auto"/>
        </w:rPr>
      </w:pPr>
    </w:p>
    <w:p>
      <w:pPr>
        <w:ind w:left="1720" w:hanging="370"/>
        <w:spacing w:after="0"/>
        <w:tabs>
          <w:tab w:leader="none" w:pos="1720" w:val="left"/>
        </w:tabs>
        <w:numPr>
          <w:ilvl w:val="0"/>
          <w:numId w:val="89"/>
        </w:numPr>
        <w:rPr>
          <w:rFonts w:ascii="Arial" w:cs="Arial" w:eastAsia="Arial" w:hAnsi="Arial"/>
          <w:sz w:val="18"/>
          <w:szCs w:val="18"/>
          <w:color w:val="53C072"/>
        </w:rPr>
      </w:pPr>
      <w:r>
        <w:rPr>
          <w:rFonts w:ascii="Arial" w:cs="Arial" w:eastAsia="Arial" w:hAnsi="Arial"/>
          <w:sz w:val="18"/>
          <w:szCs w:val="18"/>
          <w:color w:val="auto"/>
        </w:rPr>
        <w:t>the firm’s independence and objectivity;</w:t>
      </w:r>
    </w:p>
    <w:p>
      <w:pPr>
        <w:spacing w:after="0" w:line="157" w:lineRule="exact"/>
        <w:rPr>
          <w:rFonts w:ascii="Arial" w:cs="Arial" w:eastAsia="Arial" w:hAnsi="Arial"/>
          <w:sz w:val="18"/>
          <w:szCs w:val="18"/>
          <w:color w:val="53C072"/>
        </w:rPr>
      </w:pPr>
    </w:p>
    <w:p>
      <w:pPr>
        <w:ind w:left="1720" w:right="439" w:hanging="370"/>
        <w:spacing w:after="0" w:line="275" w:lineRule="auto"/>
        <w:tabs>
          <w:tab w:leader="none" w:pos="1720" w:val="left"/>
        </w:tabs>
        <w:numPr>
          <w:ilvl w:val="0"/>
          <w:numId w:val="89"/>
        </w:numPr>
        <w:rPr>
          <w:rFonts w:ascii="Arial" w:cs="Arial" w:eastAsia="Arial" w:hAnsi="Arial"/>
          <w:sz w:val="18"/>
          <w:szCs w:val="18"/>
          <w:color w:val="53C072"/>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92" w:lineRule="exact"/>
        <w:rPr>
          <w:rFonts w:ascii="Arial" w:cs="Arial" w:eastAsia="Arial" w:hAnsi="Arial"/>
          <w:sz w:val="18"/>
          <w:szCs w:val="18"/>
          <w:color w:val="53C072"/>
        </w:rPr>
      </w:pPr>
    </w:p>
    <w:p>
      <w:pPr>
        <w:ind w:left="1720" w:right="279" w:hanging="370"/>
        <w:spacing w:after="0" w:line="275" w:lineRule="auto"/>
        <w:tabs>
          <w:tab w:leader="none" w:pos="1720" w:val="left"/>
        </w:tabs>
        <w:numPr>
          <w:ilvl w:val="0"/>
          <w:numId w:val="89"/>
        </w:numPr>
        <w:rPr>
          <w:rFonts w:ascii="Arial" w:cs="Arial" w:eastAsia="Arial" w:hAnsi="Arial"/>
          <w:sz w:val="18"/>
          <w:szCs w:val="18"/>
          <w:color w:val="53C072"/>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106" w:lineRule="exact"/>
        <w:rPr>
          <w:rFonts w:ascii="Arial" w:cs="Arial" w:eastAsia="Arial" w:hAnsi="Arial"/>
          <w:sz w:val="18"/>
          <w:szCs w:val="18"/>
          <w:color w:val="53C072"/>
        </w:rPr>
      </w:pPr>
    </w:p>
    <w:p>
      <w:pPr>
        <w:ind w:left="1720" w:right="159" w:hanging="370"/>
        <w:spacing w:after="0" w:line="275" w:lineRule="auto"/>
        <w:tabs>
          <w:tab w:leader="none" w:pos="1720" w:val="left"/>
        </w:tabs>
        <w:numPr>
          <w:ilvl w:val="0"/>
          <w:numId w:val="89"/>
        </w:numPr>
        <w:rPr>
          <w:rFonts w:ascii="Arial" w:cs="Arial" w:eastAsia="Arial" w:hAnsi="Arial"/>
          <w:sz w:val="18"/>
          <w:szCs w:val="18"/>
          <w:color w:val="53C072"/>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106" w:lineRule="exact"/>
        <w:rPr>
          <w:rFonts w:ascii="Arial" w:cs="Arial" w:eastAsia="Arial" w:hAnsi="Arial"/>
          <w:sz w:val="18"/>
          <w:szCs w:val="18"/>
          <w:color w:val="53C072"/>
        </w:rPr>
      </w:pPr>
    </w:p>
    <w:p>
      <w:pPr>
        <w:ind w:left="1720" w:hanging="370"/>
        <w:spacing w:after="0"/>
        <w:tabs>
          <w:tab w:leader="none" w:pos="1720" w:val="left"/>
        </w:tabs>
        <w:numPr>
          <w:ilvl w:val="0"/>
          <w:numId w:val="89"/>
        </w:numPr>
        <w:rPr>
          <w:rFonts w:ascii="Arial" w:cs="Arial" w:eastAsia="Arial" w:hAnsi="Arial"/>
          <w:sz w:val="18"/>
          <w:szCs w:val="18"/>
          <w:color w:val="53C072"/>
        </w:rPr>
      </w:pPr>
      <w:r>
        <w:rPr>
          <w:rFonts w:ascii="Arial" w:cs="Arial" w:eastAsia="Arial" w:hAnsi="Arial"/>
          <w:sz w:val="18"/>
          <w:szCs w:val="18"/>
          <w:color w:val="auto"/>
        </w:rPr>
        <w:t>the appropriateness of the firm’s fees, both on an absolute basis and as compared with its peers.</w:t>
      </w:r>
    </w:p>
    <w:p>
      <w:pPr>
        <w:spacing w:after="0" w:line="144" w:lineRule="exact"/>
        <w:rPr>
          <w:sz w:val="20"/>
          <w:szCs w:val="20"/>
          <w:color w:val="auto"/>
        </w:rPr>
      </w:pPr>
    </w:p>
    <w:p>
      <w:pPr>
        <w:ind w:left="1000" w:right="719"/>
        <w:spacing w:after="0" w:line="275" w:lineRule="auto"/>
        <w:rPr>
          <w:sz w:val="20"/>
          <w:szCs w:val="20"/>
          <w:color w:val="auto"/>
        </w:rPr>
      </w:pPr>
      <w:r>
        <w:rPr>
          <w:rFonts w:ascii="Arial" w:cs="Arial" w:eastAsia="Arial" w:hAnsi="Arial"/>
          <w:sz w:val="18"/>
          <w:szCs w:val="18"/>
          <w:color w:val="auto"/>
        </w:rPr>
        <w:t>For a summary of the fees that were paid to KPMG in fiscal years 2022 and 2023, please see “Principal Accounting Firm Fees.”</w:t>
      </w:r>
    </w:p>
    <w:p>
      <w:pPr>
        <w:spacing w:after="0" w:line="106" w:lineRule="exact"/>
        <w:rPr>
          <w:sz w:val="20"/>
          <w:szCs w:val="20"/>
          <w:color w:val="auto"/>
        </w:rPr>
      </w:pPr>
    </w:p>
    <w:p>
      <w:pPr>
        <w:ind w:left="1000" w:right="679"/>
        <w:spacing w:after="0" w:line="263" w:lineRule="auto"/>
        <w:rPr>
          <w:sz w:val="20"/>
          <w:szCs w:val="20"/>
          <w:color w:val="auto"/>
        </w:rPr>
      </w:pPr>
      <w:r>
        <w:rPr>
          <w:rFonts w:ascii="Arial" w:cs="Arial" w:eastAsia="Arial" w:hAnsi="Arial"/>
          <w:sz w:val="18"/>
          <w:szCs w:val="18"/>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58" w:lineRule="exact"/>
        <w:rPr>
          <w:sz w:val="20"/>
          <w:szCs w:val="20"/>
          <w:color w:val="auto"/>
        </w:rPr>
      </w:pPr>
    </w:p>
    <w:p>
      <w:pPr>
        <w:ind w:left="1000" w:right="379"/>
        <w:spacing w:after="0" w:line="256" w:lineRule="auto"/>
        <w:rPr>
          <w:sz w:val="20"/>
          <w:szCs w:val="20"/>
          <w:color w:val="auto"/>
        </w:rPr>
      </w:pPr>
      <w:r>
        <w:rPr>
          <w:rFonts w:ascii="Arial" w:cs="Arial" w:eastAsia="Arial" w:hAnsi="Arial"/>
          <w:sz w:val="18"/>
          <w:szCs w:val="18"/>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72" w:lineRule="exact"/>
        <w:rPr>
          <w:sz w:val="20"/>
          <w:szCs w:val="20"/>
          <w:color w:val="auto"/>
        </w:rPr>
      </w:pPr>
    </w:p>
    <w:p>
      <w:pPr>
        <w:ind w:left="1000" w:right="259"/>
        <w:spacing w:after="0" w:line="263"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ratification of KPMG LLP as the Company’s independent registered public accounting firm for Fiscal 2024.</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1242695" cy="24003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Arial" w:cs="Arial" w:eastAsia="Arial" w:hAnsi="Arial"/>
          <w:sz w:val="40"/>
          <w:szCs w:val="40"/>
          <w:b w:val="1"/>
          <w:bCs w:val="1"/>
          <w:color w:val="FEFEFE"/>
        </w:rPr>
        <w:t>PRINCIPAL ACCOUNTING FIRM FEES</w:t>
      </w:r>
      <w:r>
        <w:rPr>
          <w:rFonts w:ascii="Arial" w:cs="Arial" w:eastAsia="Arial" w:hAnsi="Arial"/>
          <w:sz w:val="17"/>
          <w:szCs w:val="17"/>
          <w:color w:val="FEFEFE"/>
        </w:rPr>
        <w:t>​</w:t>
      </w:r>
    </w:p>
    <w:p>
      <w:pPr>
        <w:spacing w:after="0" w:line="354" w:lineRule="exact"/>
        <w:rPr>
          <w:sz w:val="20"/>
          <w:szCs w:val="20"/>
          <w:color w:val="auto"/>
        </w:rPr>
      </w:pPr>
    </w:p>
    <w:p>
      <w:pPr>
        <w:ind w:left="1000" w:right="239"/>
        <w:spacing w:after="0" w:line="258" w:lineRule="auto"/>
        <w:rPr>
          <w:sz w:val="20"/>
          <w:szCs w:val="20"/>
          <w:color w:val="auto"/>
        </w:rPr>
      </w:pPr>
      <w:r>
        <w:rPr>
          <w:rFonts w:ascii="Arial" w:cs="Arial" w:eastAsia="Arial" w:hAnsi="Arial"/>
          <w:sz w:val="18"/>
          <w:szCs w:val="18"/>
          <w:color w:val="auto"/>
        </w:rPr>
        <w:t>The table below provides information relating to fees charged for services performed by KPMG, the Company’s independent registered public accounting firm, in both fiscal 2023 and fiscal 2022. All the services described in the table were approved in conformity with the Audit Committee’s pre-approval process for independent registered public accounting firm fees.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6160" w:type="dxa"/>
            <w:vAlign w:val="bottom"/>
            <w:shd w:val="clear" w:color="auto" w:fill="53C072"/>
          </w:tcPr>
          <w:p>
            <w:pPr>
              <w:spacing w:after="0"/>
              <w:rPr>
                <w:sz w:val="19"/>
                <w:szCs w:val="19"/>
                <w:color w:val="auto"/>
              </w:rPr>
            </w:pPr>
          </w:p>
        </w:tc>
        <w:tc>
          <w:tcPr>
            <w:tcW w:w="130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Fiscal 2022</w:t>
            </w:r>
          </w:p>
        </w:tc>
        <w:tc>
          <w:tcPr>
            <w:tcW w:w="1300" w:type="dxa"/>
            <w:vAlign w:val="bottom"/>
            <w:shd w:val="clear" w:color="auto" w:fill="53C072"/>
          </w:tcPr>
          <w:p>
            <w:pPr>
              <w:jc w:val="right"/>
              <w:ind w:right="54"/>
              <w:spacing w:after="0"/>
              <w:rPr>
                <w:sz w:val="20"/>
                <w:szCs w:val="20"/>
                <w:color w:val="auto"/>
              </w:rPr>
            </w:pPr>
            <w:r>
              <w:rPr>
                <w:rFonts w:ascii="Arial" w:cs="Arial" w:eastAsia="Arial" w:hAnsi="Arial"/>
                <w:sz w:val="14"/>
                <w:szCs w:val="14"/>
                <w:b w:val="1"/>
                <w:bCs w:val="1"/>
                <w:color w:val="FEFEFE"/>
              </w:rPr>
              <w:t>Fiscal 2023</w:t>
            </w:r>
          </w:p>
        </w:tc>
      </w:tr>
      <w:tr>
        <w:trPr>
          <w:trHeight w:val="257"/>
        </w:trPr>
        <w:tc>
          <w:tcPr>
            <w:tcW w:w="6160" w:type="dxa"/>
            <w:vAlign w:val="bottom"/>
          </w:tcPr>
          <w:p>
            <w:pPr>
              <w:ind w:left="120"/>
              <w:spacing w:after="0"/>
              <w:rPr>
                <w:sz w:val="20"/>
                <w:szCs w:val="20"/>
                <w:color w:val="auto"/>
              </w:rPr>
            </w:pPr>
            <w:r>
              <w:rPr>
                <w:rFonts w:ascii="Arial" w:cs="Arial" w:eastAsia="Arial" w:hAnsi="Arial"/>
                <w:sz w:val="18"/>
                <w:szCs w:val="18"/>
                <w:color w:val="auto"/>
              </w:rPr>
              <w:t>Audit Fees</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  6,146,000</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  6,359,000</w:t>
            </w:r>
          </w:p>
        </w:tc>
      </w:tr>
      <w:tr>
        <w:trPr>
          <w:trHeight w:val="257"/>
        </w:trPr>
        <w:tc>
          <w:tcPr>
            <w:tcW w:w="61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Audit-Related Fees</w:t>
            </w:r>
          </w:p>
        </w:tc>
        <w:tc>
          <w:tcPr>
            <w:tcW w:w="130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32,000</w:t>
            </w:r>
          </w:p>
        </w:tc>
        <w:tc>
          <w:tcPr>
            <w:tcW w:w="1300" w:type="dxa"/>
            <w:vAlign w:val="bottom"/>
            <w:shd w:val="clear" w:color="auto" w:fill="CBECD5"/>
          </w:tcPr>
          <w:p>
            <w:pPr>
              <w:jc w:val="right"/>
              <w:ind w:right="54"/>
              <w:spacing w:after="0"/>
              <w:rPr>
                <w:sz w:val="20"/>
                <w:szCs w:val="20"/>
                <w:color w:val="auto"/>
              </w:rPr>
            </w:pPr>
            <w:r>
              <w:rPr>
                <w:rFonts w:ascii="Arial" w:cs="Arial" w:eastAsia="Arial" w:hAnsi="Arial"/>
                <w:sz w:val="18"/>
                <w:szCs w:val="18"/>
                <w:color w:val="auto"/>
              </w:rPr>
              <w:t>261,000</w:t>
            </w:r>
          </w:p>
        </w:tc>
      </w:tr>
      <w:tr>
        <w:trPr>
          <w:trHeight w:val="263"/>
        </w:trPr>
        <w:tc>
          <w:tcPr>
            <w:tcW w:w="6160" w:type="dxa"/>
            <w:vAlign w:val="bottom"/>
            <w:tcBorders>
              <w:bottom w:val="single" w:sz="8" w:color="CBECD5"/>
            </w:tcBorders>
          </w:tcPr>
          <w:p>
            <w:pPr>
              <w:ind w:left="120"/>
              <w:spacing w:after="0"/>
              <w:rPr>
                <w:sz w:val="20"/>
                <w:szCs w:val="20"/>
                <w:color w:val="auto"/>
              </w:rPr>
            </w:pPr>
            <w:r>
              <w:rPr>
                <w:rFonts w:ascii="Arial" w:cs="Arial" w:eastAsia="Arial" w:hAnsi="Arial"/>
                <w:sz w:val="18"/>
                <w:szCs w:val="18"/>
                <w:color w:val="auto"/>
              </w:rPr>
              <w:t>Tax Fees</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231,000</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235,000</w:t>
            </w:r>
          </w:p>
        </w:tc>
      </w:tr>
      <w:tr>
        <w:trPr>
          <w:trHeight w:val="277"/>
        </w:trPr>
        <w:tc>
          <w:tcPr>
            <w:tcW w:w="6160" w:type="dxa"/>
            <w:vAlign w:val="bottom"/>
            <w:tcBorders>
              <w:bottom w:val="single" w:sz="8" w:color="CBECD5"/>
            </w:tcBorders>
            <w:shd w:val="clear" w:color="auto" w:fill="CBECD5"/>
          </w:tcPr>
          <w:p>
            <w:pPr>
              <w:ind w:left="1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BECD5"/>
            </w:tcBorders>
            <w:shd w:val="clear" w:color="auto" w:fill="CBECD5"/>
          </w:tcPr>
          <w:p>
            <w:pPr>
              <w:jc w:val="right"/>
              <w:ind w:right="34"/>
              <w:spacing w:after="0"/>
              <w:rPr>
                <w:sz w:val="20"/>
                <w:szCs w:val="20"/>
                <w:color w:val="auto"/>
              </w:rPr>
            </w:pPr>
            <w:r>
              <w:rPr>
                <w:rFonts w:ascii="Arial" w:cs="Arial" w:eastAsia="Arial" w:hAnsi="Arial"/>
                <w:sz w:val="18"/>
                <w:szCs w:val="18"/>
                <w:color w:val="auto"/>
              </w:rPr>
              <w:t>$6,409,000</w:t>
            </w:r>
          </w:p>
        </w:tc>
        <w:tc>
          <w:tcPr>
            <w:tcW w:w="1300" w:type="dxa"/>
            <w:vAlign w:val="bottom"/>
            <w:tcBorders>
              <w:bottom w:val="single" w:sz="8" w:color="CBECD5"/>
            </w:tcBorders>
            <w:shd w:val="clear" w:color="auto" w:fill="CBECD5"/>
          </w:tcPr>
          <w:p>
            <w:pPr>
              <w:jc w:val="right"/>
              <w:ind w:right="54"/>
              <w:spacing w:after="0"/>
              <w:rPr>
                <w:sz w:val="20"/>
                <w:szCs w:val="20"/>
                <w:color w:val="auto"/>
              </w:rPr>
            </w:pPr>
            <w:r>
              <w:rPr>
                <w:rFonts w:ascii="Arial" w:cs="Arial" w:eastAsia="Arial" w:hAnsi="Arial"/>
                <w:sz w:val="18"/>
                <w:szCs w:val="18"/>
                <w:color w:val="auto"/>
              </w:rPr>
              <w:t>$6,855,000</w:t>
            </w:r>
          </w:p>
        </w:tc>
      </w:tr>
      <w:tr>
        <w:trPr>
          <w:trHeight w:val="27"/>
        </w:trPr>
        <w:tc>
          <w:tcPr>
            <w:tcW w:w="6160" w:type="dxa"/>
            <w:vAlign w:val="bottom"/>
            <w:shd w:val="clear" w:color="auto" w:fill="53C072"/>
          </w:tcPr>
          <w:p>
            <w:pPr>
              <w:spacing w:after="0"/>
              <w:rPr>
                <w:sz w:val="2"/>
                <w:szCs w:val="2"/>
                <w:color w:val="auto"/>
              </w:rPr>
            </w:pPr>
          </w:p>
        </w:tc>
        <w:tc>
          <w:tcPr>
            <w:tcW w:w="1300" w:type="dxa"/>
            <w:vAlign w:val="bottom"/>
            <w:shd w:val="clear" w:color="auto" w:fill="53C072"/>
          </w:tcPr>
          <w:p>
            <w:pPr>
              <w:spacing w:after="0"/>
              <w:rPr>
                <w:sz w:val="2"/>
                <w:szCs w:val="2"/>
                <w:color w:val="auto"/>
              </w:rPr>
            </w:pPr>
          </w:p>
        </w:tc>
        <w:tc>
          <w:tcPr>
            <w:tcW w:w="1300" w:type="dxa"/>
            <w:vAlign w:val="bottom"/>
            <w:shd w:val="clear" w:color="auto" w:fill="53C07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-213995</wp:posOffset>
            </wp:positionV>
            <wp:extent cx="39001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46"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b w:val="1"/>
          <w:bCs w:val="1"/>
          <w:color w:val="53C072"/>
        </w:rPr>
        <w:t xml:space="preserve">Audit Fees. </w:t>
      </w:r>
      <w:r>
        <w:rPr>
          <w:rFonts w:ascii="Arial" w:cs="Arial" w:eastAsia="Arial" w:hAnsi="Arial"/>
          <w:sz w:val="18"/>
          <w:szCs w:val="18"/>
          <w:color w:val="000000"/>
        </w:rPr>
        <w:t>In both fiscal years, Audit Fees consisted of fees incurred for work performed by KPMG</w:t>
      </w:r>
      <w:r>
        <w:rPr>
          <w:rFonts w:ascii="Arial" w:cs="Arial" w:eastAsia="Arial" w:hAnsi="Arial"/>
          <w:sz w:val="18"/>
          <w:szCs w:val="18"/>
          <w:b w:val="1"/>
          <w:bCs w:val="1"/>
          <w:color w:val="53C072"/>
        </w:rPr>
        <w:t xml:space="preserve"> </w:t>
      </w:r>
      <w:r>
        <w:rPr>
          <w:rFonts w:ascii="Arial" w:cs="Arial" w:eastAsia="Arial" w:hAnsi="Arial"/>
          <w:sz w:val="18"/>
          <w:szCs w:val="18"/>
          <w:color w:val="000000"/>
        </w:rPr>
        <w:t>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01" w:lineRule="exact"/>
        <w:rPr>
          <w:sz w:val="20"/>
          <w:szCs w:val="20"/>
          <w:color w:val="auto"/>
        </w:rPr>
      </w:pPr>
    </w:p>
    <w:p>
      <w:pPr>
        <w:ind w:left="1000" w:right="779"/>
        <w:spacing w:after="0" w:line="287" w:lineRule="auto"/>
        <w:rPr>
          <w:sz w:val="20"/>
          <w:szCs w:val="20"/>
          <w:color w:val="auto"/>
        </w:rPr>
      </w:pPr>
      <w:r>
        <w:rPr>
          <w:rFonts w:ascii="Arial" w:cs="Arial" w:eastAsia="Arial" w:hAnsi="Arial"/>
          <w:sz w:val="18"/>
          <w:szCs w:val="18"/>
          <w:b w:val="1"/>
          <w:bCs w:val="1"/>
          <w:color w:val="53C072"/>
        </w:rPr>
        <w:t xml:space="preserve">Audit-Related Fees. </w:t>
      </w:r>
      <w:r>
        <w:rPr>
          <w:rFonts w:ascii="Arial" w:cs="Arial" w:eastAsia="Arial" w:hAnsi="Arial"/>
          <w:sz w:val="18"/>
          <w:szCs w:val="18"/>
          <w:color w:val="000000"/>
        </w:rPr>
        <w:t>In both fiscal years, Audit-Related Fees included fees in connection with certain</w:t>
      </w:r>
      <w:r>
        <w:rPr>
          <w:rFonts w:ascii="Arial" w:cs="Arial" w:eastAsia="Arial" w:hAnsi="Arial"/>
          <w:sz w:val="18"/>
          <w:szCs w:val="18"/>
          <w:b w:val="1"/>
          <w:bCs w:val="1"/>
          <w:color w:val="53C072"/>
        </w:rPr>
        <w:t xml:space="preserve"> </w:t>
      </w:r>
      <w:r>
        <w:rPr>
          <w:rFonts w:ascii="Arial" w:cs="Arial" w:eastAsia="Arial" w:hAnsi="Arial"/>
          <w:sz w:val="18"/>
          <w:szCs w:val="18"/>
          <w:color w:val="000000"/>
        </w:rPr>
        <w:t>compliance-related services.</w:t>
      </w:r>
    </w:p>
    <w:p>
      <w:pPr>
        <w:spacing w:after="0" w:line="85" w:lineRule="exact"/>
        <w:rPr>
          <w:sz w:val="20"/>
          <w:szCs w:val="20"/>
          <w:color w:val="auto"/>
        </w:rPr>
      </w:pPr>
    </w:p>
    <w:p>
      <w:pPr>
        <w:ind w:left="1000" w:right="199"/>
        <w:spacing w:after="0" w:line="291" w:lineRule="auto"/>
        <w:rPr>
          <w:sz w:val="20"/>
          <w:szCs w:val="20"/>
          <w:color w:val="auto"/>
        </w:rPr>
      </w:pPr>
      <w:r>
        <w:rPr>
          <w:rFonts w:ascii="Arial" w:cs="Arial" w:eastAsia="Arial" w:hAnsi="Arial"/>
          <w:sz w:val="17"/>
          <w:szCs w:val="17"/>
          <w:b w:val="1"/>
          <w:bCs w:val="1"/>
          <w:color w:val="53C072"/>
        </w:rPr>
        <w:t xml:space="preserve">Tax Fees. </w:t>
      </w:r>
      <w:r>
        <w:rPr>
          <w:rFonts w:ascii="Arial" w:cs="Arial" w:eastAsia="Arial" w:hAnsi="Arial"/>
          <w:sz w:val="17"/>
          <w:szCs w:val="17"/>
          <w:color w:val="000000"/>
        </w:rPr>
        <w:t>In both fiscal years, Tax Fees consisted of fees primarily for assistance with global tax compliance</w:t>
      </w:r>
      <w:r>
        <w:rPr>
          <w:rFonts w:ascii="Arial" w:cs="Arial" w:eastAsia="Arial" w:hAnsi="Arial"/>
          <w:sz w:val="17"/>
          <w:szCs w:val="17"/>
          <w:b w:val="1"/>
          <w:bCs w:val="1"/>
          <w:color w:val="53C072"/>
        </w:rPr>
        <w:t xml:space="preserve"> </w:t>
      </w:r>
      <w:r>
        <w:rPr>
          <w:rFonts w:ascii="Arial" w:cs="Arial" w:eastAsia="Arial" w:hAnsi="Arial"/>
          <w:sz w:val="17"/>
          <w:szCs w:val="17"/>
          <w:color w:val="000000"/>
        </w:rPr>
        <w:t>(federal, international, state, and local), tax audits, and tax advice. All services to be provided by the Company’s independent registered public accounting firm are subject to pre-approval by the Audit Committee.</w:t>
      </w:r>
    </w:p>
    <w:p>
      <w:pPr>
        <w:spacing w:after="0" w:line="95" w:lineRule="exact"/>
        <w:rPr>
          <w:sz w:val="20"/>
          <w:szCs w:val="20"/>
          <w:color w:val="auto"/>
        </w:rPr>
      </w:pPr>
    </w:p>
    <w:p>
      <w:pPr>
        <w:ind w:left="1000" w:right="359"/>
        <w:spacing w:after="0" w:line="255" w:lineRule="auto"/>
        <w:rPr>
          <w:sz w:val="20"/>
          <w:szCs w:val="20"/>
          <w:color w:val="auto"/>
        </w:rPr>
      </w:pPr>
      <w:r>
        <w:rPr>
          <w:rFonts w:ascii="Arial" w:cs="Arial" w:eastAsia="Arial" w:hAnsi="Arial"/>
          <w:sz w:val="18"/>
          <w:szCs w:val="18"/>
          <w:color w:val="auto"/>
        </w:rPr>
        <w:t>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w:t>
      </w:r>
    </w:p>
    <w:p>
      <w:pPr>
        <w:spacing w:after="0" w:line="111"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As permitted by the SEC, the Audit Committee has also adopted a pre-approval policy (“Pre-Approval Policy”), whereby certain types of services up to specified cost levels have been pre-approved by the Audit Committee. Management monitors service requests to ensure they are consistent with the types of services approved by the Audit Committee and that the fee limits are not exceeded.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2022 and 2023 were pre-approved by the Audit Committee pursuant to regulations of the SEC.</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40"/>
          <w:szCs w:val="40"/>
          <w:b w:val="1"/>
          <w:bCs w:val="1"/>
          <w:color w:val="FEFEFE"/>
        </w:rPr>
        <w:t>AUDIT COMMITTEE REPORT</w:t>
      </w:r>
      <w:r>
        <w:rPr>
          <w:rFonts w:ascii="Arial" w:cs="Arial" w:eastAsia="Arial" w:hAnsi="Arial"/>
          <w:sz w:val="17"/>
          <w:szCs w:val="17"/>
          <w:color w:val="FEFEFE"/>
        </w:rPr>
        <w:t>​</w:t>
      </w:r>
    </w:p>
    <w:p>
      <w:pPr>
        <w:spacing w:after="0" w:line="354" w:lineRule="exact"/>
        <w:rPr>
          <w:sz w:val="20"/>
          <w:szCs w:val="20"/>
          <w:color w:val="auto"/>
        </w:rPr>
      </w:pPr>
    </w:p>
    <w:p>
      <w:pPr>
        <w:ind w:left="1000" w:right="279"/>
        <w:spacing w:after="0" w:line="254"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60"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and results with respect to risk assessment and risk management, including risks related to data protection and cybersecurity.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61"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66" w:lineRule="exact"/>
        <w:rPr>
          <w:sz w:val="20"/>
          <w:szCs w:val="20"/>
          <w:color w:val="auto"/>
        </w:rPr>
      </w:pPr>
    </w:p>
    <w:p>
      <w:pPr>
        <w:ind w:left="1000" w:right="199"/>
        <w:spacing w:after="0" w:line="252" w:lineRule="auto"/>
        <w:rPr>
          <w:sz w:val="20"/>
          <w:szCs w:val="20"/>
          <w:color w:val="auto"/>
        </w:rPr>
      </w:pPr>
      <w:r>
        <w:rPr>
          <w:rFonts w:ascii="Arial" w:cs="Arial" w:eastAsia="Arial" w:hAnsi="Arial"/>
          <w:sz w:val="18"/>
          <w:szCs w:val="18"/>
          <w:color w:val="auto"/>
        </w:rPr>
        <w:t>The Audit Committee has reviewed and discussed the audited financial statements for fiscal 2023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July 1, 2023, for filing with the Securities and Exchange Commission.</w:t>
      </w:r>
    </w:p>
    <w:p>
      <w:pPr>
        <w:sectPr>
          <w:pgSz w:w="11900" w:h="16838" w:orient="portrait"/>
          <w:cols w:equalWidth="0" w:num="1">
            <w:col w:w="9879"/>
          </w:cols>
          <w:pgMar w:left="580" w:top="90" w:right="1440" w:bottom="1440" w:gutter="0" w:footer="0" w:header="0"/>
        </w:sectPr>
      </w:pP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Carlo Bozotti, Chair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859"/>
        <w:spacing w:after="0"/>
        <w:rPr>
          <w:sz w:val="20"/>
          <w:szCs w:val="20"/>
          <w:color w:val="auto"/>
        </w:rPr>
      </w:pPr>
      <w:r>
        <w:rPr>
          <w:rFonts w:ascii="Arial" w:cs="Arial" w:eastAsia="Arial" w:hAnsi="Arial"/>
          <w:sz w:val="17"/>
          <w:szCs w:val="17"/>
          <w:color w:val="auto"/>
        </w:rPr>
        <w:t>Brenda L. Freeman</w:t>
      </w:r>
    </w:p>
    <w:p>
      <w:pPr>
        <w:spacing w:after="0" w:line="33" w:lineRule="exact"/>
        <w:rPr>
          <w:sz w:val="20"/>
          <w:szCs w:val="20"/>
          <w:color w:val="auto"/>
        </w:rPr>
      </w:pPr>
    </w:p>
    <w:p>
      <w:pPr>
        <w:sectPr>
          <w:pgSz w:w="11900" w:h="16838" w:orient="portrait"/>
          <w:cols w:equalWidth="0" w:num="2">
            <w:col w:w="4760" w:space="720"/>
            <w:col w:w="4399"/>
          </w:cols>
          <w:pgMar w:left="580" w:top="90" w:right="1440"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Oleg Khaykin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Ernest E. Maddock</w:t>
      </w:r>
    </w:p>
    <w:p>
      <w:pPr>
        <w:spacing w:after="0" w:line="200" w:lineRule="exact"/>
        <w:rPr>
          <w:sz w:val="20"/>
          <w:szCs w:val="20"/>
          <w:color w:val="auto"/>
        </w:rPr>
      </w:pPr>
    </w:p>
    <w:p>
      <w:pPr>
        <w:sectPr>
          <w:pgSz w:w="11900" w:h="16838" w:orient="portrait"/>
          <w:cols w:equalWidth="0" w:num="2">
            <w:col w:w="4760" w:space="720"/>
            <w:col w:w="4399"/>
          </w:cols>
          <w:pgMar w:left="580" w:top="90" w:right="1440"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72     </w:t>
      </w:r>
      <w:r>
        <w:rPr>
          <w:sz w:val="1"/>
          <w:szCs w:val="1"/>
          <w:color w:val="auto"/>
        </w:rPr>
        <w:drawing>
          <wp:inline distT="0" distB="0" distL="0" distR="0">
            <wp:extent cx="1242695" cy="24003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SHAREHOLDER PROPOSALS AND</w:t>
      </w:r>
    </w:p>
    <w:p>
      <w:pPr>
        <w:spacing w:after="0" w:line="63"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NOMINATIONS</w:t>
      </w:r>
      <w:r>
        <w:rPr>
          <w:rFonts w:ascii="Arial" w:cs="Arial" w:eastAsia="Arial" w:hAnsi="Arial"/>
          <w:sz w:val="17"/>
          <w:szCs w:val="17"/>
          <w:color w:val="FEFEFE"/>
        </w:rPr>
        <w:t>​</w:t>
      </w:r>
    </w:p>
    <w:p>
      <w:pPr>
        <w:spacing w:after="0" w:line="385" w:lineRule="exact"/>
        <w:rPr>
          <w:sz w:val="20"/>
          <w:szCs w:val="20"/>
          <w:color w:val="auto"/>
        </w:rPr>
      </w:pPr>
    </w:p>
    <w:p>
      <w:pPr>
        <w:ind w:left="1000" w:right="359"/>
        <w:spacing w:after="0" w:line="263" w:lineRule="auto"/>
        <w:rPr>
          <w:sz w:val="20"/>
          <w:szCs w:val="20"/>
          <w:color w:val="auto"/>
        </w:rPr>
      </w:pPr>
      <w:r>
        <w:rPr>
          <w:rFonts w:ascii="Arial" w:cs="Arial" w:eastAsia="Arial" w:hAnsi="Arial"/>
          <w:sz w:val="18"/>
          <w:szCs w:val="18"/>
          <w:color w:val="auto"/>
        </w:rPr>
        <w:t>The Company did not receive any requests from shareholders for a matter or a Director nominee to be submitted to a vote at the 2023 Annual Meeting or to be included in the Company’s 2023 proxy statement or proxy card.</w:t>
      </w:r>
    </w:p>
    <w:p>
      <w:pPr>
        <w:spacing w:after="0" w:line="116" w:lineRule="exact"/>
        <w:rPr>
          <w:sz w:val="20"/>
          <w:szCs w:val="20"/>
          <w:color w:val="auto"/>
        </w:rPr>
      </w:pPr>
    </w:p>
    <w:p>
      <w:pPr>
        <w:ind w:left="1000" w:right="239"/>
        <w:spacing w:after="0" w:line="258" w:lineRule="auto"/>
        <w:rPr>
          <w:sz w:val="20"/>
          <w:szCs w:val="20"/>
          <w:color w:val="auto"/>
        </w:rPr>
      </w:pPr>
      <w:r>
        <w:rPr>
          <w:rFonts w:ascii="Arial" w:cs="Arial" w:eastAsia="Arial" w:hAnsi="Arial"/>
          <w:sz w:val="18"/>
          <w:szCs w:val="18"/>
          <w:color w:val="auto"/>
        </w:rPr>
        <w:t>Under SEC rules or pursuant to the Company’s By-laws, shareholders may submit proposals or director nominations that they believe should be voted on at an annual shareholder meeting or may recommend persons for nomination to the Board of Directors. There are several alternatives a shareholder may use and a summary of those alternatives follows.</w:t>
      </w:r>
    </w:p>
    <w:p>
      <w:pPr>
        <w:spacing w:after="0" w:line="109" w:lineRule="exact"/>
        <w:rPr>
          <w:sz w:val="20"/>
          <w:szCs w:val="20"/>
          <w:color w:val="auto"/>
        </w:rPr>
      </w:pPr>
    </w:p>
    <w:p>
      <w:pPr>
        <w:ind w:left="1000" w:right="139"/>
        <w:spacing w:after="0" w:line="256"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2024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5, 2024.</w:t>
      </w:r>
    </w:p>
    <w:p>
      <w:pPr>
        <w:spacing w:after="0" w:line="125" w:lineRule="exact"/>
        <w:rPr>
          <w:sz w:val="20"/>
          <w:szCs w:val="20"/>
          <w:color w:val="auto"/>
        </w:rPr>
      </w:pPr>
    </w:p>
    <w:p>
      <w:pPr>
        <w:ind w:left="1000" w:right="179"/>
        <w:spacing w:after="0" w:line="289" w:lineRule="auto"/>
        <w:rPr>
          <w:sz w:val="20"/>
          <w:szCs w:val="20"/>
          <w:color w:val="auto"/>
        </w:rPr>
      </w:pPr>
      <w:r>
        <w:rPr>
          <w:rFonts w:ascii="Arial" w:cs="Arial" w:eastAsia="Arial" w:hAnsi="Arial"/>
          <w:sz w:val="17"/>
          <w:szCs w:val="17"/>
          <w:color w:val="auto"/>
        </w:rPr>
        <w:t>For information regarding how to nominate a Director candidate for consideration by the Corporate Governance Committee, please see “Corporate Governance — Director Nominations” in this Proxy Statement.</w:t>
      </w:r>
    </w:p>
    <w:p>
      <w:pPr>
        <w:spacing w:after="0" w:line="83" w:lineRule="exact"/>
        <w:rPr>
          <w:sz w:val="20"/>
          <w:szCs w:val="20"/>
          <w:color w:val="auto"/>
        </w:rPr>
      </w:pPr>
    </w:p>
    <w:p>
      <w:pPr>
        <w:ind w:left="1000" w:right="159"/>
        <w:spacing w:after="0" w:line="253" w:lineRule="auto"/>
        <w:rPr>
          <w:sz w:val="20"/>
          <w:szCs w:val="20"/>
          <w:color w:val="auto"/>
        </w:rPr>
      </w:pPr>
      <w:r>
        <w:rPr>
          <w:rFonts w:ascii="Arial" w:cs="Arial" w:eastAsia="Arial" w:hAnsi="Arial"/>
          <w:sz w:val="18"/>
          <w:szCs w:val="18"/>
          <w:color w:val="auto"/>
        </w:rPr>
        <w:t>Alternatively, under the Company’s By-laws, any shareholder wishing to appear at the 2024 Annual Meeting and submit a proposal or nominate a person as a Director candidate must submit the proposal or nomination to the Company’s Corporate Secretary not earlier than June 19, 2024, and not later than July 19, 2024 and comply with the requirements of the Company’s By-laws. Any such shareholder proposal or Director nomination will not appear in the Company’s proxy statement. However, Director nominations may be included on the Company’s proxy card if the additional requirements under Rule 14a-19 of the Exchange Act, known as the Universal Proxy Rule, and the By-laws are complied with. If notice is received by the Company after July 19, 2024, then such notice will be considered untimely. The Company reserves the right to reject, rule out of order, or take other appropriate action with respect to any proposal that does not comply with these and other applicable requirements.</w:t>
      </w:r>
    </w:p>
    <w:p>
      <w:pPr>
        <w:spacing w:after="0" w:line="127" w:lineRule="exact"/>
        <w:rPr>
          <w:sz w:val="20"/>
          <w:szCs w:val="20"/>
          <w:color w:val="auto"/>
        </w:rPr>
      </w:pPr>
    </w:p>
    <w:p>
      <w:pPr>
        <w:ind w:left="1000" w:right="779"/>
        <w:spacing w:after="0" w:line="275" w:lineRule="auto"/>
        <w:rPr>
          <w:sz w:val="20"/>
          <w:szCs w:val="20"/>
          <w:color w:val="auto"/>
        </w:rPr>
      </w:pPr>
      <w:r>
        <w:rPr>
          <w:rFonts w:ascii="Arial" w:cs="Arial" w:eastAsia="Arial" w:hAnsi="Arial"/>
          <w:sz w:val="18"/>
          <w:szCs w:val="18"/>
          <w:color w:val="auto"/>
        </w:rPr>
        <w:t>The persons named as proxies in the proxy materials relating to the 2024 Annual Meeting will use their discretion in voting the proxies when these matters are raised at the meeting.</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9944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580" w:right="380"/>
        <w:spacing w:after="0" w:line="271" w:lineRule="auto"/>
        <w:rPr>
          <w:sz w:val="20"/>
          <w:szCs w:val="20"/>
          <w:color w:val="auto"/>
        </w:rPr>
      </w:pPr>
      <w:r>
        <w:rPr>
          <w:rFonts w:ascii="Arial" w:cs="Arial" w:eastAsia="Arial" w:hAnsi="Arial"/>
          <w:sz w:val="40"/>
          <w:szCs w:val="40"/>
          <w:b w:val="1"/>
          <w:bCs w:val="1"/>
          <w:color w:val="FEFEFE"/>
        </w:rPr>
        <w:t>DELIVERY OF DOCUMENTS TO SHAREHOLDERS WITH SAME LAST NAME AND ADDRESS</w:t>
      </w:r>
      <w:r>
        <w:rPr>
          <w:rFonts w:ascii="Arial" w:cs="Arial" w:eastAsia="Arial" w:hAnsi="Arial"/>
          <w:sz w:val="17"/>
          <w:szCs w:val="17"/>
          <w:color w:val="FEFEFE"/>
        </w:rPr>
        <w:t>​</w:t>
      </w:r>
    </w:p>
    <w:p>
      <w:pPr>
        <w:spacing w:after="0" w:line="295" w:lineRule="exact"/>
        <w:rPr>
          <w:sz w:val="20"/>
          <w:szCs w:val="20"/>
          <w:color w:val="auto"/>
        </w:rPr>
      </w:pPr>
    </w:p>
    <w:p>
      <w:pPr>
        <w:ind w:left="1000" w:right="339"/>
        <w:spacing w:after="0" w:line="256" w:lineRule="auto"/>
        <w:rPr>
          <w:sz w:val="20"/>
          <w:szCs w:val="20"/>
          <w:color w:val="auto"/>
        </w:rPr>
      </w:pPr>
      <w:r>
        <w:rPr>
          <w:rFonts w:ascii="Arial" w:cs="Arial" w:eastAsia="Arial" w:hAnsi="Arial"/>
          <w:sz w:val="18"/>
          <w:szCs w:val="18"/>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25" w:lineRule="exact"/>
        <w:rPr>
          <w:sz w:val="20"/>
          <w:szCs w:val="20"/>
          <w:color w:val="auto"/>
        </w:rPr>
      </w:pPr>
    </w:p>
    <w:p>
      <w:pPr>
        <w:ind w:left="1000" w:right="199"/>
        <w:spacing w:after="0" w:line="258"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109"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155575</wp:posOffset>
            </wp:positionV>
            <wp:extent cx="5554980" cy="3257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36" w:lineRule="exact"/>
        <w:rPr>
          <w:sz w:val="20"/>
          <w:szCs w:val="20"/>
          <w:color w:val="auto"/>
        </w:rPr>
      </w:pPr>
    </w:p>
    <w:p>
      <w:pPr>
        <w:ind w:left="4420"/>
        <w:spacing w:after="0"/>
        <w:rPr>
          <w:sz w:val="20"/>
          <w:szCs w:val="20"/>
          <w:color w:val="auto"/>
        </w:rPr>
      </w:pPr>
      <w:r>
        <w:rPr>
          <w:rFonts w:ascii="Arial" w:cs="Arial" w:eastAsia="Arial" w:hAnsi="Arial"/>
          <w:sz w:val="40"/>
          <w:szCs w:val="40"/>
          <w:b w:val="1"/>
          <w:bCs w:val="1"/>
          <w:color w:val="FEFEFE"/>
        </w:rPr>
        <w:t>GENERAL</w:t>
      </w:r>
      <w:r>
        <w:rPr>
          <w:rFonts w:ascii="Arial" w:cs="Arial" w:eastAsia="Arial" w:hAnsi="Arial"/>
          <w:sz w:val="17"/>
          <w:szCs w:val="17"/>
          <w:color w:val="FEFEFE"/>
        </w:rPr>
        <w:t>​</w:t>
      </w:r>
    </w:p>
    <w:p>
      <w:pPr>
        <w:spacing w:after="0" w:line="354"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18, 2023, the shareholder is entitled to vote at the Annual Meeting.</w:t>
      </w:r>
    </w:p>
    <w:p>
      <w:pPr>
        <w:spacing w:after="0" w:line="11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22" w:lineRule="exact"/>
        <w:rPr>
          <w:sz w:val="20"/>
          <w:szCs w:val="20"/>
          <w:color w:val="auto"/>
        </w:rPr>
      </w:pPr>
    </w:p>
    <w:p>
      <w:pPr>
        <w:ind w:left="2800"/>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74     </w:t>
      </w:r>
      <w:r>
        <w:rPr>
          <w:sz w:val="1"/>
          <w:szCs w:val="1"/>
          <w:color w:val="auto"/>
        </w:rPr>
        <w:drawing>
          <wp:inline distT="0" distB="0" distL="0" distR="0">
            <wp:extent cx="1242695" cy="24003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A</w:t>
      </w:r>
      <w:r>
        <w:rPr>
          <w:rFonts w:ascii="Arial" w:cs="Arial" w:eastAsia="Arial" w:hAnsi="Arial"/>
          <w:sz w:val="17"/>
          <w:szCs w:val="17"/>
          <w:color w:val="FEFEFE"/>
        </w:rPr>
        <w:t>​</w:t>
      </w:r>
    </w:p>
    <w:p>
      <w:pPr>
        <w:spacing w:after="0" w:line="2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RECONCILIATION OF NON-GAAP MEASURES</w:t>
      </w:r>
    </w:p>
    <w:p>
      <w:pPr>
        <w:spacing w:after="0" w:line="158" w:lineRule="exact"/>
        <w:rPr>
          <w:sz w:val="20"/>
          <w:szCs w:val="20"/>
          <w:color w:val="auto"/>
        </w:rPr>
      </w:pPr>
    </w:p>
    <w:p>
      <w:pPr>
        <w:ind w:left="1000" w:right="919"/>
        <w:spacing w:after="0" w:line="322" w:lineRule="auto"/>
        <w:rPr>
          <w:sz w:val="20"/>
          <w:szCs w:val="20"/>
          <w:color w:val="auto"/>
        </w:rPr>
      </w:pPr>
      <w:r>
        <w:rPr>
          <w:rFonts w:ascii="Arial" w:cs="Arial" w:eastAsia="Arial" w:hAnsi="Arial"/>
          <w:sz w:val="17"/>
          <w:szCs w:val="17"/>
          <w:color w:val="auto"/>
        </w:rPr>
        <w:t>The table below presents a reconciliation of each non-GAAP financial measure included in this Proxy Statement to the most comparable GAAP financial measure for the fiscal years 2023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78105</wp:posOffset>
            </wp:positionV>
            <wp:extent cx="5554980" cy="651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54980" cy="651510"/>
                    </a:xfrm>
                    <a:prstGeom prst="rect">
                      <a:avLst/>
                    </a:prstGeom>
                    <a:noFill/>
                  </pic:spPr>
                </pic:pic>
              </a:graphicData>
            </a:graphic>
          </wp:anchor>
        </w:drawing>
      </w:r>
    </w:p>
    <w:p>
      <w:pPr>
        <w:spacing w:after="0" w:line="130"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FEFEFE"/>
        </w:rPr>
        <w:t>Fiscal Year 2023</w:t>
      </w:r>
    </w:p>
    <w:p>
      <w:pPr>
        <w:spacing w:after="0" w:line="39" w:lineRule="exact"/>
        <w:rPr>
          <w:sz w:val="20"/>
          <w:szCs w:val="20"/>
          <w:color w:val="auto"/>
        </w:rPr>
      </w:pPr>
    </w:p>
    <w:tbl>
      <w:tblPr>
        <w:tblLayout w:type="fixed"/>
        <w:tblInd w:w="1080" w:type="dxa"/>
        <w:tblCellMar>
          <w:top w:w="0" w:type="dxa"/>
          <w:left w:w="0" w:type="dxa"/>
          <w:bottom w:w="0" w:type="dxa"/>
          <w:right w:w="0" w:type="dxa"/>
        </w:tblCellMar>
      </w:tblPr>
      <w:tr>
        <w:trPr>
          <w:trHeight w:val="198"/>
        </w:trPr>
        <w:tc>
          <w:tcPr>
            <w:tcW w:w="5720" w:type="dxa"/>
            <w:vAlign w:val="bottom"/>
            <w:tcBorders>
              <w:top w:val="single" w:sz="8" w:color="53C072"/>
            </w:tcBorders>
            <w:shd w:val="clear" w:color="auto" w:fill="53C072"/>
          </w:tcPr>
          <w:p>
            <w:pPr>
              <w:spacing w:after="0"/>
              <w:rPr>
                <w:sz w:val="17"/>
                <w:szCs w:val="17"/>
                <w:color w:val="auto"/>
              </w:rPr>
            </w:pPr>
          </w:p>
        </w:tc>
        <w:tc>
          <w:tcPr>
            <w:tcW w:w="1160" w:type="dxa"/>
            <w:vAlign w:val="bottom"/>
            <w:tcBorders>
              <w:top w:val="single" w:sz="8" w:color="auto"/>
            </w:tcBorders>
            <w:shd w:val="clear" w:color="auto" w:fill="53C072"/>
          </w:tcPr>
          <w:p>
            <w:pPr>
              <w:spacing w:after="0"/>
              <w:rPr>
                <w:sz w:val="17"/>
                <w:szCs w:val="17"/>
                <w:color w:val="auto"/>
              </w:rPr>
            </w:pPr>
          </w:p>
        </w:tc>
        <w:tc>
          <w:tcPr>
            <w:tcW w:w="880" w:type="dxa"/>
            <w:vAlign w:val="bottom"/>
            <w:tcBorders>
              <w:top w:val="single" w:sz="8" w:color="auto"/>
            </w:tcBorders>
            <w:shd w:val="clear" w:color="auto" w:fill="53C072"/>
          </w:tcPr>
          <w:p>
            <w:pPr>
              <w:spacing w:after="0"/>
              <w:rPr>
                <w:sz w:val="17"/>
                <w:szCs w:val="17"/>
                <w:color w:val="auto"/>
              </w:rPr>
            </w:pPr>
          </w:p>
        </w:tc>
        <w:tc>
          <w:tcPr>
            <w:tcW w:w="780" w:type="dxa"/>
            <w:vAlign w:val="bottom"/>
            <w:tcBorders>
              <w:top w:val="single" w:sz="8" w:color="auto"/>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Diluted</w:t>
            </w:r>
          </w:p>
        </w:tc>
        <w:tc>
          <w:tcPr>
            <w:tcW w:w="120" w:type="dxa"/>
            <w:vAlign w:val="bottom"/>
            <w:tcBorders>
              <w:top w:val="single" w:sz="8" w:color="53C072"/>
            </w:tcBorders>
            <w:shd w:val="clear" w:color="auto" w:fill="53C072"/>
          </w:tcPr>
          <w:p>
            <w:pPr>
              <w:spacing w:after="0"/>
              <w:rPr>
                <w:sz w:val="17"/>
                <w:szCs w:val="17"/>
                <w:color w:val="auto"/>
              </w:rPr>
            </w:pPr>
          </w:p>
        </w:tc>
      </w:tr>
      <w:tr>
        <w:trPr>
          <w:trHeight w:val="162"/>
        </w:trPr>
        <w:tc>
          <w:tcPr>
            <w:tcW w:w="5720" w:type="dxa"/>
            <w:vAlign w:val="bottom"/>
            <w:shd w:val="clear" w:color="auto" w:fill="53C072"/>
          </w:tcPr>
          <w:p>
            <w:pPr>
              <w:spacing w:after="0"/>
              <w:rPr>
                <w:sz w:val="14"/>
                <w:szCs w:val="14"/>
                <w:color w:val="auto"/>
              </w:rPr>
            </w:pPr>
          </w:p>
        </w:tc>
        <w:tc>
          <w:tcPr>
            <w:tcW w:w="116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Operating</w:t>
            </w:r>
          </w:p>
        </w:tc>
        <w:tc>
          <w:tcPr>
            <w:tcW w:w="880" w:type="dxa"/>
            <w:vAlign w:val="bottom"/>
            <w:shd w:val="clear" w:color="auto" w:fill="53C072"/>
          </w:tcPr>
          <w:p>
            <w:pPr>
              <w:ind w:left="480"/>
              <w:spacing w:after="0"/>
              <w:rPr>
                <w:sz w:val="20"/>
                <w:szCs w:val="20"/>
                <w:color w:val="auto"/>
              </w:rPr>
            </w:pPr>
            <w:r>
              <w:rPr>
                <w:rFonts w:ascii="Arial" w:cs="Arial" w:eastAsia="Arial" w:hAnsi="Arial"/>
                <w:sz w:val="14"/>
                <w:szCs w:val="14"/>
                <w:b w:val="1"/>
                <w:bCs w:val="1"/>
                <w:color w:val="FEFEFE"/>
              </w:rPr>
              <w:t>Net</w:t>
            </w:r>
          </w:p>
        </w:tc>
        <w:tc>
          <w:tcPr>
            <w:tcW w:w="90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89"/>
        </w:trPr>
        <w:tc>
          <w:tcPr>
            <w:tcW w:w="5720" w:type="dxa"/>
            <w:vAlign w:val="bottom"/>
            <w:shd w:val="clear" w:color="auto" w:fill="53C072"/>
          </w:tcPr>
          <w:p>
            <w:pPr>
              <w:spacing w:after="0"/>
              <w:rPr>
                <w:sz w:val="16"/>
                <w:szCs w:val="16"/>
                <w:color w:val="auto"/>
              </w:rPr>
            </w:pPr>
          </w:p>
        </w:tc>
        <w:tc>
          <w:tcPr>
            <w:tcW w:w="1160" w:type="dxa"/>
            <w:vAlign w:val="bottom"/>
            <w:shd w:val="clear" w:color="auto" w:fill="53C072"/>
          </w:tcPr>
          <w:p>
            <w:pPr>
              <w:ind w:left="420"/>
              <w:spacing w:after="0"/>
              <w:rPr>
                <w:sz w:val="20"/>
                <w:szCs w:val="20"/>
                <w:color w:val="auto"/>
              </w:rPr>
            </w:pPr>
            <w:r>
              <w:rPr>
                <w:rFonts w:ascii="Arial" w:cs="Arial" w:eastAsia="Arial" w:hAnsi="Arial"/>
                <w:sz w:val="14"/>
                <w:szCs w:val="14"/>
                <w:b w:val="1"/>
                <w:bCs w:val="1"/>
                <w:color w:val="FEFEFE"/>
              </w:rPr>
              <w:t>Income</w:t>
            </w:r>
          </w:p>
        </w:tc>
        <w:tc>
          <w:tcPr>
            <w:tcW w:w="88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Income</w:t>
            </w:r>
          </w:p>
        </w:tc>
        <w:tc>
          <w:tcPr>
            <w:tcW w:w="90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Per Share</w:t>
            </w:r>
          </w:p>
        </w:tc>
      </w:tr>
    </w:tbl>
    <w:p>
      <w:pPr>
        <w:spacing w:after="0" w:line="27"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FEFEFE"/>
        </w:rPr>
        <w:t>(thousands except per share data)</w:t>
      </w:r>
    </w:p>
    <w:p>
      <w:pPr>
        <w:sectPr>
          <w:pgSz w:w="11900" w:h="16838" w:orient="portrait"/>
          <w:cols w:equalWidth="0" w:num="1">
            <w:col w:w="9879"/>
          </w:cols>
          <w:pgMar w:left="580" w:top="90" w:right="1440" w:bottom="1440" w:gutter="0" w:footer="0" w:header="0"/>
        </w:sectPr>
      </w:pPr>
    </w:p>
    <w:p>
      <w:pPr>
        <w:spacing w:after="0" w:line="5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20320</wp:posOffset>
            </wp:positionV>
            <wp:extent cx="5554980"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51" w:lineRule="exact"/>
        <w:rPr>
          <w:sz w:val="20"/>
          <w:szCs w:val="20"/>
          <w:color w:val="auto"/>
        </w:rPr>
      </w:pPr>
    </w:p>
    <w:p>
      <w:pPr>
        <w:ind w:left="1040" w:right="1380"/>
        <w:spacing w:after="0" w:line="312" w:lineRule="auto"/>
        <w:rPr>
          <w:sz w:val="20"/>
          <w:szCs w:val="20"/>
          <w:color w:val="auto"/>
        </w:rPr>
      </w:pPr>
      <w:r>
        <w:rPr>
          <w:rFonts w:ascii="Arial" w:cs="Arial" w:eastAsia="Arial" w:hAnsi="Arial"/>
          <w:sz w:val="18"/>
          <w:szCs w:val="18"/>
          <w:color w:val="auto"/>
        </w:rPr>
        <w:t>​Restructuring, integration and other expenses ​Amortization of intangible assets and other ​Gain on legal settlements and other ​Income tax adjustments ​Total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-381635</wp:posOffset>
            </wp:positionV>
            <wp:extent cx="555498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-55880</wp:posOffset>
            </wp:positionV>
            <wp:extent cx="5554980"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67" w:lineRule="exact"/>
        <w:rPr>
          <w:sz w:val="20"/>
          <w:szCs w:val="20"/>
          <w:color w:val="auto"/>
        </w:rPr>
      </w:pPr>
    </w:p>
    <w:p>
      <w:pPr>
        <w:ind w:left="10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-24130</wp:posOffset>
            </wp:positionV>
            <wp:extent cx="555498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​$1,186,800</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​$770,828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$8.26</w:t>
            </w: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28,038</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22,031</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6,053</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4,693</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(28,325)</w:t>
            </w: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(16,453)</w:t>
            </w:r>
          </w:p>
        </w:tc>
        <w:tc>
          <w:tcPr>
            <w:tcW w:w="6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4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34,091</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(18,054)</w:t>
            </w: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441"/>
        </w:trPr>
        <w:tc>
          <w:tcPr>
            <w:tcW w:w="1040" w:type="dxa"/>
            <w:vAlign w:val="bottom"/>
            <w:gridSpan w:val="2"/>
          </w:tcPr>
          <w:p>
            <w:pPr>
              <w:jc w:val="right"/>
              <w:ind w:right="30"/>
              <w:spacing w:after="0"/>
              <w:rPr>
                <w:sz w:val="20"/>
                <w:szCs w:val="20"/>
                <w:color w:val="auto"/>
              </w:rPr>
            </w:pPr>
            <w:r>
              <w:rPr>
                <w:rFonts w:ascii="Arial" w:cs="Arial" w:eastAsia="Arial" w:hAnsi="Arial"/>
                <w:sz w:val="35"/>
                <w:szCs w:val="35"/>
                <w:b w:val="1"/>
                <w:bCs w:val="1"/>
                <w:color w:val="auto"/>
                <w:w w:val="99"/>
                <w:vertAlign w:val="subscript"/>
              </w:rPr>
              <w:t>​</w:t>
            </w:r>
            <w:r>
              <w:rPr>
                <w:rFonts w:ascii="Arial" w:cs="Arial" w:eastAsia="Arial" w:hAnsi="Arial"/>
                <w:sz w:val="18"/>
                <w:szCs w:val="18"/>
                <w:b w:val="1"/>
                <w:bCs w:val="1"/>
                <w:color w:val="auto"/>
                <w:w w:val="99"/>
              </w:rPr>
              <w:t>$1,220,891</w:t>
            </w:r>
          </w:p>
        </w:tc>
        <w:tc>
          <w:tcPr>
            <w:tcW w:w="1120" w:type="dxa"/>
            <w:vAlign w:val="bottom"/>
            <w:gridSpan w:val="2"/>
          </w:tcPr>
          <w:p>
            <w:pPr>
              <w:jc w:val="right"/>
              <w:ind w:right="15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$752,774</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$8.06</w:t>
            </w:r>
          </w:p>
        </w:tc>
      </w:tr>
    </w:tbl>
    <w:p>
      <w:pPr>
        <w:spacing w:after="0" w:line="20" w:lineRule="exact"/>
        <w:rPr>
          <w:sz w:val="20"/>
          <w:szCs w:val="20"/>
          <w:color w:val="auto"/>
        </w:rPr>
      </w:pPr>
    </w:p>
    <w:p>
      <w:pPr>
        <w:sectPr>
          <w:pgSz w:w="11900" w:h="16838" w:orient="portrait"/>
          <w:cols w:equalWidth="0" w:num="2">
            <w:col w:w="6080" w:space="720"/>
            <w:col w:w="3079"/>
          </w:cols>
          <w:pgMar w:left="580" w:top="90" w:right="1440" w:bottom="1440" w:gutter="0" w:footer="0" w:header="0"/>
          <w:type w:val="continuous"/>
        </w:sectPr>
      </w:pPr>
    </w:p>
    <w:tbl>
      <w:tblPr>
        <w:tblLayout w:type="fixed"/>
        <w:tblInd w:w="980" w:type="dxa"/>
        <w:tblCellMar>
          <w:top w:w="0" w:type="dxa"/>
          <w:left w:w="0" w:type="dxa"/>
          <w:bottom w:w="0" w:type="dxa"/>
          <w:right w:w="0" w:type="dxa"/>
        </w:tblCellMar>
      </w:tblPr>
      <w:tr>
        <w:trPr>
          <w:trHeight w:val="222"/>
        </w:trPr>
        <w:tc>
          <w:tcPr>
            <w:tcW w:w="5040" w:type="dxa"/>
            <w:vAlign w:val="bottom"/>
            <w:tcBorders>
              <w:bottom w:val="single" w:sz="8" w:color="53C072"/>
            </w:tcBorders>
            <w:shd w:val="clear" w:color="auto" w:fill="53C072"/>
          </w:tcPr>
          <w:p>
            <w:pPr>
              <w:spacing w:after="0"/>
              <w:rPr>
                <w:sz w:val="19"/>
                <w:szCs w:val="19"/>
                <w:color w:val="auto"/>
              </w:rPr>
            </w:pPr>
          </w:p>
        </w:tc>
        <w:tc>
          <w:tcPr>
            <w:tcW w:w="160" w:type="dxa"/>
            <w:vAlign w:val="bottom"/>
            <w:tcBorders>
              <w:bottom w:val="single" w:sz="8" w:color="53C072"/>
            </w:tcBorders>
            <w:shd w:val="clear" w:color="auto" w:fill="53C072"/>
          </w:tcPr>
          <w:p>
            <w:pPr>
              <w:spacing w:after="0"/>
              <w:rPr>
                <w:sz w:val="19"/>
                <w:szCs w:val="19"/>
                <w:color w:val="auto"/>
              </w:rPr>
            </w:pPr>
          </w:p>
        </w:tc>
        <w:tc>
          <w:tcPr>
            <w:tcW w:w="180" w:type="dxa"/>
            <w:vAlign w:val="bottom"/>
            <w:tcBorders>
              <w:bottom w:val="single" w:sz="8" w:color="53C072"/>
            </w:tcBorders>
            <w:shd w:val="clear" w:color="auto" w:fill="53C072"/>
          </w:tcPr>
          <w:p>
            <w:pPr>
              <w:spacing w:after="0"/>
              <w:rPr>
                <w:sz w:val="19"/>
                <w:szCs w:val="19"/>
                <w:color w:val="auto"/>
              </w:rPr>
            </w:pPr>
          </w:p>
        </w:tc>
        <w:tc>
          <w:tcPr>
            <w:tcW w:w="300" w:type="dxa"/>
            <w:vAlign w:val="bottom"/>
            <w:tcBorders>
              <w:bottom w:val="single" w:sz="8" w:color="53C072"/>
            </w:tcBorders>
            <w:shd w:val="clear" w:color="auto" w:fill="53C072"/>
          </w:tcPr>
          <w:p>
            <w:pPr>
              <w:spacing w:after="0"/>
              <w:rPr>
                <w:sz w:val="19"/>
                <w:szCs w:val="19"/>
                <w:color w:val="auto"/>
              </w:rPr>
            </w:pPr>
          </w:p>
        </w:tc>
        <w:tc>
          <w:tcPr>
            <w:tcW w:w="160" w:type="dxa"/>
            <w:vAlign w:val="bottom"/>
            <w:tcBorders>
              <w:bottom w:val="single" w:sz="8" w:color="auto"/>
            </w:tcBorders>
            <w:shd w:val="clear" w:color="auto" w:fill="53C072"/>
          </w:tcPr>
          <w:p>
            <w:pPr>
              <w:spacing w:after="0"/>
              <w:rPr>
                <w:sz w:val="19"/>
                <w:szCs w:val="19"/>
                <w:color w:val="auto"/>
              </w:rPr>
            </w:pPr>
          </w:p>
        </w:tc>
        <w:tc>
          <w:tcPr>
            <w:tcW w:w="300" w:type="dxa"/>
            <w:vAlign w:val="bottom"/>
            <w:tcBorders>
              <w:bottom w:val="single" w:sz="8" w:color="auto"/>
            </w:tcBorders>
            <w:shd w:val="clear" w:color="auto" w:fill="53C072"/>
          </w:tcPr>
          <w:p>
            <w:pPr>
              <w:spacing w:after="0"/>
              <w:rPr>
                <w:sz w:val="19"/>
                <w:szCs w:val="19"/>
                <w:color w:val="auto"/>
              </w:rPr>
            </w:pPr>
          </w:p>
        </w:tc>
        <w:tc>
          <w:tcPr>
            <w:tcW w:w="460" w:type="dxa"/>
            <w:vAlign w:val="bottom"/>
            <w:tcBorders>
              <w:bottom w:val="single" w:sz="8" w:color="auto"/>
            </w:tcBorders>
            <w:shd w:val="clear" w:color="auto" w:fill="53C072"/>
          </w:tcPr>
          <w:p>
            <w:pPr>
              <w:spacing w:after="0"/>
              <w:rPr>
                <w:sz w:val="19"/>
                <w:szCs w:val="19"/>
                <w:color w:val="auto"/>
              </w:rPr>
            </w:pPr>
          </w:p>
        </w:tc>
        <w:tc>
          <w:tcPr>
            <w:tcW w:w="1320" w:type="dxa"/>
            <w:vAlign w:val="bottom"/>
            <w:tcBorders>
              <w:bottom w:val="single" w:sz="8" w:color="auto"/>
            </w:tcBorders>
            <w:gridSpan w:val="2"/>
            <w:shd w:val="clear" w:color="auto" w:fill="53C072"/>
          </w:tcPr>
          <w:p>
            <w:pPr>
              <w:jc w:val="right"/>
              <w:ind w:right="114"/>
              <w:spacing w:after="0"/>
              <w:rPr>
                <w:sz w:val="20"/>
                <w:szCs w:val="20"/>
                <w:color w:val="auto"/>
              </w:rPr>
            </w:pPr>
            <w:r>
              <w:rPr>
                <w:rFonts w:ascii="Arial" w:cs="Arial" w:eastAsia="Arial" w:hAnsi="Arial"/>
                <w:sz w:val="14"/>
                <w:szCs w:val="14"/>
                <w:b w:val="1"/>
                <w:bCs w:val="1"/>
                <w:color w:val="FEFEFE"/>
              </w:rPr>
              <w:t>Fiscal Year 2022</w:t>
            </w:r>
          </w:p>
        </w:tc>
        <w:tc>
          <w:tcPr>
            <w:tcW w:w="720" w:type="dxa"/>
            <w:vAlign w:val="bottom"/>
            <w:tcBorders>
              <w:bottom w:val="single" w:sz="8" w:color="auto"/>
            </w:tcBorders>
            <w:shd w:val="clear" w:color="auto" w:fill="53C072"/>
          </w:tcPr>
          <w:p>
            <w:pPr>
              <w:spacing w:after="0"/>
              <w:rPr>
                <w:sz w:val="19"/>
                <w:szCs w:val="19"/>
                <w:color w:val="auto"/>
              </w:rPr>
            </w:pPr>
          </w:p>
        </w:tc>
        <w:tc>
          <w:tcPr>
            <w:tcW w:w="20" w:type="dxa"/>
            <w:vAlign w:val="bottom"/>
            <w:tcBorders>
              <w:bottom w:val="single" w:sz="8" w:color="53C072"/>
            </w:tcBorders>
            <w:shd w:val="clear" w:color="auto" w:fill="53C072"/>
          </w:tcPr>
          <w:p>
            <w:pPr>
              <w:spacing w:after="0"/>
              <w:rPr>
                <w:sz w:val="19"/>
                <w:szCs w:val="19"/>
                <w:color w:val="auto"/>
              </w:rPr>
            </w:pPr>
          </w:p>
        </w:tc>
        <w:tc>
          <w:tcPr>
            <w:tcW w:w="100" w:type="dxa"/>
            <w:vAlign w:val="bottom"/>
            <w:tcBorders>
              <w:bottom w:val="single" w:sz="8" w:color="53C072"/>
            </w:tcBorders>
            <w:shd w:val="clear" w:color="auto" w:fill="53C072"/>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40" w:type="dxa"/>
            <w:vAlign w:val="bottom"/>
            <w:shd w:val="clear" w:color="auto" w:fill="53C072"/>
          </w:tcPr>
          <w:p>
            <w:pPr>
              <w:spacing w:after="0"/>
              <w:rPr>
                <w:sz w:val="16"/>
                <w:szCs w:val="16"/>
                <w:color w:val="auto"/>
              </w:rPr>
            </w:pPr>
          </w:p>
        </w:tc>
        <w:tc>
          <w:tcPr>
            <w:tcW w:w="160" w:type="dxa"/>
            <w:vAlign w:val="bottom"/>
            <w:shd w:val="clear" w:color="auto" w:fill="53C072"/>
          </w:tcPr>
          <w:p>
            <w:pPr>
              <w:spacing w:after="0"/>
              <w:rPr>
                <w:sz w:val="16"/>
                <w:szCs w:val="16"/>
                <w:color w:val="auto"/>
              </w:rPr>
            </w:pPr>
          </w:p>
        </w:tc>
        <w:tc>
          <w:tcPr>
            <w:tcW w:w="180" w:type="dxa"/>
            <w:vAlign w:val="bottom"/>
            <w:shd w:val="clear" w:color="auto" w:fill="53C072"/>
          </w:tcPr>
          <w:p>
            <w:pPr>
              <w:spacing w:after="0"/>
              <w:rPr>
                <w:sz w:val="16"/>
                <w:szCs w:val="16"/>
                <w:color w:val="auto"/>
              </w:rPr>
            </w:pPr>
          </w:p>
        </w:tc>
        <w:tc>
          <w:tcPr>
            <w:tcW w:w="300" w:type="dxa"/>
            <w:vAlign w:val="bottom"/>
            <w:shd w:val="clear" w:color="auto" w:fill="53C072"/>
          </w:tcPr>
          <w:p>
            <w:pPr>
              <w:spacing w:after="0"/>
              <w:rPr>
                <w:sz w:val="16"/>
                <w:szCs w:val="16"/>
                <w:color w:val="auto"/>
              </w:rPr>
            </w:pPr>
          </w:p>
        </w:tc>
        <w:tc>
          <w:tcPr>
            <w:tcW w:w="160" w:type="dxa"/>
            <w:vAlign w:val="bottom"/>
            <w:shd w:val="clear" w:color="auto" w:fill="53C072"/>
          </w:tcPr>
          <w:p>
            <w:pPr>
              <w:spacing w:after="0"/>
              <w:rPr>
                <w:sz w:val="16"/>
                <w:szCs w:val="16"/>
                <w:color w:val="auto"/>
              </w:rPr>
            </w:pPr>
          </w:p>
        </w:tc>
        <w:tc>
          <w:tcPr>
            <w:tcW w:w="300" w:type="dxa"/>
            <w:vAlign w:val="bottom"/>
            <w:shd w:val="clear" w:color="auto" w:fill="53C072"/>
          </w:tcPr>
          <w:p>
            <w:pPr>
              <w:spacing w:after="0"/>
              <w:rPr>
                <w:sz w:val="16"/>
                <w:szCs w:val="16"/>
                <w:color w:val="auto"/>
              </w:rPr>
            </w:pPr>
          </w:p>
        </w:tc>
        <w:tc>
          <w:tcPr>
            <w:tcW w:w="460" w:type="dxa"/>
            <w:vAlign w:val="bottom"/>
            <w:shd w:val="clear" w:color="auto" w:fill="53C072"/>
          </w:tcPr>
          <w:p>
            <w:pPr>
              <w:spacing w:after="0"/>
              <w:rPr>
                <w:sz w:val="16"/>
                <w:szCs w:val="16"/>
                <w:color w:val="auto"/>
              </w:rPr>
            </w:pPr>
          </w:p>
        </w:tc>
        <w:tc>
          <w:tcPr>
            <w:tcW w:w="46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c>
          <w:tcPr>
            <w:tcW w:w="740" w:type="dxa"/>
            <w:vAlign w:val="bottom"/>
            <w:gridSpan w:val="2"/>
            <w:shd w:val="clear" w:color="auto" w:fill="53C072"/>
          </w:tcPr>
          <w:p>
            <w:pPr>
              <w:ind w:left="200"/>
              <w:spacing w:after="0"/>
              <w:rPr>
                <w:sz w:val="20"/>
                <w:szCs w:val="20"/>
                <w:color w:val="auto"/>
              </w:rPr>
            </w:pPr>
            <w:r>
              <w:rPr>
                <w:rFonts w:ascii="Arial" w:cs="Arial" w:eastAsia="Arial" w:hAnsi="Arial"/>
                <w:sz w:val="14"/>
                <w:szCs w:val="14"/>
                <w:b w:val="1"/>
                <w:bCs w:val="1"/>
                <w:color w:val="FEFEFE"/>
              </w:rPr>
              <w:t>Diluted</w:t>
            </w:r>
          </w:p>
        </w:tc>
        <w:tc>
          <w:tcPr>
            <w:tcW w:w="100" w:type="dxa"/>
            <w:vAlign w:val="bottom"/>
            <w:shd w:val="clear" w:color="auto" w:fill="53C07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30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7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Operating</w:t>
            </w:r>
          </w:p>
        </w:tc>
        <w:tc>
          <w:tcPr>
            <w:tcW w:w="46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134"/>
              <w:spacing w:after="0"/>
              <w:rPr>
                <w:sz w:val="20"/>
                <w:szCs w:val="20"/>
                <w:color w:val="auto"/>
              </w:rPr>
            </w:pPr>
            <w:r>
              <w:rPr>
                <w:rFonts w:ascii="Arial" w:cs="Arial" w:eastAsia="Arial" w:hAnsi="Arial"/>
                <w:sz w:val="14"/>
                <w:szCs w:val="14"/>
                <w:b w:val="1"/>
                <w:bCs w:val="1"/>
                <w:color w:val="FEFEFE"/>
              </w:rPr>
              <w:t>Net</w:t>
            </w:r>
          </w:p>
        </w:tc>
        <w:tc>
          <w:tcPr>
            <w:tcW w:w="74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Earnings</w:t>
            </w:r>
          </w:p>
        </w:tc>
        <w:tc>
          <w:tcPr>
            <w:tcW w:w="100" w:type="dxa"/>
            <w:vAlign w:val="bottom"/>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53C072"/>
          </w:tcPr>
          <w:p>
            <w:pPr>
              <w:spacing w:after="0"/>
              <w:rPr>
                <w:sz w:val="16"/>
                <w:szCs w:val="16"/>
                <w:color w:val="auto"/>
              </w:rPr>
            </w:pPr>
          </w:p>
        </w:tc>
        <w:tc>
          <w:tcPr>
            <w:tcW w:w="160" w:type="dxa"/>
            <w:vAlign w:val="bottom"/>
            <w:shd w:val="clear" w:color="auto" w:fill="53C072"/>
          </w:tcPr>
          <w:p>
            <w:pPr>
              <w:spacing w:after="0"/>
              <w:rPr>
                <w:sz w:val="16"/>
                <w:szCs w:val="16"/>
                <w:color w:val="auto"/>
              </w:rPr>
            </w:pPr>
          </w:p>
        </w:tc>
        <w:tc>
          <w:tcPr>
            <w:tcW w:w="180" w:type="dxa"/>
            <w:vAlign w:val="bottom"/>
            <w:shd w:val="clear" w:color="auto" w:fill="53C072"/>
          </w:tcPr>
          <w:p>
            <w:pPr>
              <w:spacing w:after="0"/>
              <w:rPr>
                <w:sz w:val="16"/>
                <w:szCs w:val="16"/>
                <w:color w:val="auto"/>
              </w:rPr>
            </w:pPr>
          </w:p>
        </w:tc>
        <w:tc>
          <w:tcPr>
            <w:tcW w:w="300" w:type="dxa"/>
            <w:vAlign w:val="bottom"/>
            <w:shd w:val="clear" w:color="auto" w:fill="53C072"/>
          </w:tcPr>
          <w:p>
            <w:pPr>
              <w:spacing w:after="0"/>
              <w:rPr>
                <w:sz w:val="16"/>
                <w:szCs w:val="16"/>
                <w:color w:val="auto"/>
              </w:rPr>
            </w:pPr>
          </w:p>
        </w:tc>
        <w:tc>
          <w:tcPr>
            <w:tcW w:w="160" w:type="dxa"/>
            <w:vAlign w:val="bottom"/>
            <w:shd w:val="clear" w:color="auto" w:fill="53C072"/>
          </w:tcPr>
          <w:p>
            <w:pPr>
              <w:spacing w:after="0"/>
              <w:rPr>
                <w:sz w:val="16"/>
                <w:szCs w:val="16"/>
                <w:color w:val="auto"/>
              </w:rPr>
            </w:pPr>
          </w:p>
        </w:tc>
        <w:tc>
          <w:tcPr>
            <w:tcW w:w="7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460" w:type="dxa"/>
            <w:vAlign w:val="bottom"/>
            <w:shd w:val="clear" w:color="auto" w:fill="53C072"/>
          </w:tcPr>
          <w:p>
            <w:pPr>
              <w:spacing w:after="0"/>
              <w:rPr>
                <w:sz w:val="16"/>
                <w:szCs w:val="16"/>
                <w:color w:val="auto"/>
              </w:rPr>
            </w:pPr>
          </w:p>
        </w:tc>
        <w:tc>
          <w:tcPr>
            <w:tcW w:w="860" w:type="dxa"/>
            <w:vAlign w:val="bottom"/>
            <w:shd w:val="clear" w:color="auto" w:fill="53C072"/>
          </w:tcPr>
          <w:p>
            <w:pPr>
              <w:jc w:val="right"/>
              <w:ind w:right="94"/>
              <w:spacing w:after="0"/>
              <w:rPr>
                <w:sz w:val="20"/>
                <w:szCs w:val="20"/>
                <w:color w:val="auto"/>
              </w:rPr>
            </w:pPr>
            <w:r>
              <w:rPr>
                <w:rFonts w:ascii="Arial" w:cs="Arial" w:eastAsia="Arial" w:hAnsi="Arial"/>
                <w:sz w:val="14"/>
                <w:szCs w:val="14"/>
                <w:b w:val="1"/>
                <w:bCs w:val="1"/>
                <w:color w:val="FEFEFE"/>
              </w:rPr>
              <w:t>Income</w:t>
            </w:r>
          </w:p>
        </w:tc>
        <w:tc>
          <w:tcPr>
            <w:tcW w:w="74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Per Share</w:t>
            </w:r>
          </w:p>
        </w:tc>
        <w:tc>
          <w:tcPr>
            <w:tcW w:w="100" w:type="dxa"/>
            <w:vAlign w:val="bottom"/>
            <w:shd w:val="clear" w:color="auto" w:fill="53C07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53C072"/>
          </w:tcPr>
          <w:p>
            <w:pPr>
              <w:spacing w:after="0"/>
              <w:rPr>
                <w:sz w:val="19"/>
                <w:szCs w:val="19"/>
                <w:color w:val="auto"/>
              </w:rPr>
            </w:pPr>
          </w:p>
        </w:tc>
        <w:tc>
          <w:tcPr>
            <w:tcW w:w="160" w:type="dxa"/>
            <w:vAlign w:val="bottom"/>
            <w:shd w:val="clear" w:color="auto" w:fill="53C072"/>
          </w:tcPr>
          <w:p>
            <w:pPr>
              <w:spacing w:after="0"/>
              <w:rPr>
                <w:sz w:val="19"/>
                <w:szCs w:val="19"/>
                <w:color w:val="auto"/>
              </w:rPr>
            </w:pPr>
          </w:p>
        </w:tc>
        <w:tc>
          <w:tcPr>
            <w:tcW w:w="180" w:type="dxa"/>
            <w:vAlign w:val="bottom"/>
            <w:shd w:val="clear" w:color="auto" w:fill="53C072"/>
          </w:tcPr>
          <w:p>
            <w:pPr>
              <w:spacing w:after="0"/>
              <w:rPr>
                <w:sz w:val="19"/>
                <w:szCs w:val="19"/>
                <w:color w:val="auto"/>
              </w:rPr>
            </w:pPr>
          </w:p>
        </w:tc>
        <w:tc>
          <w:tcPr>
            <w:tcW w:w="300" w:type="dxa"/>
            <w:vAlign w:val="bottom"/>
            <w:shd w:val="clear" w:color="auto" w:fill="53C072"/>
          </w:tcPr>
          <w:p>
            <w:pPr>
              <w:spacing w:after="0"/>
              <w:rPr>
                <w:sz w:val="19"/>
                <w:szCs w:val="19"/>
                <w:color w:val="auto"/>
              </w:rPr>
            </w:pPr>
          </w:p>
        </w:tc>
        <w:tc>
          <w:tcPr>
            <w:tcW w:w="160" w:type="dxa"/>
            <w:vAlign w:val="bottom"/>
            <w:shd w:val="clear" w:color="auto" w:fill="53C072"/>
          </w:tcPr>
          <w:p>
            <w:pPr>
              <w:spacing w:after="0"/>
              <w:rPr>
                <w:sz w:val="19"/>
                <w:szCs w:val="19"/>
                <w:color w:val="auto"/>
              </w:rPr>
            </w:pPr>
          </w:p>
        </w:tc>
        <w:tc>
          <w:tcPr>
            <w:tcW w:w="300" w:type="dxa"/>
            <w:vAlign w:val="bottom"/>
            <w:shd w:val="clear" w:color="auto" w:fill="53C072"/>
          </w:tcPr>
          <w:p>
            <w:pPr>
              <w:spacing w:after="0"/>
              <w:rPr>
                <w:sz w:val="19"/>
                <w:szCs w:val="19"/>
                <w:color w:val="auto"/>
              </w:rPr>
            </w:pPr>
          </w:p>
        </w:tc>
        <w:tc>
          <w:tcPr>
            <w:tcW w:w="2520" w:type="dxa"/>
            <w:vAlign w:val="bottom"/>
            <w:gridSpan w:val="5"/>
            <w:shd w:val="clear" w:color="auto" w:fill="53C072"/>
          </w:tcPr>
          <w:p>
            <w:pPr>
              <w:ind w:left="160"/>
              <w:spacing w:after="0"/>
              <w:rPr>
                <w:sz w:val="20"/>
                <w:szCs w:val="20"/>
                <w:color w:val="auto"/>
              </w:rPr>
            </w:pPr>
            <w:r>
              <w:rPr>
                <w:rFonts w:ascii="Arial" w:cs="Arial" w:eastAsia="Arial" w:hAnsi="Arial"/>
                <w:sz w:val="14"/>
                <w:szCs w:val="14"/>
                <w:b w:val="1"/>
                <w:bCs w:val="1"/>
                <w:color w:val="FEFEFE"/>
              </w:rPr>
              <w:t>(thousands except per share data)</w:t>
            </w:r>
          </w:p>
        </w:tc>
        <w:tc>
          <w:tcPr>
            <w:tcW w:w="100" w:type="dxa"/>
            <w:vAlign w:val="bottom"/>
            <w:shd w:val="clear" w:color="auto" w:fill="53C07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40" w:type="dxa"/>
            <w:vAlign w:val="bottom"/>
          </w:tcPr>
          <w:p>
            <w:pPr>
              <w:ind w:left="120"/>
              <w:spacing w:after="0"/>
              <w:rPr>
                <w:sz w:val="20"/>
                <w:szCs w:val="20"/>
                <w:color w:val="auto"/>
              </w:rPr>
            </w:pPr>
            <w:r>
              <w:rPr>
                <w:rFonts w:ascii="Arial" w:cs="Arial" w:eastAsia="Arial" w:hAnsi="Arial"/>
                <w:sz w:val="18"/>
                <w:szCs w:val="18"/>
                <w:b w:val="1"/>
                <w:bCs w:val="1"/>
                <w:color w:val="auto"/>
              </w:rPr>
              <w:t>GAAP results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939,011</w:t>
            </w:r>
          </w:p>
        </w:tc>
        <w:tc>
          <w:tcPr>
            <w:tcW w:w="46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b w:val="1"/>
                <w:bCs w:val="1"/>
                <w:color w:val="auto"/>
              </w:rPr>
              <w:t>692,379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6.94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shd w:val="clear" w:color="auto" w:fill="CBECD5"/>
          </w:tcPr>
          <w:p>
            <w:pPr>
              <w:spacing w:after="0"/>
              <w:rPr>
                <w:sz w:val="23"/>
                <w:szCs w:val="23"/>
                <w:color w:val="auto"/>
              </w:rPr>
            </w:pPr>
          </w:p>
        </w:tc>
        <w:tc>
          <w:tcPr>
            <w:tcW w:w="180" w:type="dxa"/>
            <w:vAlign w:val="bottom"/>
            <w:shd w:val="clear" w:color="auto" w:fill="CBECD5"/>
          </w:tcPr>
          <w:p>
            <w:pPr>
              <w:spacing w:after="0"/>
              <w:rPr>
                <w:sz w:val="23"/>
                <w:szCs w:val="23"/>
                <w:color w:val="auto"/>
              </w:rPr>
            </w:pPr>
          </w:p>
        </w:tc>
        <w:tc>
          <w:tcPr>
            <w:tcW w:w="300" w:type="dxa"/>
            <w:vAlign w:val="bottom"/>
            <w:shd w:val="clear" w:color="auto" w:fill="CBECD5"/>
          </w:tcPr>
          <w:p>
            <w:pPr>
              <w:spacing w:after="0"/>
              <w:rPr>
                <w:sz w:val="23"/>
                <w:szCs w:val="23"/>
                <w:color w:val="auto"/>
              </w:rPr>
            </w:pP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BECD5"/>
          </w:tcPr>
          <w:p>
            <w:pPr>
              <w:spacing w:after="0"/>
              <w:rPr>
                <w:sz w:val="23"/>
                <w:szCs w:val="23"/>
                <w:color w:val="auto"/>
              </w:rPr>
            </w:pPr>
          </w:p>
        </w:tc>
        <w:tc>
          <w:tcPr>
            <w:tcW w:w="460" w:type="dxa"/>
            <w:vAlign w:val="bottom"/>
            <w:shd w:val="clear" w:color="auto" w:fill="CBECD5"/>
          </w:tcPr>
          <w:p>
            <w:pPr>
              <w:jc w:val="right"/>
              <w:spacing w:after="0"/>
              <w:rPr>
                <w:sz w:val="20"/>
                <w:szCs w:val="20"/>
                <w:color w:val="auto"/>
              </w:rPr>
            </w:pPr>
            <w:r>
              <w:rPr>
                <w:rFonts w:ascii="Arial" w:cs="Arial" w:eastAsia="Arial" w:hAnsi="Arial"/>
                <w:sz w:val="18"/>
                <w:szCs w:val="18"/>
                <w:color w:val="auto"/>
                <w:w w:val="97"/>
              </w:rPr>
              <w:t>5,272</w:t>
            </w:r>
          </w:p>
        </w:tc>
        <w:tc>
          <w:tcPr>
            <w:tcW w:w="46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94"/>
              <w:spacing w:after="0"/>
              <w:rPr>
                <w:sz w:val="20"/>
                <w:szCs w:val="20"/>
                <w:color w:val="auto"/>
              </w:rPr>
            </w:pPr>
            <w:r>
              <w:rPr>
                <w:rFonts w:ascii="Arial" w:cs="Arial" w:eastAsia="Arial" w:hAnsi="Arial"/>
                <w:sz w:val="18"/>
                <w:szCs w:val="18"/>
                <w:color w:val="auto"/>
              </w:rPr>
              <w:t>4,260</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BECD5"/>
          </w:tcPr>
          <w:p>
            <w:pPr>
              <w:spacing w:after="0"/>
              <w:rPr>
                <w:sz w:val="23"/>
                <w:szCs w:val="23"/>
                <w:color w:val="auto"/>
              </w:rPr>
            </w:pPr>
          </w:p>
        </w:tc>
        <w:tc>
          <w:tcPr>
            <w:tcW w:w="100" w:type="dxa"/>
            <w:vAlign w:val="bottom"/>
            <w:shd w:val="clear" w:color="auto" w:fill="CBECD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20"/>
              <w:spacing w:after="0"/>
              <w:rPr>
                <w:sz w:val="20"/>
                <w:szCs w:val="20"/>
                <w:color w:val="auto"/>
              </w:rPr>
            </w:pPr>
            <w:r>
              <w:rPr>
                <w:rFonts w:ascii="Arial" w:cs="Arial" w:eastAsia="Arial" w:hAnsi="Arial"/>
                <w:sz w:val="18"/>
                <w:szCs w:val="18"/>
                <w:color w:val="auto"/>
              </w:rPr>
              <w:t>Amortization of intangible assets and other</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15,038</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11,958</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Russia-Ukraine conflict related expenses</w:t>
            </w:r>
          </w:p>
        </w:tc>
        <w:tc>
          <w:tcPr>
            <w:tcW w:w="160" w:type="dxa"/>
            <w:vAlign w:val="bottom"/>
            <w:shd w:val="clear" w:color="auto" w:fill="CBECD5"/>
          </w:tcPr>
          <w:p>
            <w:pPr>
              <w:spacing w:after="0"/>
              <w:rPr>
                <w:sz w:val="23"/>
                <w:szCs w:val="23"/>
                <w:color w:val="auto"/>
              </w:rPr>
            </w:pPr>
          </w:p>
        </w:tc>
        <w:tc>
          <w:tcPr>
            <w:tcW w:w="180" w:type="dxa"/>
            <w:vAlign w:val="bottom"/>
            <w:shd w:val="clear" w:color="auto" w:fill="CBECD5"/>
          </w:tcPr>
          <w:p>
            <w:pPr>
              <w:spacing w:after="0"/>
              <w:rPr>
                <w:sz w:val="23"/>
                <w:szCs w:val="23"/>
                <w:color w:val="auto"/>
              </w:rPr>
            </w:pPr>
          </w:p>
        </w:tc>
        <w:tc>
          <w:tcPr>
            <w:tcW w:w="300" w:type="dxa"/>
            <w:vAlign w:val="bottom"/>
            <w:shd w:val="clear" w:color="auto" w:fill="CBECD5"/>
          </w:tcPr>
          <w:p>
            <w:pPr>
              <w:spacing w:after="0"/>
              <w:rPr>
                <w:sz w:val="23"/>
                <w:szCs w:val="23"/>
                <w:color w:val="auto"/>
              </w:rPr>
            </w:pP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BECD5"/>
          </w:tcPr>
          <w:p>
            <w:pPr>
              <w:jc w:val="right"/>
              <w:spacing w:after="0"/>
              <w:rPr>
                <w:sz w:val="20"/>
                <w:szCs w:val="20"/>
                <w:color w:val="auto"/>
              </w:rPr>
            </w:pPr>
            <w:r>
              <w:rPr>
                <w:rFonts w:ascii="Arial" w:cs="Arial" w:eastAsia="Arial" w:hAnsi="Arial"/>
                <w:sz w:val="18"/>
                <w:szCs w:val="18"/>
                <w:color w:val="auto"/>
              </w:rPr>
              <w:t>26,261</w:t>
            </w:r>
          </w:p>
        </w:tc>
        <w:tc>
          <w:tcPr>
            <w:tcW w:w="46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94"/>
              <w:spacing w:after="0"/>
              <w:rPr>
                <w:sz w:val="20"/>
                <w:szCs w:val="20"/>
                <w:color w:val="auto"/>
              </w:rPr>
            </w:pPr>
            <w:r>
              <w:rPr>
                <w:rFonts w:ascii="Arial" w:cs="Arial" w:eastAsia="Arial" w:hAnsi="Arial"/>
                <w:sz w:val="18"/>
                <w:szCs w:val="18"/>
                <w:color w:val="auto"/>
              </w:rPr>
              <w:t>19,425</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BECD5"/>
          </w:tcPr>
          <w:p>
            <w:pPr>
              <w:spacing w:after="0"/>
              <w:rPr>
                <w:sz w:val="23"/>
                <w:szCs w:val="23"/>
                <w:color w:val="auto"/>
              </w:rPr>
            </w:pPr>
          </w:p>
        </w:tc>
        <w:tc>
          <w:tcPr>
            <w:tcW w:w="100" w:type="dxa"/>
            <w:vAlign w:val="bottom"/>
            <w:shd w:val="clear" w:color="auto" w:fill="CBECD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20"/>
              <w:spacing w:after="0"/>
              <w:rPr>
                <w:sz w:val="20"/>
                <w:szCs w:val="20"/>
                <w:color w:val="auto"/>
              </w:rPr>
            </w:pPr>
            <w:r>
              <w:rPr>
                <w:rFonts w:ascii="Arial" w:cs="Arial" w:eastAsia="Arial" w:hAnsi="Arial"/>
                <w:sz w:val="18"/>
                <w:szCs w:val="18"/>
                <w:color w:val="auto"/>
              </w:rPr>
              <w:t>Other special charge expenses</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3,843</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Income tax adjustments</w:t>
            </w:r>
          </w:p>
        </w:tc>
        <w:tc>
          <w:tcPr>
            <w:tcW w:w="160" w:type="dxa"/>
            <w:vAlign w:val="bottom"/>
            <w:shd w:val="clear" w:color="auto" w:fill="CBECD5"/>
          </w:tcPr>
          <w:p>
            <w:pPr>
              <w:spacing w:after="0"/>
              <w:rPr>
                <w:sz w:val="23"/>
                <w:szCs w:val="23"/>
                <w:color w:val="auto"/>
              </w:rPr>
            </w:pPr>
          </w:p>
        </w:tc>
        <w:tc>
          <w:tcPr>
            <w:tcW w:w="180" w:type="dxa"/>
            <w:vAlign w:val="bottom"/>
            <w:shd w:val="clear" w:color="auto" w:fill="CBECD5"/>
          </w:tcPr>
          <w:p>
            <w:pPr>
              <w:spacing w:after="0"/>
              <w:rPr>
                <w:sz w:val="23"/>
                <w:szCs w:val="23"/>
                <w:color w:val="auto"/>
              </w:rPr>
            </w:pPr>
          </w:p>
        </w:tc>
        <w:tc>
          <w:tcPr>
            <w:tcW w:w="300" w:type="dxa"/>
            <w:vAlign w:val="bottom"/>
            <w:shd w:val="clear" w:color="auto" w:fill="CBECD5"/>
          </w:tcPr>
          <w:p>
            <w:pPr>
              <w:spacing w:after="0"/>
              <w:rPr>
                <w:sz w:val="23"/>
                <w:szCs w:val="23"/>
                <w:color w:val="auto"/>
              </w:rPr>
            </w:pP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BECD5"/>
          </w:tcPr>
          <w:p>
            <w:pPr>
              <w:spacing w:after="0"/>
              <w:rPr>
                <w:sz w:val="23"/>
                <w:szCs w:val="23"/>
                <w:color w:val="auto"/>
              </w:rPr>
            </w:pPr>
          </w:p>
        </w:tc>
        <w:tc>
          <w:tcPr>
            <w:tcW w:w="4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(40,376)</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BECD5"/>
          </w:tcPr>
          <w:p>
            <w:pPr>
              <w:spacing w:after="0"/>
              <w:rPr>
                <w:sz w:val="23"/>
                <w:szCs w:val="23"/>
                <w:color w:val="auto"/>
              </w:rPr>
            </w:pPr>
          </w:p>
        </w:tc>
        <w:tc>
          <w:tcPr>
            <w:tcW w:w="100" w:type="dxa"/>
            <w:vAlign w:val="bottom"/>
            <w:shd w:val="clear" w:color="auto" w:fill="CBECD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20"/>
              <w:spacing w:after="0"/>
              <w:rPr>
                <w:sz w:val="20"/>
                <w:szCs w:val="20"/>
                <w:color w:val="auto"/>
              </w:rPr>
            </w:pPr>
            <w:r>
              <w:rPr>
                <w:rFonts w:ascii="Arial" w:cs="Arial" w:eastAsia="Arial" w:hAnsi="Arial"/>
                <w:sz w:val="18"/>
                <w:szCs w:val="18"/>
                <w:color w:val="auto"/>
              </w:rPr>
              <w:t>Total adjustments</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46,571</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(890)</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Adjusted non-GAAP results</w:t>
            </w:r>
          </w:p>
        </w:tc>
        <w:tc>
          <w:tcPr>
            <w:tcW w:w="160" w:type="dxa"/>
            <w:vAlign w:val="bottom"/>
            <w:tcBorders>
              <w:bottom w:val="single" w:sz="8" w:color="53C072"/>
            </w:tcBorders>
            <w:shd w:val="clear" w:color="auto" w:fill="CBECD5"/>
          </w:tcPr>
          <w:p>
            <w:pPr>
              <w:spacing w:after="0"/>
              <w:rPr>
                <w:sz w:val="24"/>
                <w:szCs w:val="24"/>
                <w:color w:val="auto"/>
              </w:rPr>
            </w:pPr>
          </w:p>
        </w:tc>
        <w:tc>
          <w:tcPr>
            <w:tcW w:w="180" w:type="dxa"/>
            <w:vAlign w:val="bottom"/>
            <w:tcBorders>
              <w:bottom w:val="single" w:sz="8" w:color="53C072"/>
            </w:tcBorders>
            <w:shd w:val="clear" w:color="auto" w:fill="CBECD5"/>
          </w:tcPr>
          <w:p>
            <w:pPr>
              <w:spacing w:after="0"/>
              <w:rPr>
                <w:sz w:val="24"/>
                <w:szCs w:val="24"/>
                <w:color w:val="auto"/>
              </w:rPr>
            </w:pPr>
          </w:p>
        </w:tc>
        <w:tc>
          <w:tcPr>
            <w:tcW w:w="300" w:type="dxa"/>
            <w:vAlign w:val="bottom"/>
            <w:tcBorders>
              <w:bottom w:val="single" w:sz="8" w:color="53C072"/>
            </w:tcBorders>
            <w:shd w:val="clear" w:color="auto" w:fill="CBECD5"/>
          </w:tcPr>
          <w:p>
            <w:pPr>
              <w:spacing w:after="0"/>
              <w:rPr>
                <w:sz w:val="24"/>
                <w:szCs w:val="24"/>
                <w:color w:val="auto"/>
              </w:rPr>
            </w:pPr>
          </w:p>
        </w:tc>
        <w:tc>
          <w:tcPr>
            <w:tcW w:w="160" w:type="dxa"/>
            <w:vAlign w:val="bottom"/>
            <w:tcBorders>
              <w:bottom w:val="single" w:sz="8" w:color="53C072"/>
            </w:tcBorders>
            <w:shd w:val="clear" w:color="auto" w:fill="CBECD5"/>
          </w:tcPr>
          <w:p>
            <w:pPr>
              <w:spacing w:after="0" w:line="297"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4"/>
                <w:szCs w:val="34"/>
                <w:b w:val="1"/>
                <w:bCs w:val="1"/>
                <w:color w:val="auto"/>
                <w:vertAlign w:val="superscript"/>
              </w:rPr>
              <w:t>$</w:t>
            </w:r>
          </w:p>
        </w:tc>
        <w:tc>
          <w:tcPr>
            <w:tcW w:w="760" w:type="dxa"/>
            <w:vAlign w:val="bottom"/>
            <w:tcBorders>
              <w:bottom w:val="single" w:sz="8" w:color="53C072"/>
            </w:tcBorders>
            <w:gridSpan w:val="2"/>
            <w:shd w:val="clear" w:color="auto" w:fill="CBECD5"/>
          </w:tcPr>
          <w:p>
            <w:pPr>
              <w:jc w:val="right"/>
              <w:spacing w:after="0"/>
              <w:rPr>
                <w:sz w:val="20"/>
                <w:szCs w:val="20"/>
                <w:color w:val="auto"/>
              </w:rPr>
            </w:pPr>
            <w:r>
              <w:rPr>
                <w:rFonts w:ascii="Arial" w:cs="Arial" w:eastAsia="Arial" w:hAnsi="Arial"/>
                <w:sz w:val="18"/>
                <w:szCs w:val="18"/>
                <w:b w:val="1"/>
                <w:bCs w:val="1"/>
                <w:color w:val="auto"/>
              </w:rPr>
              <w:t>985,582</w:t>
            </w:r>
          </w:p>
        </w:tc>
        <w:tc>
          <w:tcPr>
            <w:tcW w:w="460" w:type="dxa"/>
            <w:vAlign w:val="bottom"/>
            <w:tcBorders>
              <w:bottom w:val="single" w:sz="8" w:color="53C072"/>
            </w:tcBorders>
            <w:shd w:val="clear" w:color="auto" w:fill="CBECD5"/>
          </w:tcPr>
          <w:p>
            <w:pPr>
              <w:ind w:left="220"/>
              <w:spacing w:after="0" w:line="297"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4"/>
                <w:szCs w:val="34"/>
                <w:b w:val="1"/>
                <w:bCs w:val="1"/>
                <w:color w:val="auto"/>
                <w:vertAlign w:val="superscript"/>
              </w:rPr>
              <w:t>$</w:t>
            </w:r>
          </w:p>
        </w:tc>
        <w:tc>
          <w:tcPr>
            <w:tcW w:w="860" w:type="dxa"/>
            <w:vAlign w:val="bottom"/>
            <w:tcBorders>
              <w:bottom w:val="single" w:sz="8" w:color="53C072"/>
            </w:tcBorders>
            <w:shd w:val="clear" w:color="auto" w:fill="CBECD5"/>
          </w:tcPr>
          <w:p>
            <w:pPr>
              <w:jc w:val="right"/>
              <w:ind w:right="94"/>
              <w:spacing w:after="0"/>
              <w:rPr>
                <w:sz w:val="20"/>
                <w:szCs w:val="20"/>
                <w:color w:val="auto"/>
              </w:rPr>
            </w:pPr>
            <w:r>
              <w:rPr>
                <w:rFonts w:ascii="Arial" w:cs="Arial" w:eastAsia="Arial" w:hAnsi="Arial"/>
                <w:sz w:val="18"/>
                <w:szCs w:val="18"/>
                <w:b w:val="1"/>
                <w:bCs w:val="1"/>
                <w:color w:val="auto"/>
              </w:rPr>
              <w:t>691,489</w:t>
            </w:r>
          </w:p>
        </w:tc>
        <w:tc>
          <w:tcPr>
            <w:tcW w:w="72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$6.93</w:t>
            </w:r>
          </w:p>
        </w:tc>
        <w:tc>
          <w:tcPr>
            <w:tcW w:w="20" w:type="dxa"/>
            <w:vAlign w:val="bottom"/>
            <w:tcBorders>
              <w:bottom w:val="single" w:sz="8" w:color="53C072"/>
            </w:tcBorders>
            <w:shd w:val="clear" w:color="auto" w:fill="CBECD5"/>
          </w:tcPr>
          <w:p>
            <w:pPr>
              <w:spacing w:after="0"/>
              <w:rPr>
                <w:sz w:val="24"/>
                <w:szCs w:val="24"/>
                <w:color w:val="auto"/>
              </w:rPr>
            </w:pPr>
          </w:p>
        </w:tc>
        <w:tc>
          <w:tcPr>
            <w:tcW w:w="100" w:type="dxa"/>
            <w:vAlign w:val="bottom"/>
            <w:tcBorders>
              <w:bottom w:val="single" w:sz="8" w:color="53C072"/>
            </w:tcBorders>
            <w:shd w:val="clear" w:color="auto" w:fill="CBECD5"/>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53C072"/>
            </w:tcBorders>
            <w:shd w:val="clear" w:color="auto" w:fill="53C072"/>
          </w:tcPr>
          <w:p>
            <w:pPr>
              <w:spacing w:after="0"/>
              <w:rPr>
                <w:sz w:val="20"/>
                <w:szCs w:val="20"/>
                <w:color w:val="auto"/>
              </w:rPr>
            </w:pPr>
          </w:p>
        </w:tc>
        <w:tc>
          <w:tcPr>
            <w:tcW w:w="160" w:type="dxa"/>
            <w:vAlign w:val="bottom"/>
            <w:tcBorders>
              <w:bottom w:val="single" w:sz="8" w:color="53C072"/>
            </w:tcBorders>
            <w:shd w:val="clear" w:color="auto" w:fill="53C072"/>
          </w:tcPr>
          <w:p>
            <w:pPr>
              <w:spacing w:after="0"/>
              <w:rPr>
                <w:sz w:val="20"/>
                <w:szCs w:val="20"/>
                <w:color w:val="auto"/>
              </w:rPr>
            </w:pPr>
          </w:p>
        </w:tc>
        <w:tc>
          <w:tcPr>
            <w:tcW w:w="180" w:type="dxa"/>
            <w:vAlign w:val="bottom"/>
            <w:tcBorders>
              <w:bottom w:val="single" w:sz="8" w:color="auto"/>
            </w:tcBorders>
            <w:shd w:val="clear" w:color="auto" w:fill="53C072"/>
          </w:tcPr>
          <w:p>
            <w:pPr>
              <w:spacing w:after="0"/>
              <w:rPr>
                <w:sz w:val="20"/>
                <w:szCs w:val="20"/>
                <w:color w:val="auto"/>
              </w:rPr>
            </w:pPr>
          </w:p>
        </w:tc>
        <w:tc>
          <w:tcPr>
            <w:tcW w:w="300" w:type="dxa"/>
            <w:vAlign w:val="bottom"/>
            <w:tcBorders>
              <w:bottom w:val="single" w:sz="8" w:color="auto"/>
            </w:tcBorders>
            <w:shd w:val="clear" w:color="auto" w:fill="53C072"/>
          </w:tcPr>
          <w:p>
            <w:pPr>
              <w:spacing w:after="0"/>
              <w:rPr>
                <w:sz w:val="20"/>
                <w:szCs w:val="20"/>
                <w:color w:val="auto"/>
              </w:rPr>
            </w:pPr>
          </w:p>
        </w:tc>
        <w:tc>
          <w:tcPr>
            <w:tcW w:w="160" w:type="dxa"/>
            <w:vAlign w:val="bottom"/>
            <w:tcBorders>
              <w:bottom w:val="single" w:sz="8" w:color="auto"/>
            </w:tcBorders>
            <w:shd w:val="clear" w:color="auto" w:fill="53C072"/>
          </w:tcPr>
          <w:p>
            <w:pPr>
              <w:spacing w:after="0"/>
              <w:rPr>
                <w:sz w:val="20"/>
                <w:szCs w:val="20"/>
                <w:color w:val="auto"/>
              </w:rPr>
            </w:pPr>
          </w:p>
        </w:tc>
        <w:tc>
          <w:tcPr>
            <w:tcW w:w="300" w:type="dxa"/>
            <w:vAlign w:val="bottom"/>
            <w:tcBorders>
              <w:bottom w:val="single" w:sz="8" w:color="auto"/>
            </w:tcBorders>
            <w:shd w:val="clear" w:color="auto" w:fill="53C072"/>
          </w:tcPr>
          <w:p>
            <w:pPr>
              <w:spacing w:after="0"/>
              <w:rPr>
                <w:sz w:val="20"/>
                <w:szCs w:val="20"/>
                <w:color w:val="auto"/>
              </w:rPr>
            </w:pPr>
          </w:p>
        </w:tc>
        <w:tc>
          <w:tcPr>
            <w:tcW w:w="1780" w:type="dxa"/>
            <w:vAlign w:val="bottom"/>
            <w:tcBorders>
              <w:bottom w:val="single" w:sz="8" w:color="auto"/>
            </w:tcBorders>
            <w:gridSpan w:val="3"/>
            <w:shd w:val="clear" w:color="auto" w:fill="53C072"/>
          </w:tcPr>
          <w:p>
            <w:pPr>
              <w:jc w:val="right"/>
              <w:ind w:right="354"/>
              <w:spacing w:after="0"/>
              <w:rPr>
                <w:sz w:val="20"/>
                <w:szCs w:val="20"/>
                <w:color w:val="auto"/>
              </w:rPr>
            </w:pPr>
            <w:r>
              <w:rPr>
                <w:rFonts w:ascii="Arial" w:cs="Arial" w:eastAsia="Arial" w:hAnsi="Arial"/>
                <w:sz w:val="14"/>
                <w:szCs w:val="14"/>
                <w:b w:val="1"/>
                <w:bCs w:val="1"/>
                <w:color w:val="FEFEFE"/>
              </w:rPr>
              <w:t>Fiscal Year 2021</w:t>
            </w:r>
          </w:p>
        </w:tc>
        <w:tc>
          <w:tcPr>
            <w:tcW w:w="720" w:type="dxa"/>
            <w:vAlign w:val="bottom"/>
            <w:tcBorders>
              <w:bottom w:val="single" w:sz="8" w:color="auto"/>
            </w:tcBorders>
            <w:shd w:val="clear" w:color="auto" w:fill="53C072"/>
          </w:tcPr>
          <w:p>
            <w:pPr>
              <w:spacing w:after="0"/>
              <w:rPr>
                <w:sz w:val="20"/>
                <w:szCs w:val="20"/>
                <w:color w:val="auto"/>
              </w:rPr>
            </w:pPr>
          </w:p>
        </w:tc>
        <w:tc>
          <w:tcPr>
            <w:tcW w:w="20" w:type="dxa"/>
            <w:vAlign w:val="bottom"/>
            <w:tcBorders>
              <w:bottom w:val="single" w:sz="8" w:color="auto"/>
            </w:tcBorders>
            <w:shd w:val="clear" w:color="auto" w:fill="53C072"/>
          </w:tcPr>
          <w:p>
            <w:pPr>
              <w:spacing w:after="0"/>
              <w:rPr>
                <w:sz w:val="20"/>
                <w:szCs w:val="20"/>
                <w:color w:val="auto"/>
              </w:rPr>
            </w:pPr>
          </w:p>
        </w:tc>
        <w:tc>
          <w:tcPr>
            <w:tcW w:w="100" w:type="dxa"/>
            <w:vAlign w:val="bottom"/>
            <w:tcBorders>
              <w:bottom w:val="single" w:sz="8" w:color="53C072"/>
            </w:tcBorders>
            <w:shd w:val="clear" w:color="auto" w:fill="53C07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53C072"/>
          </w:tcPr>
          <w:p>
            <w:pPr>
              <w:spacing w:after="0"/>
              <w:rPr>
                <w:sz w:val="17"/>
                <w:szCs w:val="17"/>
                <w:color w:val="auto"/>
              </w:rPr>
            </w:pPr>
          </w:p>
        </w:tc>
        <w:tc>
          <w:tcPr>
            <w:tcW w:w="160" w:type="dxa"/>
            <w:vAlign w:val="bottom"/>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300" w:type="dxa"/>
            <w:vAlign w:val="bottom"/>
            <w:shd w:val="clear" w:color="auto" w:fill="53C072"/>
          </w:tcPr>
          <w:p>
            <w:pPr>
              <w:spacing w:after="0"/>
              <w:rPr>
                <w:sz w:val="17"/>
                <w:szCs w:val="17"/>
                <w:color w:val="auto"/>
              </w:rPr>
            </w:pPr>
          </w:p>
        </w:tc>
        <w:tc>
          <w:tcPr>
            <w:tcW w:w="160" w:type="dxa"/>
            <w:vAlign w:val="bottom"/>
            <w:shd w:val="clear" w:color="auto" w:fill="53C072"/>
          </w:tcPr>
          <w:p>
            <w:pPr>
              <w:spacing w:after="0"/>
              <w:rPr>
                <w:sz w:val="17"/>
                <w:szCs w:val="17"/>
                <w:color w:val="auto"/>
              </w:rPr>
            </w:pPr>
          </w:p>
        </w:tc>
        <w:tc>
          <w:tcPr>
            <w:tcW w:w="300" w:type="dxa"/>
            <w:vAlign w:val="bottom"/>
            <w:shd w:val="clear" w:color="auto" w:fill="53C072"/>
          </w:tcPr>
          <w:p>
            <w:pPr>
              <w:spacing w:after="0"/>
              <w:rPr>
                <w:sz w:val="17"/>
                <w:szCs w:val="17"/>
                <w:color w:val="auto"/>
              </w:rPr>
            </w:pPr>
          </w:p>
        </w:tc>
        <w:tc>
          <w:tcPr>
            <w:tcW w:w="460" w:type="dxa"/>
            <w:vAlign w:val="bottom"/>
            <w:shd w:val="clear" w:color="auto" w:fill="53C072"/>
          </w:tcPr>
          <w:p>
            <w:pPr>
              <w:spacing w:after="0"/>
              <w:rPr>
                <w:sz w:val="17"/>
                <w:szCs w:val="17"/>
                <w:color w:val="auto"/>
              </w:rPr>
            </w:pPr>
          </w:p>
        </w:tc>
        <w:tc>
          <w:tcPr>
            <w:tcW w:w="460" w:type="dxa"/>
            <w:vAlign w:val="bottom"/>
            <w:shd w:val="clear" w:color="auto" w:fill="53C072"/>
          </w:tcPr>
          <w:p>
            <w:pPr>
              <w:spacing w:after="0"/>
              <w:rPr>
                <w:sz w:val="17"/>
                <w:szCs w:val="17"/>
                <w:color w:val="auto"/>
              </w:rPr>
            </w:pPr>
          </w:p>
        </w:tc>
        <w:tc>
          <w:tcPr>
            <w:tcW w:w="860" w:type="dxa"/>
            <w:vAlign w:val="bottom"/>
            <w:shd w:val="clear" w:color="auto" w:fill="53C072"/>
          </w:tcPr>
          <w:p>
            <w:pPr>
              <w:spacing w:after="0"/>
              <w:rPr>
                <w:sz w:val="17"/>
                <w:szCs w:val="17"/>
                <w:color w:val="auto"/>
              </w:rPr>
            </w:pPr>
          </w:p>
        </w:tc>
        <w:tc>
          <w:tcPr>
            <w:tcW w:w="740" w:type="dxa"/>
            <w:vAlign w:val="bottom"/>
            <w:gridSpan w:val="2"/>
            <w:shd w:val="clear" w:color="auto" w:fill="53C072"/>
          </w:tcPr>
          <w:p>
            <w:pPr>
              <w:ind w:left="200"/>
              <w:spacing w:after="0"/>
              <w:rPr>
                <w:sz w:val="20"/>
                <w:szCs w:val="20"/>
                <w:color w:val="auto"/>
              </w:rPr>
            </w:pPr>
            <w:r>
              <w:rPr>
                <w:rFonts w:ascii="Arial" w:cs="Arial" w:eastAsia="Arial" w:hAnsi="Arial"/>
                <w:sz w:val="14"/>
                <w:szCs w:val="14"/>
                <w:b w:val="1"/>
                <w:bCs w:val="1"/>
                <w:color w:val="FEFEFE"/>
              </w:rPr>
              <w:t>Diluted</w:t>
            </w:r>
          </w:p>
        </w:tc>
        <w:tc>
          <w:tcPr>
            <w:tcW w:w="100" w:type="dxa"/>
            <w:vAlign w:val="bottom"/>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760" w:type="dxa"/>
            <w:vAlign w:val="bottom"/>
            <w:gridSpan w:val="3"/>
            <w:shd w:val="clear" w:color="auto" w:fill="53C072"/>
          </w:tcPr>
          <w:p>
            <w:pPr>
              <w:jc w:val="right"/>
              <w:spacing w:after="0"/>
              <w:rPr>
                <w:sz w:val="20"/>
                <w:szCs w:val="20"/>
                <w:color w:val="auto"/>
              </w:rPr>
            </w:pPr>
            <w:r>
              <w:rPr>
                <w:rFonts w:ascii="Arial" w:cs="Arial" w:eastAsia="Arial" w:hAnsi="Arial"/>
                <w:sz w:val="14"/>
                <w:szCs w:val="14"/>
                <w:b w:val="1"/>
                <w:bCs w:val="1"/>
                <w:color w:val="FEFEFE"/>
              </w:rPr>
              <w:t>Operating</w:t>
            </w:r>
          </w:p>
        </w:tc>
        <w:tc>
          <w:tcPr>
            <w:tcW w:w="460" w:type="dxa"/>
            <w:vAlign w:val="bottom"/>
            <w:shd w:val="clear" w:color="auto" w:fill="53C072"/>
          </w:tcPr>
          <w:p>
            <w:pPr>
              <w:spacing w:after="0"/>
              <w:rPr>
                <w:sz w:val="14"/>
                <w:szCs w:val="14"/>
                <w:color w:val="auto"/>
              </w:rPr>
            </w:pPr>
          </w:p>
        </w:tc>
        <w:tc>
          <w:tcPr>
            <w:tcW w:w="46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Net</w:t>
            </w:r>
          </w:p>
        </w:tc>
        <w:tc>
          <w:tcPr>
            <w:tcW w:w="74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Earnings</w:t>
            </w:r>
          </w:p>
        </w:tc>
        <w:tc>
          <w:tcPr>
            <w:tcW w:w="100" w:type="dxa"/>
            <w:vAlign w:val="bottom"/>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53C072"/>
          </w:tcPr>
          <w:p>
            <w:pPr>
              <w:spacing w:after="0"/>
              <w:rPr>
                <w:sz w:val="15"/>
                <w:szCs w:val="15"/>
                <w:color w:val="auto"/>
              </w:rPr>
            </w:pPr>
          </w:p>
        </w:tc>
        <w:tc>
          <w:tcPr>
            <w:tcW w:w="16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760" w:type="dxa"/>
            <w:vAlign w:val="bottom"/>
            <w:gridSpan w:val="3"/>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460" w:type="dxa"/>
            <w:vAlign w:val="bottom"/>
            <w:shd w:val="clear" w:color="auto" w:fill="53C072"/>
          </w:tcPr>
          <w:p>
            <w:pPr>
              <w:spacing w:after="0"/>
              <w:rPr>
                <w:sz w:val="15"/>
                <w:szCs w:val="15"/>
                <w:color w:val="auto"/>
              </w:rPr>
            </w:pPr>
          </w:p>
        </w:tc>
        <w:tc>
          <w:tcPr>
            <w:tcW w:w="460" w:type="dxa"/>
            <w:vAlign w:val="bottom"/>
            <w:shd w:val="clear" w:color="auto" w:fill="53C072"/>
          </w:tcPr>
          <w:p>
            <w:pPr>
              <w:spacing w:after="0"/>
              <w:rPr>
                <w:sz w:val="15"/>
                <w:szCs w:val="15"/>
                <w:color w:val="auto"/>
              </w:rPr>
            </w:pPr>
          </w:p>
        </w:tc>
        <w:tc>
          <w:tcPr>
            <w:tcW w:w="86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Income</w:t>
            </w:r>
          </w:p>
        </w:tc>
        <w:tc>
          <w:tcPr>
            <w:tcW w:w="74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Per Share</w:t>
            </w:r>
          </w:p>
        </w:tc>
        <w:tc>
          <w:tcPr>
            <w:tcW w:w="100" w:type="dxa"/>
            <w:vAlign w:val="bottom"/>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53C072"/>
          </w:tcPr>
          <w:p>
            <w:pPr>
              <w:spacing w:after="0"/>
              <w:rPr>
                <w:sz w:val="18"/>
                <w:szCs w:val="18"/>
                <w:color w:val="auto"/>
              </w:rPr>
            </w:pPr>
          </w:p>
        </w:tc>
        <w:tc>
          <w:tcPr>
            <w:tcW w:w="160" w:type="dxa"/>
            <w:vAlign w:val="bottom"/>
            <w:shd w:val="clear" w:color="auto" w:fill="53C072"/>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300" w:type="dxa"/>
            <w:vAlign w:val="bottom"/>
            <w:shd w:val="clear" w:color="auto" w:fill="53C072"/>
          </w:tcPr>
          <w:p>
            <w:pPr>
              <w:spacing w:after="0"/>
              <w:rPr>
                <w:sz w:val="18"/>
                <w:szCs w:val="18"/>
                <w:color w:val="auto"/>
              </w:rPr>
            </w:pPr>
          </w:p>
        </w:tc>
        <w:tc>
          <w:tcPr>
            <w:tcW w:w="160" w:type="dxa"/>
            <w:vAlign w:val="bottom"/>
            <w:shd w:val="clear" w:color="auto" w:fill="53C072"/>
          </w:tcPr>
          <w:p>
            <w:pPr>
              <w:spacing w:after="0"/>
              <w:rPr>
                <w:sz w:val="18"/>
                <w:szCs w:val="18"/>
                <w:color w:val="auto"/>
              </w:rPr>
            </w:pPr>
          </w:p>
        </w:tc>
        <w:tc>
          <w:tcPr>
            <w:tcW w:w="300" w:type="dxa"/>
            <w:vAlign w:val="bottom"/>
            <w:shd w:val="clear" w:color="auto" w:fill="53C072"/>
          </w:tcPr>
          <w:p>
            <w:pPr>
              <w:spacing w:after="0"/>
              <w:rPr>
                <w:sz w:val="18"/>
                <w:szCs w:val="18"/>
                <w:color w:val="auto"/>
              </w:rPr>
            </w:pPr>
          </w:p>
        </w:tc>
        <w:tc>
          <w:tcPr>
            <w:tcW w:w="2520" w:type="dxa"/>
            <w:vAlign w:val="bottom"/>
            <w:gridSpan w:val="5"/>
            <w:shd w:val="clear" w:color="auto" w:fill="53C072"/>
          </w:tcPr>
          <w:p>
            <w:pPr>
              <w:ind w:left="180"/>
              <w:spacing w:after="0"/>
              <w:rPr>
                <w:sz w:val="20"/>
                <w:szCs w:val="20"/>
                <w:color w:val="auto"/>
              </w:rPr>
            </w:pPr>
            <w:r>
              <w:rPr>
                <w:rFonts w:ascii="Arial" w:cs="Arial" w:eastAsia="Arial" w:hAnsi="Arial"/>
                <w:sz w:val="14"/>
                <w:szCs w:val="14"/>
                <w:b w:val="1"/>
                <w:bCs w:val="1"/>
                <w:color w:val="FEFEFE"/>
              </w:rPr>
              <w:t>(thousands except per share data)</w:t>
            </w:r>
          </w:p>
        </w:tc>
        <w:tc>
          <w:tcPr>
            <w:tcW w:w="100" w:type="dxa"/>
            <w:vAlign w:val="bottom"/>
            <w:shd w:val="clear" w:color="auto" w:fill="53C07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​GAAP results</w:t>
            </w:r>
          </w:p>
        </w:tc>
        <w:tc>
          <w:tcPr>
            <w:tcW w:w="1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281,408</w:t>
            </w:r>
          </w:p>
        </w:tc>
        <w:tc>
          <w:tcPr>
            <w:tcW w:w="46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193,114</w:t>
            </w: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rPr>
              <w:t>$  1.93 ​</w:t>
            </w:r>
          </w:p>
        </w:tc>
        <w:tc>
          <w:tcPr>
            <w:tcW w:w="0" w:type="dxa"/>
            <w:vAlign w:val="bottom"/>
          </w:tcPr>
          <w:p>
            <w:pPr>
              <w:spacing w:after="0"/>
              <w:rPr>
                <w:sz w:val="1"/>
                <w:szCs w:val="1"/>
                <w:color w:val="auto"/>
              </w:rPr>
            </w:pPr>
          </w:p>
        </w:tc>
      </w:tr>
      <w:tr>
        <w:trPr>
          <w:trHeight w:val="243"/>
        </w:trPr>
        <w:tc>
          <w:tcPr>
            <w:tcW w:w="5040" w:type="dxa"/>
            <w:vAlign w:val="bottom"/>
            <w:shd w:val="clear" w:color="auto" w:fill="CBECD5"/>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shd w:val="clear" w:color="auto" w:fill="CBECD5"/>
          </w:tcPr>
          <w:p>
            <w:pPr>
              <w:spacing w:after="0"/>
              <w:rPr>
                <w:sz w:val="21"/>
                <w:szCs w:val="21"/>
                <w:color w:val="auto"/>
              </w:rPr>
            </w:pPr>
          </w:p>
        </w:tc>
        <w:tc>
          <w:tcPr>
            <w:tcW w:w="1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BECD5"/>
          </w:tcPr>
          <w:p>
            <w:pPr>
              <w:jc w:val="right"/>
              <w:spacing w:after="0"/>
              <w:rPr>
                <w:sz w:val="20"/>
                <w:szCs w:val="20"/>
                <w:color w:val="auto"/>
              </w:rPr>
            </w:pPr>
            <w:r>
              <w:rPr>
                <w:rFonts w:ascii="Arial" w:cs="Arial" w:eastAsia="Arial" w:hAnsi="Arial"/>
                <w:sz w:val="18"/>
                <w:szCs w:val="18"/>
                <w:color w:val="auto"/>
              </w:rPr>
              <w:t>84,391</w:t>
            </w:r>
          </w:p>
        </w:tc>
        <w:tc>
          <w:tcPr>
            <w:tcW w:w="4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BECD5"/>
          </w:tcPr>
          <w:p>
            <w:pPr>
              <w:spacing w:after="0"/>
              <w:rPr>
                <w:sz w:val="21"/>
                <w:szCs w:val="21"/>
                <w:color w:val="auto"/>
              </w:rPr>
            </w:pPr>
          </w:p>
        </w:tc>
        <w:tc>
          <w:tcPr>
            <w:tcW w:w="86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66,923</w:t>
            </w:r>
          </w:p>
        </w:tc>
        <w:tc>
          <w:tcPr>
            <w:tcW w:w="840" w:type="dxa"/>
            <w:vAlign w:val="bottom"/>
            <w:gridSpan w:val="3"/>
            <w:shd w:val="clear" w:color="auto" w:fill="CBECD5"/>
          </w:tcPr>
          <w:p>
            <w:pPr>
              <w:jc w:val="right"/>
              <w:spacing w:after="0"/>
              <w:rPr>
                <w:sz w:val="20"/>
                <w:szCs w:val="20"/>
                <w:color w:val="auto"/>
              </w:rPr>
            </w:pPr>
            <w:r>
              <w:rPr>
                <w:rFonts w:ascii="Arial" w:cs="Arial" w:eastAsia="Arial" w:hAnsi="Arial"/>
                <w:sz w:val="18"/>
                <w:szCs w:val="18"/>
                <w:color w:val="auto"/>
              </w:rPr>
              <w:t>0.67 ​</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 intangible assets and other</w:t>
            </w:r>
          </w:p>
        </w:tc>
        <w:tc>
          <w:tcPr>
            <w:tcW w:w="1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41,245</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32,146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0.32 ​</w:t>
            </w:r>
          </w:p>
        </w:tc>
        <w:tc>
          <w:tcPr>
            <w:tcW w:w="0" w:type="dxa"/>
            <w:vAlign w:val="bottom"/>
          </w:tcPr>
          <w:p>
            <w:pPr>
              <w:spacing w:after="0"/>
              <w:rPr>
                <w:sz w:val="1"/>
                <w:szCs w:val="1"/>
                <w:color w:val="auto"/>
              </w:rPr>
            </w:pPr>
          </w:p>
        </w:tc>
      </w:tr>
      <w:tr>
        <w:trPr>
          <w:trHeight w:val="243"/>
        </w:trPr>
        <w:tc>
          <w:tcPr>
            <w:tcW w:w="5040" w:type="dxa"/>
            <w:vAlign w:val="bottom"/>
            <w:shd w:val="clear" w:color="auto" w:fill="CBECD5"/>
          </w:tcPr>
          <w:p>
            <w:pPr>
              <w:ind w:left="4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BECD5"/>
          </w:tcPr>
          <w:p>
            <w:pPr>
              <w:spacing w:after="0"/>
              <w:rPr>
                <w:sz w:val="21"/>
                <w:szCs w:val="21"/>
                <w:color w:val="auto"/>
              </w:rPr>
            </w:pPr>
          </w:p>
        </w:tc>
        <w:tc>
          <w:tcPr>
            <w:tcW w:w="1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BECD5"/>
          </w:tcPr>
          <w:p>
            <w:pPr>
              <w:spacing w:after="0"/>
              <w:rPr>
                <w:sz w:val="21"/>
                <w:szCs w:val="21"/>
                <w:color w:val="auto"/>
              </w:rPr>
            </w:pPr>
          </w:p>
        </w:tc>
        <w:tc>
          <w:tcPr>
            <w:tcW w:w="160" w:type="dxa"/>
            <w:vAlign w:val="bottom"/>
            <w:shd w:val="clear" w:color="auto" w:fill="CBECD5"/>
          </w:tcPr>
          <w:p>
            <w:pPr>
              <w:spacing w:after="0"/>
              <w:rPr>
                <w:sz w:val="21"/>
                <w:szCs w:val="21"/>
                <w:color w:val="auto"/>
              </w:rPr>
            </w:pPr>
          </w:p>
        </w:tc>
        <w:tc>
          <w:tcPr>
            <w:tcW w:w="3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BECD5"/>
          </w:tcPr>
          <w:p>
            <w:pPr>
              <w:spacing w:after="0"/>
              <w:rPr>
                <w:sz w:val="21"/>
                <w:szCs w:val="21"/>
                <w:color w:val="auto"/>
              </w:rPr>
            </w:pPr>
          </w:p>
        </w:tc>
        <w:tc>
          <w:tcPr>
            <w:tcW w:w="86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20,323</w:t>
            </w:r>
          </w:p>
        </w:tc>
        <w:tc>
          <w:tcPr>
            <w:tcW w:w="840" w:type="dxa"/>
            <w:vAlign w:val="bottom"/>
            <w:gridSpan w:val="3"/>
            <w:shd w:val="clear" w:color="auto" w:fill="CBECD5"/>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adjustments</w:t>
            </w:r>
          </w:p>
        </w:tc>
        <w:tc>
          <w:tcPr>
            <w:tcW w:w="1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(41,275)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43"/>
        </w:trPr>
        <w:tc>
          <w:tcPr>
            <w:tcW w:w="5040" w:type="dxa"/>
            <w:vAlign w:val="bottom"/>
            <w:shd w:val="clear" w:color="auto" w:fill="CBECD5"/>
          </w:tcPr>
          <w:p>
            <w:pPr>
              <w:ind w:left="40"/>
              <w:spacing w:after="0"/>
              <w:rPr>
                <w:sz w:val="20"/>
                <w:szCs w:val="20"/>
                <w:color w:val="auto"/>
              </w:rPr>
            </w:pPr>
            <w:r>
              <w:rPr>
                <w:rFonts w:ascii="Arial" w:cs="Arial" w:eastAsia="Arial" w:hAnsi="Arial"/>
                <w:sz w:val="18"/>
                <w:szCs w:val="18"/>
                <w:color w:val="auto"/>
              </w:rPr>
              <w:t>​Total adjustments</w:t>
            </w:r>
          </w:p>
        </w:tc>
        <w:tc>
          <w:tcPr>
            <w:tcW w:w="160" w:type="dxa"/>
            <w:vAlign w:val="bottom"/>
            <w:shd w:val="clear" w:color="auto" w:fill="CBECD5"/>
          </w:tcPr>
          <w:p>
            <w:pPr>
              <w:spacing w:after="0"/>
              <w:rPr>
                <w:sz w:val="21"/>
                <w:szCs w:val="21"/>
                <w:color w:val="auto"/>
              </w:rPr>
            </w:pPr>
          </w:p>
        </w:tc>
        <w:tc>
          <w:tcPr>
            <w:tcW w:w="1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BECD5"/>
          </w:tcPr>
          <w:p>
            <w:pPr>
              <w:jc w:val="right"/>
              <w:spacing w:after="0"/>
              <w:rPr>
                <w:sz w:val="20"/>
                <w:szCs w:val="20"/>
                <w:color w:val="auto"/>
              </w:rPr>
            </w:pPr>
            <w:r>
              <w:rPr>
                <w:rFonts w:ascii="Arial" w:cs="Arial" w:eastAsia="Arial" w:hAnsi="Arial"/>
                <w:sz w:val="18"/>
                <w:szCs w:val="18"/>
                <w:color w:val="auto"/>
              </w:rPr>
              <w:t>125,636</w:t>
            </w:r>
          </w:p>
        </w:tc>
        <w:tc>
          <w:tcPr>
            <w:tcW w:w="460" w:type="dxa"/>
            <w:vAlign w:val="bottom"/>
            <w:shd w:val="clear" w:color="auto" w:fill="CBECD5"/>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BECD5"/>
          </w:tcPr>
          <w:p>
            <w:pPr>
              <w:spacing w:after="0"/>
              <w:rPr>
                <w:sz w:val="21"/>
                <w:szCs w:val="21"/>
                <w:color w:val="auto"/>
              </w:rPr>
            </w:pPr>
          </w:p>
        </w:tc>
        <w:tc>
          <w:tcPr>
            <w:tcW w:w="86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78,117</w:t>
            </w:r>
          </w:p>
        </w:tc>
        <w:tc>
          <w:tcPr>
            <w:tcW w:w="840" w:type="dxa"/>
            <w:vAlign w:val="bottom"/>
            <w:gridSpan w:val="3"/>
            <w:shd w:val="clear" w:color="auto" w:fill="CBECD5"/>
          </w:tcPr>
          <w:p>
            <w:pPr>
              <w:jc w:val="right"/>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16"/>
        </w:trPr>
        <w:tc>
          <w:tcPr>
            <w:tcW w:w="5040" w:type="dxa"/>
            <w:vAlign w:val="bottom"/>
          </w:tcPr>
          <w:p>
            <w:pPr>
              <w:ind w:left="80"/>
              <w:spacing w:after="0"/>
              <w:rPr>
                <w:sz w:val="20"/>
                <w:szCs w:val="20"/>
                <w:color w:val="auto"/>
              </w:rPr>
            </w:pPr>
            <w:r>
              <w:rPr>
                <w:rFonts w:ascii="Arial" w:cs="Arial" w:eastAsia="Arial" w:hAnsi="Arial"/>
                <w:sz w:val="18"/>
                <w:szCs w:val="18"/>
                <w:b w:val="1"/>
                <w:bCs w:val="1"/>
                <w:color w:val="auto"/>
              </w:rPr>
              <w:t>Adjusted non-GAAP results</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407,044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271,231</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$2.71</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8"/>
        </w:trPr>
        <w:tc>
          <w:tcPr>
            <w:tcW w:w="5040" w:type="dxa"/>
            <w:vAlign w:val="bottom"/>
            <w:tcBorders>
              <w:bottom w:val="single" w:sz="8" w:color="53C072"/>
            </w:tcBorders>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160" w:type="dxa"/>
            <w:vAlign w:val="bottom"/>
            <w:tcBorders>
              <w:bottom w:val="single" w:sz="8" w:color="53C072"/>
            </w:tcBorders>
          </w:tcPr>
          <w:p>
            <w:pPr>
              <w:spacing w:after="0"/>
              <w:rPr>
                <w:sz w:val="7"/>
                <w:szCs w:val="7"/>
                <w:color w:val="auto"/>
              </w:rPr>
            </w:pPr>
          </w:p>
        </w:tc>
        <w:tc>
          <w:tcPr>
            <w:tcW w:w="180" w:type="dxa"/>
            <w:vAlign w:val="bottom"/>
            <w:tcBorders>
              <w:bottom w:val="single" w:sz="8" w:color="53C072"/>
            </w:tcBorders>
          </w:tcPr>
          <w:p>
            <w:pPr>
              <w:ind w:left="20"/>
              <w:spacing w:after="0" w:line="81" w:lineRule="exact"/>
              <w:rPr>
                <w:sz w:val="20"/>
                <w:szCs w:val="20"/>
                <w:color w:val="auto"/>
              </w:rPr>
            </w:pPr>
            <w:r>
              <w:rPr>
                <w:rFonts w:ascii="Arial" w:cs="Arial" w:eastAsia="Arial" w:hAnsi="Arial"/>
                <w:sz w:val="9"/>
                <w:szCs w:val="9"/>
                <w:b w:val="1"/>
                <w:bCs w:val="1"/>
                <w:color w:val="auto"/>
              </w:rPr>
              <w:t>​</w:t>
            </w:r>
          </w:p>
        </w:tc>
        <w:tc>
          <w:tcPr>
            <w:tcW w:w="300" w:type="dxa"/>
            <w:vAlign w:val="bottom"/>
            <w:tcBorders>
              <w:bottom w:val="single" w:sz="8" w:color="53C072"/>
            </w:tcBorders>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300" w:type="dxa"/>
            <w:vAlign w:val="bottom"/>
            <w:tcBorders>
              <w:bottom w:val="single" w:sz="8" w:color="53C072"/>
            </w:tcBorders>
          </w:tcPr>
          <w:p>
            <w:pPr>
              <w:spacing w:after="0"/>
              <w:rPr>
                <w:sz w:val="7"/>
                <w:szCs w:val="7"/>
                <w:color w:val="auto"/>
              </w:rPr>
            </w:pPr>
          </w:p>
        </w:tc>
        <w:tc>
          <w:tcPr>
            <w:tcW w:w="460" w:type="dxa"/>
            <w:vAlign w:val="bottom"/>
            <w:tcBorders>
              <w:bottom w:val="single" w:sz="8" w:color="53C072"/>
            </w:tcBorders>
          </w:tcPr>
          <w:p>
            <w:pPr>
              <w:ind w:left="160"/>
              <w:spacing w:after="0" w:line="81" w:lineRule="exact"/>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53C072"/>
            </w:tcBorders>
          </w:tcPr>
          <w:p>
            <w:pPr>
              <w:spacing w:after="0"/>
              <w:rPr>
                <w:sz w:val="7"/>
                <w:szCs w:val="7"/>
                <w:color w:val="auto"/>
              </w:rPr>
            </w:pPr>
          </w:p>
        </w:tc>
        <w:tc>
          <w:tcPr>
            <w:tcW w:w="860" w:type="dxa"/>
            <w:vAlign w:val="bottom"/>
            <w:tcBorders>
              <w:bottom w:val="single" w:sz="8" w:color="53C072"/>
            </w:tcBorders>
          </w:tcPr>
          <w:p>
            <w:pPr>
              <w:spacing w:after="0"/>
              <w:rPr>
                <w:sz w:val="7"/>
                <w:szCs w:val="7"/>
                <w:color w:val="auto"/>
              </w:rPr>
            </w:pPr>
          </w:p>
        </w:tc>
        <w:tc>
          <w:tcPr>
            <w:tcW w:w="720" w:type="dxa"/>
            <w:vAlign w:val="bottom"/>
            <w:tcBorders>
              <w:bottom w:val="single" w:sz="8" w:color="53C072"/>
            </w:tcBorders>
          </w:tcPr>
          <w:p>
            <w:pPr>
              <w:spacing w:after="0"/>
              <w:rPr>
                <w:sz w:val="7"/>
                <w:szCs w:val="7"/>
                <w:color w:val="auto"/>
              </w:rPr>
            </w:pPr>
          </w:p>
        </w:tc>
        <w:tc>
          <w:tcPr>
            <w:tcW w:w="20" w:type="dxa"/>
            <w:vAlign w:val="bottom"/>
            <w:tcBorders>
              <w:bottom w:val="single" w:sz="8" w:color="53C072"/>
            </w:tcBorders>
          </w:tcPr>
          <w:p>
            <w:pPr>
              <w:spacing w:after="0"/>
              <w:rPr>
                <w:sz w:val="7"/>
                <w:szCs w:val="7"/>
                <w:color w:val="auto"/>
              </w:rPr>
            </w:pPr>
          </w:p>
        </w:tc>
        <w:tc>
          <w:tcPr>
            <w:tcW w:w="100" w:type="dxa"/>
            <w:vAlign w:val="bottom"/>
            <w:tcBorders>
              <w:bottom w:val="single" w:sz="8" w:color="53C072"/>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spacing w:after="0" w:line="11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81"/>
        </w:trPr>
        <w:tc>
          <w:tcPr>
            <w:tcW w:w="5680" w:type="dxa"/>
            <w:vAlign w:val="bottom"/>
          </w:tcPr>
          <w:p>
            <w:pPr>
              <w:spacing w:after="0"/>
              <w:rPr>
                <w:sz w:val="20"/>
                <w:szCs w:val="20"/>
                <w:color w:val="auto"/>
              </w:rPr>
            </w:pPr>
            <w:r>
              <w:rPr>
                <w:rFonts w:ascii="Arial" w:cs="Arial" w:eastAsia="Arial" w:hAnsi="Arial"/>
                <w:sz w:val="14"/>
                <w:szCs w:val="14"/>
                <w:color w:val="003366"/>
              </w:rPr>
              <w:t>TABLE OF CONTENTS</w:t>
            </w: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5680" w:type="dxa"/>
            <w:vAlign w:val="bottom"/>
          </w:tcPr>
          <w:p>
            <w:pPr>
              <w:ind w:left="1000"/>
              <w:spacing w:after="0"/>
              <w:rPr>
                <w:sz w:val="20"/>
                <w:szCs w:val="20"/>
                <w:color w:val="auto"/>
              </w:rPr>
            </w:pPr>
            <w:r>
              <w:rPr>
                <w:rFonts w:ascii="Arial" w:cs="Arial" w:eastAsia="Arial" w:hAnsi="Arial"/>
                <w:sz w:val="14"/>
                <w:szCs w:val="14"/>
                <w:b w:val="1"/>
                <w:bCs w:val="1"/>
                <w:color w:val="53C072"/>
              </w:rPr>
              <w:t>2023 ANNUAL</w:t>
            </w:r>
            <w:r>
              <w:rPr>
                <w:rFonts w:ascii="Arial" w:cs="Arial" w:eastAsia="Arial" w:hAnsi="Arial"/>
                <w:sz w:val="14"/>
                <w:szCs w:val="14"/>
                <w:b w:val="1"/>
                <w:bCs w:val="1"/>
                <w:color w:val="000000"/>
              </w:rPr>
              <w:t xml:space="preserve">  </w:t>
            </w:r>
          </w:p>
        </w:tc>
        <w:tc>
          <w:tcPr>
            <w:tcW w:w="4060" w:type="dxa"/>
            <w:vAlign w:val="bottom"/>
            <w:vMerge w:val="restart"/>
          </w:tcPr>
          <w:p>
            <w:pPr>
              <w:ind w:left="3320"/>
              <w:spacing w:after="0"/>
              <w:rPr>
                <w:sz w:val="20"/>
                <w:szCs w:val="20"/>
                <w:color w:val="auto"/>
              </w:rPr>
            </w:pPr>
            <w:r>
              <w:rPr>
                <w:rFonts w:ascii="Arial" w:cs="Arial" w:eastAsia="Arial" w:hAnsi="Arial"/>
                <w:sz w:val="14"/>
                <w:szCs w:val="14"/>
                <w:color w:val="auto"/>
              </w:rPr>
              <w:t>Appendix A</w:t>
            </w:r>
          </w:p>
        </w:tc>
        <w:tc>
          <w:tcPr>
            <w:tcW w:w="0" w:type="dxa"/>
            <w:vAlign w:val="bottom"/>
          </w:tcPr>
          <w:p>
            <w:pPr>
              <w:spacing w:after="0"/>
              <w:rPr>
                <w:sz w:val="1"/>
                <w:szCs w:val="1"/>
                <w:color w:val="auto"/>
              </w:rPr>
            </w:pPr>
          </w:p>
        </w:tc>
      </w:tr>
      <w:tr>
        <w:trPr>
          <w:trHeight w:val="84"/>
        </w:trPr>
        <w:tc>
          <w:tcPr>
            <w:tcW w:w="56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6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000" w:right="259"/>
        <w:spacing w:after="0" w:line="255"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25" w:lineRule="exact"/>
        <w:rPr>
          <w:sz w:val="20"/>
          <w:szCs w:val="20"/>
          <w:color w:val="auto"/>
        </w:rPr>
      </w:pPr>
    </w:p>
    <w:p>
      <w:pPr>
        <w:ind w:left="1000" w:right="219"/>
        <w:spacing w:after="0" w:line="255" w:lineRule="auto"/>
        <w:rPr>
          <w:sz w:val="20"/>
          <w:szCs w:val="20"/>
          <w:color w:val="auto"/>
        </w:rPr>
      </w:pPr>
      <w:r>
        <w:rPr>
          <w:rFonts w:ascii="Arial" w:cs="Arial" w:eastAsia="Arial" w:hAnsi="Arial"/>
          <w:sz w:val="18"/>
          <w:szCs w:val="18"/>
          <w:color w:val="auto"/>
        </w:rPr>
        <w:t>The Company believes income and diluted earnings per share, as adjusted for the impact of the items identified above, are useful measures to shareholders because they provide a measure of the Company’s net profitability on a more comparable basis to historical periods. Additionally, because of management’s focus on generating shareholder value, of which net profitability is a primary driver, management believes income and diluted earnings per share, excluding the impact of these items, provide an important measure of the Company’s net results of operations.</w:t>
      </w:r>
    </w:p>
    <w:p>
      <w:pPr>
        <w:spacing w:after="0" w:line="125" w:lineRule="exact"/>
        <w:rPr>
          <w:sz w:val="20"/>
          <w:szCs w:val="20"/>
          <w:color w:val="auto"/>
        </w:rPr>
      </w:pPr>
    </w:p>
    <w:p>
      <w:pPr>
        <w:ind w:left="1000" w:right="199"/>
        <w:spacing w:after="0" w:line="25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76     </w:t>
      </w:r>
      <w:r>
        <w:rPr>
          <w:sz w:val="1"/>
          <w:szCs w:val="1"/>
          <w:color w:val="auto"/>
        </w:rPr>
        <w:drawing>
          <wp:inline distT="0" distB="0" distL="0" distR="0">
            <wp:extent cx="1242695" cy="24003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0" w:name="page81"/>
    <w:bookmarkEnd w:id="80"/>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-47625</wp:posOffset>
            </wp:positionV>
            <wp:extent cx="6643370" cy="85979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831965" cy="892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1."/>
      <w:numFmt w:val="decimal"/>
      <w:start w:val="5"/>
    </w:lvl>
  </w:abstractNum>
  <w:abstractNum w:abstractNumId="5">
    <w:nsid w:val="38437FDB"/>
    <w:multiLevelType w:val="hybridMultilevel"/>
    <w:lvl w:ilvl="0">
      <w:lvlJc w:val="left"/>
      <w:lvlText w:val="%1"/>
      <w:numFmt w:val="decimal"/>
      <w:start w:val="28"/>
    </w:lvl>
  </w:abstractNum>
  <w:abstractNum w:abstractNumId="6">
    <w:nsid w:val="7644A45C"/>
    <w:multiLevelType w:val="hybridMultilevel"/>
    <w:lvl w:ilvl="0">
      <w:lvlJc w:val="left"/>
      <w:lvlText w:val="1"/>
      <w:numFmt w:val="bullet"/>
      <w:start w:val="1"/>
    </w:lvl>
  </w:abstractNum>
  <w:abstractNum w:abstractNumId="7">
    <w:nsid w:val="32FFF902"/>
    <w:multiLevelType w:val="hybridMultilevel"/>
    <w:lvl w:ilvl="0">
      <w:lvlJc w:val="left"/>
      <w:lvlText w:val="2"/>
      <w:numFmt w:val="bullet"/>
      <w:start w:val="1"/>
    </w:lvl>
  </w:abstractNum>
  <w:abstractNum w:abstractNumId="8">
    <w:nsid w:val="684A481A"/>
    <w:multiLevelType w:val="hybridMultilevel"/>
    <w:lvl w:ilvl="0">
      <w:lvlJc w:val="left"/>
      <w:lvlText w:val="3"/>
      <w:numFmt w:val="bullet"/>
      <w:start w:val="1"/>
    </w:lvl>
  </w:abstractNum>
  <w:abstractNum w:abstractNumId="9">
    <w:nsid w:val="579478FE"/>
    <w:multiLevelType w:val="hybridMultilevel"/>
    <w:lvl w:ilvl="0">
      <w:lvlJc w:val="left"/>
      <w:lvlText w:val="4"/>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bullet"/>
      <w:start w:val="1"/>
    </w:lvl>
  </w:abstractNum>
  <w:abstractNum w:abstractNumId="12">
    <w:nsid w:val="1BA026FA"/>
    <w:multiLevelType w:val="hybridMultilevel"/>
    <w:lvl w:ilvl="0">
      <w:lvlJc w:val="left"/>
      <w:lvlText w:val="2"/>
      <w:numFmt w:val="bullet"/>
      <w:start w:val="1"/>
    </w:lvl>
    <w:lvl w:ilvl="1">
      <w:lvlJc w:val="left"/>
      <w:lvlText w:val="​"/>
      <w:numFmt w:val="bullet"/>
      <w:start w:val="1"/>
    </w:lvl>
  </w:abstractNum>
  <w:abstractNum w:abstractNumId="13">
    <w:nsid w:val="79A1DEAA"/>
    <w:multiLevelType w:val="hybridMultilevel"/>
    <w:lvl w:ilvl="0">
      <w:lvlJc w:val="left"/>
      <w:lvlText w:val="4"/>
      <w:numFmt w:val="bullet"/>
      <w:start w:val="1"/>
    </w:lvl>
    <w:lvl w:ilvl="1">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lvl w:ilvl="1">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lvl w:ilvl="1">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lvl w:ilvl="1">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W.%1."/>
      <w:numFmt w:val="upperLetter"/>
      <w:start w:val="23"/>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lvl w:ilvl="1">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2"/>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3"/>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2"/>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decimal"/>
      <w:start w:val="3"/>
    </w:lvl>
  </w:abstractNum>
  <w:abstractNum w:abstractNumId="84">
    <w:nsid w:val="76272110"/>
    <w:multiLevelType w:val="hybridMultilevel"/>
    <w:lvl w:ilvl="0">
      <w:lvlJc w:val="left"/>
      <w:lvlText w:val="(%1)"/>
      <w:numFmt w:val="decimal"/>
      <w:start w:val="4"/>
    </w:lvl>
  </w:abstractNum>
  <w:abstractNum w:abstractNumId="85">
    <w:nsid w:val="4C04A8AF"/>
    <w:multiLevelType w:val="hybridMultilevel"/>
    <w:lvl w:ilvl="0">
      <w:lvlJc w:val="left"/>
      <w:lvlText w:val="(%1)"/>
      <w:numFmt w:val="decimal"/>
      <w:start w:val="5"/>
    </w:lvl>
  </w:abstractNum>
  <w:abstractNum w:abstractNumId="86">
    <w:nsid w:val="1716703B"/>
    <w:multiLevelType w:val="hybridMultilevel"/>
    <w:lvl w:ilvl="0">
      <w:lvlJc w:val="left"/>
      <w:lvlText w:val="(%1)"/>
      <w:numFmt w:val="decimal"/>
      <w:start w:val="7"/>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2023-10-02T15:19:25Z</dcterms:created>
  <dcterms:modified xsi:type="dcterms:W3CDTF">2023-10-02T15:19:25Z</dcterms:modified>
</cp:coreProperties>
</file>